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DFD9" w14:textId="77777777" w:rsidR="004776A8" w:rsidRDefault="004776A8">
      <w:pPr>
        <w:spacing w:after="560"/>
      </w:pPr>
    </w:p>
    <w:p w14:paraId="47B38CE8" w14:textId="77777777" w:rsidR="004776A8" w:rsidRDefault="002A503A">
      <w:pPr>
        <w:spacing w:after="600"/>
        <w:jc w:val="center"/>
      </w:pPr>
      <w:r>
        <w:rPr>
          <w:noProof/>
        </w:rPr>
        <w:drawing>
          <wp:inline distT="0" distB="0" distL="0" distR="0" wp14:anchorId="5F83A9C5" wp14:editId="5914DAF5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6A89" w14:textId="77777777" w:rsidR="004776A8" w:rsidRDefault="002A503A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58D0E3D5" w14:textId="77777777" w:rsidR="004776A8" w:rsidRDefault="002A503A">
      <w:pPr>
        <w:pStyle w:val="Ttulo"/>
        <w:spacing w:after="160"/>
        <w:jc w:val="center"/>
      </w:pPr>
      <w:r>
        <w:rPr>
          <w:b/>
          <w:color w:val="000000"/>
        </w:rPr>
        <w:t>Cierre e Innovación del Proyecto</w:t>
      </w:r>
    </w:p>
    <w:p w14:paraId="60C148F4" w14:textId="77777777" w:rsidR="004776A8" w:rsidRDefault="002A503A">
      <w:pPr>
        <w:spacing w:after="680"/>
        <w:jc w:val="center"/>
      </w:pPr>
      <w:r>
        <w:t>Aporte, resultados y condiciones de aceptación del Proyecto APT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776A8" w14:paraId="23D46B3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AC07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Cierre e Innovación del Proyecto</w:t>
            </w:r>
          </w:p>
        </w:tc>
      </w:tr>
      <w:tr w:rsidR="004776A8" w14:paraId="47CB542D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E505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ACD7" w14:textId="77777777" w:rsidR="004776A8" w:rsidRDefault="002A503A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4776A8" w14:paraId="4BF1592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3731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43F2" w14:textId="77777777" w:rsidR="004776A8" w:rsidRDefault="002A503A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4776A8" w14:paraId="7E7B00C0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1162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Revisión documental · V2.0</w:t>
              <w:br/>
              <w:t xml:space="preserve">Aceptación académica y operacional pendiente</w:t>
            </w:r>
          </w:p>
        </w:tc>
      </w:tr>
    </w:tbl>
    <w:p w14:paraId="4FD8AF79" w14:textId="77777777" w:rsidR="004776A8" w:rsidRDefault="004776A8">
      <w:pPr>
        <w:spacing w:after="440"/>
      </w:pPr>
    </w:p>
    <w:p w14:paraId="46D09A2F" w14:textId="77777777" w:rsidR="004776A8" w:rsidRDefault="002A503A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1 Innovación aplicada</w:t>
      </w:r>
    </w:p>
    <w:p>
      <w:pPr>
        <w:widowControl/>
      </w:pPr>
      <w:r>
        <w:t>¿Qué problema resuelve? La dispersión de registros de identidad, guías, diagnóstico, repuestos y QA. La plataforma permite reconstruir el recorrido del activo y distinguir tránsito, recepción efectiva y trabajo técnico.</w:t>
      </w:r>
    </w:p>
    <w:p>
      <w:pPr>
        <w:widowControl/>
      </w:pPr>
      <w:r>
        <w:t>¿Qué hace diferente a la solución? Integra identidad tipo más serie, evidencia del ciclo y custodia física con siete roles. Una lectura no mueve el equipo; recepción inicial no crea OS ficticia; rechazo QA exige nuevo recorrido por Bodega y recepción Lab. Bridge conserva referencias sin mover stock.</w:t>
      </w:r>
    </w:p>
    <w:p>
      <w:pPr>
        <w:widowControl/>
      </w:pPr>
      <w:r>
        <w:t>¿Qué valor agrega? Un historial centralizado y responsabilidad explícita de custodia, con información para revisar decisiones. Reducir ambigüedad y retrabajo es valor esperado; no se declaran porcentajes de mejora sin línea base ni medición autorizada.</w:t>
      </w:r>
    </w:p>
    <w:p>
      <w:pPr>
        <w:widowControl/>
      </w:pPr>
      <w:r>
        <w:t xml:space="preserve">La analítica consulta fallas, reincidencias, intervalos observados, resultados técnicos y entregas de repuestos. Propone revisión preventiva y reposición orientativa bajo condiciones explícitas; no ejecuta compras, OS ni movimientos. Es descriptiva y heurística, sin modelo entrenado, probabilidad calibrada ni precisión certificada. El aporte se limita al contexto de mantenimiento y no sustituye decisiones técnicas.</w:t>
      </w:r>
    </w:p>
    <w:p>
      <w:pPr>
        <w:pStyle w:val="Ttulo1"/>
        <w:pageBreakBefore/>
        <w:spacing w:before="0"/>
      </w:pPr>
      <w:r>
        <w:t>2 Resultados límites y condiciones de cierre</w:t>
      </w:r>
    </w:p>
    <w:p>
      <w:pPr>
        <w:widowControl/>
      </w:pPr>
      <w:r>
        <w:t xml:space="preserve">Corte reportado del 18-10-2026: Backend 125/125, Web 285/285 y Mobile 210/210; cero fallidas y omitidas en cada suite declarada. TypeScript/build Web y exportaciones Expo Android/iOS fueron reportados correctos con aislamiento. No se reejecutaron durante la auditoría ni esta actualización. Los totales comparten casos y no se suman como cobertura única; mocks y bundles no acreditan validación física.</w:t>
      </w:r>
    </w:p>
    <w:p>
      <w:pPr>
        <w:widowControl/>
      </w:pPr>
      <w:r>
        <w:t>El Plan de Pruebas conserva el alcance por ejecutor, la diferencia histórica 172/210 Mobile y la regresión anterior de navegación 145/145, que no se suma al total Web. El pip check correcto corresponde al antecedente del 14-10. El esquema leído confirma 26 tablas; no se restauró la BD.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6768"/>
      </w:tblGrid>
      <w:tr>
        <w:trPr>
          <w:cantSplit/>
          <w:tblHeader/>
        </w:trPr>
        <w:tc>
          <w:tcPr>
            <w:tcW w:type="dxa" w:w="259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Pendiente</w:t>
            </w:r>
          </w:p>
        </w:tc>
        <w:tc>
          <w:tcPr>
            <w:tcW w:type="dxa" w:w="676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Siguiente acción y evidencia mínima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Validación real · P0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 xml:space="preserve">Por asignar. Resolver brechas de sesión, Safe Area, feedback Mobile y exportación técnica de Jefatura; después recorrer siete roles y dispositivos en entorno separado. Registrar esperado/observado y soporte.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Simulación integrada · P1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 xml:space="preserve">Por asignar. Preparar fixtures y recursos descartables. Repetir casos afectados, incluidos fallos parciales de cuentas, logs/errores y ciclo operacional. Conservar versión, resultado e integridad; no usar la BD habitual.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Instalación y recuperación · P1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 xml:space="preserve">Por asignar. Acordar catálogos e identidades; instalar y restaurar en destino separado. Sanear guía/ZIP de pruebas antes de compartirlos y revisar privilegios de BD. Registrar integridad y acceso.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Rendimiento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Por asignar. Acordar metas del SRS y probarlas. Registrar métricas y entorno de medición.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Entrega académica · P0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Por asignar. Revisar pauta/evidencias y cargar para el 23-10-2026. Comprobante de carga y aceptación de la instancia competente.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Para comprobar el valor, comparar tiempos de reconstrucción del historial, integridad de evidencia y discrepancias de custodia con una muestra y período acordados. No hay medición vigente que permita atribuir mejoras cuantitativas al sistema.</w:t>
      </w:r>
    </w:p>
    <w:p>
      <w:pPr>
        <w:widowControl/>
      </w:pPr>
      <w:r>
        <w:t>El paquete cubre inicio, SRS, diseño con UML y datos, pruebas, despliegue e innovación; la Gantt ordena semanas 1 a 18. Las aprobaciones corresponden al equipo, al mandante y a la instancia académica según su atribución. La revisión documental no sustituye sus decisiones ni acredita publicación o puesta en producción.</w:t>
      </w:r>
    </w:p>
    <w:p>
      <w:pPr>
        <w:widowControl/>
      </w:pPr>
      <w:r>
        <w:t xml:space="preserve">El paquete documental no certifica la puesta en producción. Los defectos técnicos externos siguen abiertos y requieren un encargo separado, pruebas aisladas y evidencia de cierre. Las credenciales de la guía y el ZIP de pruebas deben sanearse antes de distribución; quitar referencias documentales no resuelve esa exposición.</w:t>
      </w:r>
    </w:p>
    <w:p>
      <w:pPr>
        <w:widowControl/>
      </w:pPr>
      <w:hyperlink r:id="rId15">
        <w:r>
          <w:rPr>
            <w:color w:val="1565C0"/>
          </w:rPr>
          <w:t>Resultados consolidados y límites · Plan de Pruebas</w:t>
        </w:r>
      </w:hyperlink>
    </w:p>
    <w:p>
      <w:pPr>
        <w:widowControl/>
      </w:pPr>
      <w:hyperlink r:id="rId16">
        <w:r>
          <w:rPr>
            <w:color w:val="1565C0"/>
          </w:rPr>
          <w:t>Matriz vigente y aceptación por requisito</w:t>
        </w:r>
      </w:hyperlink>
    </w:p>
    <w:sectPr w:rsidR="00E43F83" w:rsidSect="00034616">
      <w:headerReference w:type="default" r:id="rId9"/>
      <w:footerReference w:type="default" r:id="rId10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2590" w14:textId="77777777" w:rsidR="00A31996" w:rsidRDefault="00A31996">
      <w:pPr>
        <w:spacing w:after="0" w:line="240" w:lineRule="auto"/>
      </w:pPr>
      <w:r>
        <w:separator/>
      </w:r>
    </w:p>
  </w:endnote>
  <w:endnote w:type="continuationSeparator" w:id="0">
    <w:p w14:paraId="425A4104" w14:textId="77777777" w:rsidR="00A31996" w:rsidRDefault="00A31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589FA" w14:textId="77777777" w:rsidR="004776A8" w:rsidRDefault="002A503A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A130FC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3BBD" w14:textId="77777777" w:rsidR="00A31996" w:rsidRDefault="00A31996">
      <w:pPr>
        <w:spacing w:after="0" w:line="240" w:lineRule="auto"/>
      </w:pPr>
      <w:r>
        <w:separator/>
      </w:r>
    </w:p>
  </w:footnote>
  <w:footnote w:type="continuationSeparator" w:id="0">
    <w:p w14:paraId="43FA5043" w14:textId="77777777" w:rsidR="00A31996" w:rsidRDefault="00A31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9FCE5" w14:textId="77777777" w:rsidR="004776A8" w:rsidRDefault="002A503A">
    <w:pPr>
      <w:pStyle w:val="Encabezado"/>
    </w:pPr>
    <w:r>
      <w:rPr>
        <w:rFonts w:eastAsia="Calibri"/>
        <w:b/>
        <w:color w:val="5F6B76"/>
        <w:sz w:val="17"/>
      </w:rPr>
      <w:t>PMP SUITE  |  CAPSTONE     Cierre e Innovación</w:t>
    </w:r>
    <w:r>
      <w:rPr>
        <w:rFonts w:eastAsia="Calibri"/>
        <w:color w:val="5F6B76"/>
        <w:sz w:val="17"/>
      </w:rPr>
      <w:t xml:space="preserve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770405">
    <w:abstractNumId w:val="8"/>
  </w:num>
  <w:num w:numId="2" w16cid:durableId="927469581">
    <w:abstractNumId w:val="6"/>
  </w:num>
  <w:num w:numId="3" w16cid:durableId="150567871">
    <w:abstractNumId w:val="5"/>
  </w:num>
  <w:num w:numId="4" w16cid:durableId="2112045197">
    <w:abstractNumId w:val="4"/>
  </w:num>
  <w:num w:numId="5" w16cid:durableId="14427788">
    <w:abstractNumId w:val="7"/>
  </w:num>
  <w:num w:numId="6" w16cid:durableId="1612281873">
    <w:abstractNumId w:val="3"/>
  </w:num>
  <w:num w:numId="7" w16cid:durableId="396784133">
    <w:abstractNumId w:val="2"/>
  </w:num>
  <w:num w:numId="8" w16cid:durableId="572085353">
    <w:abstractNumId w:val="1"/>
  </w:num>
  <w:num w:numId="9" w16cid:durableId="162406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03A"/>
    <w:rsid w:val="002B4508"/>
    <w:rsid w:val="00326F90"/>
    <w:rsid w:val="004776A8"/>
    <w:rsid w:val="00795FA6"/>
    <w:rsid w:val="008344EE"/>
    <w:rsid w:val="0088229B"/>
    <w:rsid w:val="009B6EDC"/>
    <w:rsid w:val="00A130FC"/>
    <w:rsid w:val="00A31996"/>
    <w:rsid w:val="00AA1D8D"/>
    <w:rsid w:val="00B47730"/>
    <w:rsid w:val="00BC4B9F"/>
    <w:rsid w:val="00C07B96"/>
    <w:rsid w:val="00CB0664"/>
    <w:rsid w:val="00D712A1"/>
    <w:rsid w:val="00E43F83"/>
    <w:rsid w:val="00FC693F"/>
    <w:rsid w:val="00FD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77739"/>
  <w14:defaultImageDpi w14:val="300"/>
  <w15:docId w15:val="{F8A977C2-CD5B-4CE4-87E3-40266F43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D712A1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D712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yperlink" Target="03_Plan_Pruebas_PMP_Suite_V2.0.docx" TargetMode="External"/><Relationship Id="rId16" Type="http://schemas.openxmlformats.org/officeDocument/2006/relationships/hyperlink" Target="Matriz_Requerimientos_PMP_Suit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16.0000</AppVers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Cierre e Innovación del Proyecto</dc:title>
  <dc:subject>PMP Suite V2.0 · Metodología en cascada</dc:subject>
  <dc:creator>Rafael Oteiza · Matías Garrido · Luis Arenas</dc:creator>
  <cp:keywords>PMP Suite, Capstone, Cascada, Duoc UC</cp:keywords>
  <dc:description/>
  <cp:lastModifiedBy>Equipo PMP Suite</cp:lastModifiedBy>
  <cp:revision>7</cp:revision>
  <dcterms:modified xsi:type="dcterms:W3CDTF">2026-10-19T15:16:45Z</dcterms:modified>
  <cp:category/>
  <cp:version>2.0</cp:version>
</cp:coreProperties>
</file>