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BEC5" w14:textId="255EAC99" w:rsidR="00531F7A" w:rsidRDefault="00531F7A">
      <w:pPr>
        <w:spacing w:before="60" w:after="120" w:line="240" w:lineRule="auto"/>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51F0186" w14:textId="77777777" w:rsidTr="25FC3610">
        <w:trPr>
          <w:trHeight w:val="2192"/>
        </w:trPr>
        <w:tc>
          <w:tcPr>
            <w:tcW w:w="0" w:type="auto"/>
          </w:tcPr>
          <w:p w14:paraId="35EA5BD1"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AD12901"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415213E"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518A5CC0"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A0FABD5" w14:textId="77777777" w:rsidTr="3D28A338">
        <w:trPr>
          <w:trHeight w:val="440"/>
        </w:trPr>
        <w:tc>
          <w:tcPr>
            <w:tcW w:w="10076" w:type="dxa"/>
            <w:vAlign w:val="center"/>
          </w:tcPr>
          <w:p w14:paraId="79A92C26"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9D2082E" w14:textId="77777777" w:rsidTr="3D28A338">
        <w:tc>
          <w:tcPr>
            <w:tcW w:w="10076" w:type="dxa"/>
            <w:shd w:val="clear" w:color="auto" w:fill="DEEAF6" w:themeFill="accent1" w:themeFillTint="33"/>
            <w:vAlign w:val="center"/>
          </w:tcPr>
          <w:p w14:paraId="0F3E7318" w14:textId="6A516236" w:rsidR="00531F7A" w:rsidRDefault="00ED59AC" w:rsidP="00ED59AC">
            <w:pPr>
              <w:spacing w:before="60" w:after="120"/>
              <w:jc w:val="both"/>
            </w:pPr>
            <w:r w:rsidRPr="00ED59AC">
              <w:rPr>
                <w:rFonts w:ascii="Calibri" w:hAnsi="Calibri"/>
              </w:rPr>
              <w:t xml:space="preserve">El proyecto presenta avances comprobables al 10 de octubre de 2026 en análisis, diseño, integración y pruebas, aunque no concluyó dentro de los plazos iniciales debido a pendientes críticos en validación física, pruebas nativas, seguridad, rendimiento y una incidencia en el </w:t>
            </w:r>
            <w:proofErr w:type="spellStart"/>
            <w:r w:rsidRPr="00ED59AC">
              <w:rPr>
                <w:rFonts w:ascii="Calibri" w:hAnsi="Calibri"/>
              </w:rPr>
              <w:t>mock</w:t>
            </w:r>
            <w:proofErr w:type="spellEnd"/>
            <w:r w:rsidRPr="00ED59AC">
              <w:rPr>
                <w:rFonts w:ascii="Calibri" w:hAnsi="Calibri"/>
              </w:rPr>
              <w:t xml:space="preserve"> web. Para corregir el solapamiento previo entre diseño y construcción, la Fase 2 adopta un modelo en cascada estricto de dieciocho semanas: requisitos (S1–S4), diseño (S5–S6), construcción (S7–S12), verificación (S13–S15) y entrega (S16–S18), manteniendo la documentación como eje transversal y respaldado en registros reales. Mientras que el dominio del mantenimiento, la arquitectura definida y los componentes reutilizables impulsaron el progreso, la amplitud de roles, la integración web/móvil y la brecha entre simulación y pruebas físicas operaron como los principales obstáculos para el cierre definitivo</w:t>
            </w:r>
          </w:p>
        </w:tc>
      </w:tr>
      <w:tr w:rsidR="004F2A8B" w14:paraId="7DD0BB33" w14:textId="77777777" w:rsidTr="3D28A338">
        <w:trPr>
          <w:trHeight w:val="440"/>
        </w:trPr>
        <w:tc>
          <w:tcPr>
            <w:tcW w:w="10076" w:type="dxa"/>
            <w:vAlign w:val="center"/>
          </w:tcPr>
          <w:p w14:paraId="3990A9D9"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7F05E9F4" w14:textId="77777777" w:rsidTr="3D28A338">
        <w:tc>
          <w:tcPr>
            <w:tcW w:w="10076" w:type="dxa"/>
            <w:shd w:val="clear" w:color="auto" w:fill="DEEAF6" w:themeFill="accent1" w:themeFillTint="33"/>
            <w:vAlign w:val="center"/>
          </w:tcPr>
          <w:p w14:paraId="4BAA9DC5"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84A33FE" w14:textId="77777777" w:rsidR="00B9191E" w:rsidRDefault="00B9191E">
            <w:pPr>
              <w:spacing w:before="60" w:after="120"/>
              <w:rPr>
                <w:rFonts w:ascii="Calibri" w:hAnsi="Calibri"/>
                <w:b/>
              </w:rPr>
            </w:pPr>
          </w:p>
          <w:p w14:paraId="60643303" w14:textId="46B843A4" w:rsidR="00531F7A" w:rsidRDefault="00ED59AC" w:rsidP="00ED59AC">
            <w:pPr>
              <w:spacing w:before="60" w:after="120"/>
              <w:jc w:val="both"/>
            </w:pPr>
            <w:r w:rsidRPr="00ED59AC">
              <w:rPr>
                <w:rFonts w:ascii="Calibri" w:hAnsi="Calibri"/>
              </w:rPr>
              <w:t xml:space="preserve">El enfoque adoptado prioriza la coherencia entre interfaz, contratos de datos y seguridad mediante la segregación de siete roles y la trazabilidad integral de cambios. La gestión de los pendientes restantes —especialmente el </w:t>
            </w:r>
            <w:proofErr w:type="spellStart"/>
            <w:r w:rsidRPr="00ED59AC">
              <w:rPr>
                <w:rFonts w:ascii="Calibri" w:hAnsi="Calibri"/>
              </w:rPr>
              <w:t>mock</w:t>
            </w:r>
            <w:proofErr w:type="spellEnd"/>
            <w:r w:rsidRPr="00ED59AC">
              <w:rPr>
                <w:rFonts w:ascii="Calibri" w:hAnsi="Calibri"/>
              </w:rPr>
              <w:t>, las pruebas nativas y las revisiones no funcionales— se formalizará con criterios de cierre y evidencia verificable antes de dar por válida cualquier implementación. Por último, se mantiene una estricta transparencia técnica al catalogar el conjunto de veinte activos como entorno sintético, sin extrapolar estimaciones heurísticas como predicciones definitivas ni simular eventos físicos reales.</w:t>
            </w:r>
          </w:p>
        </w:tc>
      </w:tr>
      <w:tr w:rsidR="004F2A8B" w14:paraId="484E4499" w14:textId="77777777" w:rsidTr="3D28A338">
        <w:trPr>
          <w:trHeight w:val="440"/>
        </w:trPr>
        <w:tc>
          <w:tcPr>
            <w:tcW w:w="10076" w:type="dxa"/>
            <w:vAlign w:val="center"/>
          </w:tcPr>
          <w:p w14:paraId="20ED3D1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394015F2" w14:textId="77777777" w:rsidTr="3D28A338">
        <w:tc>
          <w:tcPr>
            <w:tcW w:w="10076" w:type="dxa"/>
            <w:shd w:val="clear" w:color="auto" w:fill="DEEAF6" w:themeFill="accent1" w:themeFillTint="33"/>
            <w:vAlign w:val="center"/>
          </w:tcPr>
          <w:p w14:paraId="7DAA6ADC"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5E40CDD" w14:textId="77777777" w:rsidR="00B9191E" w:rsidRDefault="00B9191E">
            <w:pPr>
              <w:spacing w:before="60" w:after="120"/>
              <w:rPr>
                <w:rFonts w:ascii="Calibri" w:hAnsi="Calibri"/>
                <w:b/>
              </w:rPr>
            </w:pPr>
          </w:p>
          <w:p w14:paraId="49180336" w14:textId="01AF989B" w:rsidR="00531F7A" w:rsidRDefault="00ED59AC">
            <w:pPr>
              <w:spacing w:before="60" w:after="120"/>
            </w:pPr>
            <w:r w:rsidRPr="00ED59AC">
              <w:rPr>
                <w:rFonts w:ascii="Calibri" w:hAnsi="Calibri"/>
              </w:rPr>
              <w:t xml:space="preserve">El estado del proyecto demuestra solidez técnica en integración, arquitectura y documentación, respaldado por la coherencia entre procesos, datos y esquemas de autorización. No obstante, el avance permanece incompleto para la aceptación final: si bien el entorno web exhibe un progreso verificable (203 de 204 pruebas superadas, compilación e integración de </w:t>
            </w:r>
            <w:proofErr w:type="spellStart"/>
            <w:r w:rsidRPr="00ED59AC">
              <w:rPr>
                <w:rFonts w:ascii="Calibri" w:hAnsi="Calibri"/>
              </w:rPr>
              <w:t>TypeScript</w:t>
            </w:r>
            <w:proofErr w:type="spellEnd"/>
            <w:r w:rsidRPr="00ED59AC">
              <w:rPr>
                <w:rFonts w:ascii="Calibri" w:hAnsi="Calibri"/>
              </w:rPr>
              <w:t xml:space="preserve"> limpias y 3.440 validaciones visuales exitosas sobre fixtures), la incidencia abierta en el </w:t>
            </w:r>
            <w:proofErr w:type="spellStart"/>
            <w:r w:rsidRPr="00ED59AC">
              <w:rPr>
                <w:rFonts w:ascii="Calibri" w:hAnsi="Calibri"/>
              </w:rPr>
              <w:t>mock</w:t>
            </w:r>
            <w:proofErr w:type="spellEnd"/>
            <w:r w:rsidRPr="00ED59AC">
              <w:rPr>
                <w:rFonts w:ascii="Calibri" w:hAnsi="Calibri"/>
              </w:rPr>
              <w:t xml:space="preserve"> y la falta de pruebas nativas impiden certificar una validación global </w:t>
            </w:r>
            <w:proofErr w:type="spellStart"/>
            <w:r w:rsidRPr="00ED59AC">
              <w:rPr>
                <w:rFonts w:ascii="Calibri" w:hAnsi="Calibri"/>
              </w:rPr>
              <w:t>concluyente.</w:t>
            </w:r>
            <w:r w:rsidR="00000000">
              <w:rPr>
                <w:rFonts w:ascii="Calibri" w:hAnsi="Calibri"/>
              </w:rPr>
              <w:t>Para</w:t>
            </w:r>
            <w:proofErr w:type="spellEnd"/>
            <w:r w:rsidR="00000000">
              <w:rPr>
                <w:rFonts w:ascii="Calibri" w:hAnsi="Calibri"/>
              </w:rPr>
              <w:t xml:space="preserve"> mejorar, debo fortalecer automatización, </w:t>
            </w:r>
            <w:proofErr w:type="spellStart"/>
            <w:r w:rsidR="00000000">
              <w:rPr>
                <w:rFonts w:ascii="Calibri" w:hAnsi="Calibri"/>
              </w:rPr>
              <w:t>observabilidad</w:t>
            </w:r>
            <w:proofErr w:type="spellEnd"/>
            <w:r w:rsidR="00000000">
              <w:rPr>
                <w:rFonts w:ascii="Calibri" w:hAnsi="Calibri"/>
              </w:rPr>
              <w:t>, seguridad y despliegue, mantener el registro de resultados actualizado y evitar que la documentación se adelante a la evidencia. Esta reflexión continúa mis oportunidades de mejora de Fase 1.</w:t>
            </w:r>
          </w:p>
        </w:tc>
      </w:tr>
      <w:tr w:rsidR="004F2A8B" w14:paraId="3127060F" w14:textId="77777777" w:rsidTr="3D28A338">
        <w:trPr>
          <w:trHeight w:val="440"/>
        </w:trPr>
        <w:tc>
          <w:tcPr>
            <w:tcW w:w="10076" w:type="dxa"/>
            <w:vAlign w:val="center"/>
          </w:tcPr>
          <w:p w14:paraId="6A96AAE5"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3371619E" w14:textId="77777777" w:rsidTr="3D28A338">
        <w:tc>
          <w:tcPr>
            <w:tcW w:w="10076" w:type="dxa"/>
            <w:shd w:val="clear" w:color="auto" w:fill="DEEAF6" w:themeFill="accent1" w:themeFillTint="33"/>
            <w:vAlign w:val="center"/>
          </w:tcPr>
          <w:p w14:paraId="41203262"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E1F4591" w14:textId="77777777" w:rsidR="00B9191E" w:rsidRDefault="00B9191E">
            <w:pPr>
              <w:spacing w:before="60" w:after="120"/>
              <w:rPr>
                <w:rFonts w:ascii="Calibri" w:hAnsi="Calibri"/>
                <w:b/>
              </w:rPr>
            </w:pPr>
          </w:p>
          <w:p w14:paraId="0D52902A" w14:textId="6DDE28E5" w:rsidR="00531F7A" w:rsidRDefault="00ED59AC" w:rsidP="00ED59AC">
            <w:pPr>
              <w:spacing w:before="60" w:after="120"/>
            </w:pPr>
            <w:r>
              <w:rPr>
                <w:rFonts w:ascii="Calibri" w:hAnsi="Calibri"/>
              </w:rPr>
              <w:t>Básicamente tenemos dudas con los documentos que son en base al proyecto, cual es el orden de dichos documentos que estamos desarrollando.</w:t>
            </w:r>
          </w:p>
        </w:tc>
      </w:tr>
      <w:tr w:rsidR="004F2A8B" w14:paraId="588066EE" w14:textId="77777777" w:rsidTr="3D28A338">
        <w:trPr>
          <w:trHeight w:val="440"/>
        </w:trPr>
        <w:tc>
          <w:tcPr>
            <w:tcW w:w="10076" w:type="dxa"/>
            <w:vAlign w:val="center"/>
          </w:tcPr>
          <w:p w14:paraId="1FBAB362"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66F5DF73" w14:textId="77777777" w:rsidTr="3D28A338">
        <w:tc>
          <w:tcPr>
            <w:tcW w:w="10076" w:type="dxa"/>
            <w:shd w:val="clear" w:color="auto" w:fill="DEEAF6" w:themeFill="accent1" w:themeFillTint="33"/>
            <w:vAlign w:val="center"/>
          </w:tcPr>
          <w:p w14:paraId="50F9985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9A4C57E" w14:textId="77777777" w:rsidR="00B9191E" w:rsidRDefault="00B9191E">
            <w:pPr>
              <w:spacing w:before="60" w:after="120"/>
              <w:rPr>
                <w:rFonts w:ascii="Calibri" w:hAnsi="Calibri"/>
                <w:b/>
              </w:rPr>
            </w:pPr>
          </w:p>
          <w:p w14:paraId="3785C57A" w14:textId="5592BE8B" w:rsidR="00531F7A" w:rsidRDefault="00000000">
            <w:pPr>
              <w:spacing w:before="60" w:after="120"/>
            </w:pPr>
            <w:r>
              <w:rPr>
                <w:rFonts w:ascii="Calibri" w:hAnsi="Calibri"/>
              </w:rPr>
              <w:t>Mantendría las responsabilidades de Fase 1: Rafael en coordinación, arquitectura/</w:t>
            </w:r>
            <w:proofErr w:type="spellStart"/>
            <w:r>
              <w:rPr>
                <w:rFonts w:ascii="Calibri" w:hAnsi="Calibri"/>
              </w:rPr>
              <w:t>backend</w:t>
            </w:r>
            <w:proofErr w:type="spellEnd"/>
            <w:r>
              <w:rPr>
                <w:rFonts w:ascii="Calibri" w:hAnsi="Calibri"/>
              </w:rPr>
              <w:t xml:space="preserve">/datos; Matías en requerimientos, documentación y trazabilidad; Luis en </w:t>
            </w:r>
            <w:proofErr w:type="spellStart"/>
            <w:r>
              <w:rPr>
                <w:rFonts w:ascii="Calibri" w:hAnsi="Calibri"/>
              </w:rPr>
              <w:t>frontend</w:t>
            </w:r>
            <w:proofErr w:type="spellEnd"/>
            <w:r>
              <w:rPr>
                <w:rFonts w:ascii="Calibri" w:hAnsi="Calibri"/>
              </w:rPr>
              <w:t>/Web/Mobile. La evidencia consultada no permite afirmar que el equipo haya acordado una reasignación distinta.</w:t>
            </w:r>
          </w:p>
          <w:p w14:paraId="50705B6F" w14:textId="77777777" w:rsidR="00531F7A" w:rsidRDefault="00000000">
            <w:pPr>
              <w:spacing w:before="60" w:after="120"/>
              <w:rPr>
                <w:rFonts w:ascii="Calibri" w:hAnsi="Calibri"/>
              </w:rPr>
            </w:pPr>
            <w:r>
              <w:rPr>
                <w:rFonts w:ascii="Calibri" w:hAnsi="Calibri"/>
              </w:rPr>
              <w:t>Propongo distribuir las tareas de cierre dentro de esos ámbitos: Rafael revisa riesgos técnicos y criterios de aceptación, Luis organiza pruebas de navegación/dispositivos y Matías consolida evidencias y correspondencia con requisitos. Los tres revisan el resultado integrado. Esta distribución de pendientes debe confirmarse por el equipo y no certifica aportes individuales ya realizados.</w:t>
            </w:r>
          </w:p>
          <w:p w14:paraId="5641344C" w14:textId="77777777" w:rsidR="00B9191E" w:rsidRDefault="00B9191E">
            <w:pPr>
              <w:spacing w:before="60" w:after="120"/>
            </w:pPr>
          </w:p>
          <w:p w14:paraId="384D4AD9" w14:textId="77777777" w:rsidR="00B9191E" w:rsidRDefault="00B9191E">
            <w:pPr>
              <w:spacing w:before="60" w:after="120"/>
            </w:pPr>
          </w:p>
          <w:p w14:paraId="21F59F88" w14:textId="77777777" w:rsidR="00B9191E" w:rsidRDefault="00B9191E">
            <w:pPr>
              <w:spacing w:before="60" w:after="120"/>
            </w:pPr>
          </w:p>
        </w:tc>
      </w:tr>
      <w:tr w:rsidR="004F2A8B" w14:paraId="2AA2AE47" w14:textId="77777777" w:rsidTr="3D28A338">
        <w:trPr>
          <w:trHeight w:val="440"/>
        </w:trPr>
        <w:tc>
          <w:tcPr>
            <w:tcW w:w="10076" w:type="dxa"/>
            <w:vAlign w:val="center"/>
          </w:tcPr>
          <w:p w14:paraId="018A1DB7"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5CD1DE2D" w14:textId="77777777" w:rsidTr="3D28A338">
        <w:tc>
          <w:tcPr>
            <w:tcW w:w="10076" w:type="dxa"/>
            <w:shd w:val="clear" w:color="auto" w:fill="DEEAF6" w:themeFill="accent1" w:themeFillTint="33"/>
            <w:vAlign w:val="center"/>
          </w:tcPr>
          <w:p w14:paraId="3E04A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C18F77B" w14:textId="77777777" w:rsidR="00B9191E" w:rsidRDefault="00B9191E">
            <w:pPr>
              <w:spacing w:before="60" w:after="120"/>
              <w:rPr>
                <w:rFonts w:ascii="Calibri" w:hAnsi="Calibri"/>
                <w:b/>
              </w:rPr>
            </w:pPr>
          </w:p>
          <w:p w14:paraId="692C6AE4" w14:textId="30F257A4" w:rsidR="00531F7A" w:rsidRDefault="00000000">
            <w:pPr>
              <w:spacing w:before="60" w:after="120"/>
            </w:pPr>
            <w:r>
              <w:rPr>
                <w:rFonts w:ascii="Calibri" w:hAnsi="Calibri"/>
              </w:rPr>
              <w:t>La definición de funciones complementarias es una fortaleza del trabajo grupal: permite relacionar documentación, interfaz y núcleo técnico. El resultado integrado es observable en el repositorio, pero no basta para evaluar por sí solo participación, coordinación o cumplimiento individual de cada compañero.</w:t>
            </w:r>
          </w:p>
          <w:p w14:paraId="680D9B32" w14:textId="77777777" w:rsidR="00531F7A" w:rsidRDefault="00000000">
            <w:pPr>
              <w:spacing w:before="60" w:after="120"/>
            </w:pPr>
            <w:r>
              <w:rPr>
                <w:rFonts w:ascii="Calibri" w:hAnsi="Calibri"/>
              </w:rPr>
              <w:t>Mejoraría la revisión conjunta de los entregables de cascada, el registro de decisiones y la identificación del responsable de cada pendiente. Antes de entregar, cada integrante debe validar lo que se le atribuye y aportar sus conclusiones personales; el docente conserva la evaluación del desempeño grupal.</w:t>
            </w:r>
          </w:p>
          <w:p w14:paraId="6D07BC5B" w14:textId="083D40F9" w:rsidR="00531F7A" w:rsidRDefault="00531F7A">
            <w:pPr>
              <w:spacing w:before="60" w:after="120"/>
            </w:pPr>
          </w:p>
        </w:tc>
      </w:tr>
    </w:tbl>
    <w:p w14:paraId="6AF605CC" w14:textId="44DB1FC5" w:rsidR="00531F7A" w:rsidRDefault="00531F7A">
      <w:pPr>
        <w:spacing w:before="60" w:after="120" w:line="240" w:lineRule="auto"/>
      </w:pPr>
    </w:p>
    <w:sectPr w:rsidR="00531F7A"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DDBF" w14:textId="77777777" w:rsidR="004E5D25" w:rsidRDefault="004E5D25" w:rsidP="00DF38AE">
      <w:pPr>
        <w:spacing w:after="0" w:line="240" w:lineRule="auto"/>
      </w:pPr>
      <w:r>
        <w:separator/>
      </w:r>
    </w:p>
  </w:endnote>
  <w:endnote w:type="continuationSeparator" w:id="0">
    <w:p w14:paraId="7DFB6347" w14:textId="77777777" w:rsidR="004E5D25" w:rsidRDefault="004E5D2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C84EBB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B112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0DB112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DF1E1" w14:textId="77777777" w:rsidR="004E5D25" w:rsidRDefault="004E5D25" w:rsidP="00DF38AE">
      <w:pPr>
        <w:spacing w:after="0" w:line="240" w:lineRule="auto"/>
      </w:pPr>
      <w:r>
        <w:separator/>
      </w:r>
    </w:p>
  </w:footnote>
  <w:footnote w:type="continuationSeparator" w:id="0">
    <w:p w14:paraId="061AC85C" w14:textId="77777777" w:rsidR="004E5D25" w:rsidRDefault="004E5D2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37CEAA95" w14:textId="77777777" w:rsidTr="00C5460F">
      <w:trPr>
        <w:trHeight w:val="697"/>
      </w:trPr>
      <w:tc>
        <w:tcPr>
          <w:tcW w:w="5707" w:type="dxa"/>
          <w:tcBorders>
            <w:top w:val="nil"/>
            <w:left w:val="nil"/>
            <w:bottom w:val="nil"/>
            <w:right w:val="nil"/>
          </w:tcBorders>
        </w:tcPr>
        <w:p w14:paraId="010B274A"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3EEE0AE"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1E2E3FCB"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F51FFC9"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E72EF39"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B5B7946" w14:textId="77777777" w:rsidTr="009C76B3">
      <w:trPr>
        <w:trHeight w:val="1091"/>
      </w:trPr>
      <w:tc>
        <w:tcPr>
          <w:tcW w:w="675" w:type="dxa"/>
          <w:tcBorders>
            <w:top w:val="nil"/>
            <w:left w:val="nil"/>
            <w:bottom w:val="nil"/>
            <w:right w:val="nil"/>
          </w:tcBorders>
          <w:hideMark/>
        </w:tcPr>
        <w:p w14:paraId="236E967B"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648FA088"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50E75EB"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6CEA385"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0063F592"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15D083C2"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7F486BCB"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9642974">
    <w:abstractNumId w:val="3"/>
  </w:num>
  <w:num w:numId="2" w16cid:durableId="1043406331">
    <w:abstractNumId w:val="8"/>
  </w:num>
  <w:num w:numId="3" w16cid:durableId="1968930423">
    <w:abstractNumId w:val="12"/>
  </w:num>
  <w:num w:numId="4" w16cid:durableId="745760256">
    <w:abstractNumId w:val="28"/>
  </w:num>
  <w:num w:numId="5" w16cid:durableId="938172747">
    <w:abstractNumId w:val="30"/>
  </w:num>
  <w:num w:numId="6" w16cid:durableId="1309746471">
    <w:abstractNumId w:val="4"/>
  </w:num>
  <w:num w:numId="7" w16cid:durableId="515509461">
    <w:abstractNumId w:val="11"/>
  </w:num>
  <w:num w:numId="8" w16cid:durableId="1949385499">
    <w:abstractNumId w:val="19"/>
  </w:num>
  <w:num w:numId="9" w16cid:durableId="216555605">
    <w:abstractNumId w:val="15"/>
  </w:num>
  <w:num w:numId="10" w16cid:durableId="2109152742">
    <w:abstractNumId w:val="9"/>
  </w:num>
  <w:num w:numId="11" w16cid:durableId="1131048259">
    <w:abstractNumId w:val="24"/>
  </w:num>
  <w:num w:numId="12" w16cid:durableId="1846480866">
    <w:abstractNumId w:val="35"/>
  </w:num>
  <w:num w:numId="13" w16cid:durableId="526211429">
    <w:abstractNumId w:val="29"/>
  </w:num>
  <w:num w:numId="14" w16cid:durableId="1577090010">
    <w:abstractNumId w:val="1"/>
  </w:num>
  <w:num w:numId="15" w16cid:durableId="1799489203">
    <w:abstractNumId w:val="36"/>
  </w:num>
  <w:num w:numId="16" w16cid:durableId="920257133">
    <w:abstractNumId w:val="21"/>
  </w:num>
  <w:num w:numId="17" w16cid:durableId="1874532777">
    <w:abstractNumId w:val="17"/>
  </w:num>
  <w:num w:numId="18" w16cid:durableId="1727411250">
    <w:abstractNumId w:val="31"/>
  </w:num>
  <w:num w:numId="19" w16cid:durableId="1147237238">
    <w:abstractNumId w:val="10"/>
  </w:num>
  <w:num w:numId="20" w16cid:durableId="1580747229">
    <w:abstractNumId w:val="39"/>
  </w:num>
  <w:num w:numId="21" w16cid:durableId="205798648">
    <w:abstractNumId w:val="34"/>
  </w:num>
  <w:num w:numId="22" w16cid:durableId="2021344813">
    <w:abstractNumId w:val="13"/>
  </w:num>
  <w:num w:numId="23" w16cid:durableId="871726167">
    <w:abstractNumId w:val="14"/>
  </w:num>
  <w:num w:numId="24" w16cid:durableId="1038428415">
    <w:abstractNumId w:val="5"/>
  </w:num>
  <w:num w:numId="25" w16cid:durableId="1750538209">
    <w:abstractNumId w:val="16"/>
  </w:num>
  <w:num w:numId="26" w16cid:durableId="1891990463">
    <w:abstractNumId w:val="20"/>
  </w:num>
  <w:num w:numId="27" w16cid:durableId="1227570941">
    <w:abstractNumId w:val="23"/>
  </w:num>
  <w:num w:numId="28" w16cid:durableId="1505316697">
    <w:abstractNumId w:val="0"/>
  </w:num>
  <w:num w:numId="29" w16cid:durableId="264970832">
    <w:abstractNumId w:val="18"/>
  </w:num>
  <w:num w:numId="30" w16cid:durableId="1025787839">
    <w:abstractNumId w:val="22"/>
  </w:num>
  <w:num w:numId="31" w16cid:durableId="1377663196">
    <w:abstractNumId w:val="2"/>
  </w:num>
  <w:num w:numId="32" w16cid:durableId="177084265">
    <w:abstractNumId w:val="7"/>
  </w:num>
  <w:num w:numId="33" w16cid:durableId="950211059">
    <w:abstractNumId w:val="32"/>
  </w:num>
  <w:num w:numId="34" w16cid:durableId="665131447">
    <w:abstractNumId w:val="38"/>
  </w:num>
  <w:num w:numId="35" w16cid:durableId="374046693">
    <w:abstractNumId w:val="6"/>
  </w:num>
  <w:num w:numId="36" w16cid:durableId="176889267">
    <w:abstractNumId w:val="25"/>
  </w:num>
  <w:num w:numId="37" w16cid:durableId="1794788994">
    <w:abstractNumId w:val="37"/>
  </w:num>
  <w:num w:numId="38" w16cid:durableId="435559338">
    <w:abstractNumId w:val="27"/>
  </w:num>
  <w:num w:numId="39" w16cid:durableId="103817331">
    <w:abstractNumId w:val="26"/>
  </w:num>
  <w:num w:numId="40" w16cid:durableId="19542889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5D25"/>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1F7A"/>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491"/>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4DA"/>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145"/>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91E"/>
    <w:rsid w:val="00B91FA9"/>
    <w:rsid w:val="00B92479"/>
    <w:rsid w:val="00B92A2F"/>
    <w:rsid w:val="00B939BC"/>
    <w:rsid w:val="00B9451E"/>
    <w:rsid w:val="00B9515E"/>
    <w:rsid w:val="00BA08CC"/>
    <w:rsid w:val="00BA0F53"/>
    <w:rsid w:val="00BA15EA"/>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9AC"/>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847F9"/>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782</Words>
  <Characters>4304</Characters>
  <Application>Microsoft Office Word</Application>
  <DocSecurity>0</DocSecurity>
  <Lines>35</Lines>
  <Paragraphs>10</Paragraphs>
  <ScaleCrop>false</ScaleCrop>
  <Company>Wal-Mart Stores, Inc.</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Bastian Garrido Pinto</cp:lastModifiedBy>
  <cp:revision>2</cp:revision>
  <cp:lastPrinted>2019-12-16T20:10:00Z</cp:lastPrinted>
  <dcterms:created xsi:type="dcterms:W3CDTF">2026-10-18T21:39:00Z</dcterms:created>
  <dcterms:modified xsi:type="dcterms:W3CDTF">2026-10-18T21:39:00Z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