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p>
      <w:pPr>
        <w:keepLines w:val="0"/>
        <w:widowControl/>
        <w:spacing w:before="60" w:after="120" w:line="240" w:lineRule="auto"/>
      </w:pPr>
      <w:r>
        <w:rPr>
          <w:rFonts w:ascii="Calibri" w:hAnsi="Calibri"/>
          <w:b/>
          <w:sz w:val="22"/>
        </w:rPr>
        <w:t>PMP Suite: Plataforma integral para la gestión y trazabilidad del mantenimiento de validadores y consolas del transporte público</w:t>
      </w:r>
    </w:p>
    <w:p>
      <w:pPr>
        <w:keepLines w:val="0"/>
        <w:widowControl/>
        <w:spacing w:before="60" w:after="120" w:line="240" w:lineRule="auto"/>
      </w:pPr>
      <w:r>
        <w:rPr>
          <w:rFonts w:ascii="Calibri" w:hAnsi="Calibri"/>
          <w:b w:val="0"/>
          <w:sz w:val="22"/>
        </w:rPr>
        <w:t>Rafael Oteiza · Ingeniería en Informática · Sede San Joaquín</w:t>
      </w:r>
    </w:p>
    <w:p>
      <w:pPr>
        <w:keepLines w:val="0"/>
        <w:widowControl/>
        <w:spacing w:before="60" w:after="120" w:line="240" w:lineRule="auto"/>
      </w:pPr>
      <w:r>
        <w:rPr>
          <w:rFonts w:ascii="Calibri" w:hAnsi="Calibri"/>
          <w:b w:val="0"/>
          <w:sz w:val="22"/>
        </w:rPr>
        <w:t>Fase 2 · Metodología en cascada · Corte documental: 13 de octubre de 2026</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p>
      <w:pPr>
        <w:keepNext/>
        <w:keepLines w:val="0"/>
        <w:pageBreakBefore/>
        <w:widowControl/>
        <w:spacing w:before="60" w:after="120" w:line="240" w:lineRule="auto"/>
      </w:pPr>
      <w:r>
        <w:rPr>
          <w:rFonts w:ascii="Calibri" w:hAnsi="Calibri"/>
          <w:b/>
          <w:sz w:val="22"/>
        </w:rPr>
        <w:t>Antecedentes para la evaluación formativa</w:t>
      </w:r>
    </w:p>
    <w:p>
      <w:pPr>
        <w:keepLines w:val="0"/>
        <w:widowControl/>
        <w:spacing w:before="60" w:after="120" w:line="240" w:lineRule="auto"/>
      </w:pPr>
      <w:r>
        <w:rPr>
          <w:rFonts w:ascii="Calibri" w:hAnsi="Calibri"/>
          <w:b w:val="0"/>
          <w:sz w:val="22"/>
        </w:rPr>
        <w:t>Proyecto grupal: Luis Arenas · Matías Garrido · Rafael Oteiza. Evidencia individual presentada por Rafael Oteiza. Corte: 13 de octubre de 2026. Esta pauta corresponde a heteroevaluación; se conserva sin asignar calificaciones, marcar niveles ni atribuir retroalimentación al docente. Se completan los antecedentes y evidencias necesarios para que el docente la aplique.</w:t>
      </w:r>
    </w:p>
    <w:p>
      <w:pPr>
        <w:keepNext/>
        <w:keepLines w:val="0"/>
        <w:widowControl/>
        <w:spacing w:before="60" w:after="120" w:line="240" w:lineRule="auto"/>
      </w:pPr>
      <w:r>
        <w:rPr>
          <w:rFonts w:ascii="Calibri" w:hAnsi="Calibri"/>
          <w:b/>
          <w:sz w:val="22"/>
        </w:rPr>
        <w:t>Indicador 1  Ajustes y fundamento</w:t>
      </w:r>
    </w:p>
    <w:p>
      <w:pPr>
        <w:keepLines w:val="0"/>
        <w:widowControl/>
        <w:spacing w:before="60" w:after="120" w:line="240" w:lineRule="auto"/>
      </w:pPr>
      <w:r>
        <w:rPr>
          <w:rFonts w:ascii="Calibri" w:hAnsi="Calibri"/>
          <w:b w:val="0"/>
          <w:sz w:val="22"/>
        </w:rPr>
        <w:t>El informe 2.4 identifica el cambio de metodología a cascada, conserva objetivos y documenta las mejoras de roles, Mobile, Web, reportes y análisis. Se justifican por trazabilidad, seguridad y claridad operacional. Se detallan facilitadores, dificultades y acciones pendientes. La retroalimentación docente aún no aportada no se da por recibida.</w:t>
      </w:r>
    </w:p>
    <w:p>
      <w:pPr>
        <w:keepNext/>
        <w:keepLines w:val="0"/>
        <w:widowControl/>
        <w:spacing w:before="60" w:after="120" w:line="240" w:lineRule="auto"/>
      </w:pPr>
      <w:r>
        <w:rPr>
          <w:rFonts w:ascii="Calibri" w:hAnsi="Calibri"/>
          <w:b/>
          <w:sz w:val="22"/>
        </w:rPr>
        <w:t>Indicador 2  Metodología pertinente</w:t>
      </w:r>
    </w:p>
    <w:p>
      <w:pPr>
        <w:keepLines w:val="0"/>
        <w:widowControl/>
        <w:spacing w:before="60" w:after="120" w:line="240" w:lineRule="auto"/>
      </w:pPr>
      <w:r>
        <w:rPr>
          <w:rFonts w:ascii="Calibri" w:hAnsi="Calibri"/>
          <w:b w:val="0"/>
          <w:sz w:val="22"/>
        </w:rPr>
        <w:t>Cascada se organiza en requisitos, diseño, construcción/integración, verificación y entrega. Cada etapa tiene artefactos y criterios de salida. El cambio respecto de Fase 1 es explícito y no altera ese documento histórico. Los retornos por defectos o cambios se gestionan con registro de impacto y nueva verificación.</w:t>
      </w:r>
    </w:p>
    <w:p>
      <w:pPr>
        <w:keepNext/>
        <w:keepLines w:val="0"/>
        <w:widowControl/>
        <w:spacing w:before="60" w:after="120" w:line="240" w:lineRule="auto"/>
      </w:pPr>
      <w:r>
        <w:rPr>
          <w:rFonts w:ascii="Calibri" w:hAnsi="Calibri"/>
          <w:b/>
          <w:sz w:val="22"/>
        </w:rPr>
        <w:t>Indicador 3  Evidencias del avance</w:t>
      </w:r>
    </w:p>
    <w:p>
      <w:pPr>
        <w:keepLines w:val="0"/>
        <w:widowControl/>
        <w:spacing w:before="60" w:after="120" w:line="240" w:lineRule="auto"/>
      </w:pPr>
      <w:r>
        <w:rPr>
          <w:rFonts w:ascii="Calibri" w:hAnsi="Calibri"/>
          <w:b w:val="0"/>
          <w:sz w:val="22"/>
        </w:rPr>
        <w:t>Evidencia histórica del 09-10-2026: backend 118/118 pruebas aprobadas; Mobile 210/210 con mocks; RBAC HTTP aislado, 99 solicitudes verificadas. El informe de esa fecha registra TypeScript y build Web aprobados y 176/177 pruebas Web, con un fallo de mock. Estos resultados no fueron ejecutados nuevamente al redactar Fase 2.</w:t>
      </w:r>
    </w:p>
    <w:p>
      <w:pPr>
        <w:keepLines w:val="0"/>
        <w:widowControl/>
        <w:spacing w:before="60" w:after="120" w:line="240" w:lineRule="auto"/>
      </w:pPr>
      <w:r>
        <w:rPr>
          <w:rFonts w:ascii="Calibri" w:hAnsi="Calibri"/>
          <w:b w:val="0"/>
          <w:sz w:val="22"/>
        </w:rPr>
        <w:t>Actualización Web del 12-10-2026: 37 páginas, 36 patrones de rutas protegidas y tres públicas revisados; matriz de 252 combinaciones rol-ruta. Se registraron 3.440 comprobaciones de renderizado y navegación sin fallos en Chromium con fixtures aislados, en ambos temas y anchos de 320 a 1.920 px. Incluye estados con datos, vacíos, carga, error, acceso denegado y navegación por teclado.</w:t>
      </w:r>
    </w:p>
    <w:p>
      <w:pPr>
        <w:keepLines w:val="0"/>
        <w:widowControl/>
        <w:spacing w:before="60" w:after="120" w:line="240" w:lineRule="auto"/>
      </w:pPr>
      <w:r>
        <w:rPr>
          <w:rFonts w:ascii="Calibri" w:hAnsi="Calibri"/>
          <w:b w:val="0"/>
          <w:sz w:val="22"/>
        </w:rPr>
        <w:t>Regresión Web más reciente documentada: 203/204 pruebas aprobadas. Persiste un fallo anterior en requirements.frontend.test.mjs por un mock Mobile que no exporta useAuth. TypeScript y build de producción aprobados. No hay script lint configurado; por tanto, lint no puede declararse aprobado. Las comprobaciones visuales no equivalen a 3.440 pruebas físicas ni a sesiones reales de cada usuario.</w:t>
      </w:r>
    </w:p>
    <w:p>
      <w:pPr>
        <w:keepLines w:val="0"/>
        <w:widowControl/>
        <w:spacing w:before="60" w:after="120" w:line="240" w:lineRule="auto"/>
      </w:pPr>
      <w:r>
        <w:rPr>
          <w:rFonts w:ascii="Calibri" w:hAnsi="Calibri"/>
          <w:b w:val="0"/>
          <w:sz w:val="22"/>
        </w:rPr>
        <w:t>Ciclo funcional simulado del 12-10-2026: 20/20 activos completaron el circuito; diez validadores y diez consolas, con 60/60 OS cerradas, 930 eventos marcados como sintéticos y 1.126 pasos combinados documentados. Incluye falta de repuestos, PoD, NFF y rechazo QA con nuevo ciclo. Los datos del lote fueron persistidos con autorización previa; la presente elaboración documental no añade ni modifica registros.</w:t>
      </w:r>
    </w:p>
    <w:p>
      <w:pPr>
        <w:keepLines w:val="0"/>
        <w:widowControl/>
        <w:spacing w:before="60" w:after="120" w:line="240" w:lineRule="auto"/>
      </w:pPr>
      <w:r>
        <w:rPr>
          <w:rFonts w:ascii="Calibri" w:hAnsi="Calibri"/>
          <w:b w:val="0"/>
          <w:sz w:val="22"/>
        </w:rPr>
        <w:t>Corrección de identidad del lote: consolas Waysion N9715 con series 9715B669769901–9715B669769910; se conservaron los mismos 20 activos, 60 OS, relaciones y fechas. La verificación histórica informa 2.166 filas comparadas en 26 tablas y ausencia de referencias antiguas en el alcance revisado. No se repitieron movimientos para corregir la identidad.</w:t>
      </w:r>
    </w:p>
    <w:p>
      <w:pPr>
        <w:keepLines w:val="0"/>
        <w:widowControl/>
        <w:spacing w:before="60" w:after="120" w:line="240" w:lineRule="auto"/>
      </w:pPr>
      <w:r>
        <w:rPr>
          <w:rFonts w:ascii="Calibri" w:hAnsi="Calibri"/>
          <w:b w:val="0"/>
          <w:sz w:val="22"/>
        </w:rPr>
        <w:t>Limitaciones de cierre. Permanecen la comprobación nativa de cámara/QR, PoD, teclado y continuidad de sesión en dispositivos iOS/Android reales; la aceptación física del proceso; las pruebas finales de rendimiento y seguridad en el entorno objetivo; la corrección del mock y la revisión docente. No se declara certificación productiva, precisión predictiva ni cumplimiento total de todas las funciones por el solo éxito del lote simulado.</w:t>
      </w:r>
    </w:p>
    <w:p>
      <w:pPr>
        <w:keepNext/>
        <w:keepLines w:val="0"/>
        <w:widowControl/>
        <w:spacing w:before="60" w:after="120" w:line="240" w:lineRule="auto"/>
      </w:pPr>
      <w:r>
        <w:rPr>
          <w:rFonts w:ascii="Calibri" w:hAnsi="Calibri"/>
          <w:b/>
          <w:sz w:val="22"/>
        </w:rPr>
        <w:t>Indicador 4  Calidad disciplinar</w:t>
      </w:r>
    </w:p>
    <w:p>
      <w:pPr>
        <w:keepLines w:val="0"/>
        <w:widowControl/>
        <w:spacing w:before="60" w:after="120" w:line="240" w:lineRule="auto"/>
      </w:pPr>
      <w:r>
        <w:rPr>
          <w:rFonts w:ascii="Calibri" w:hAnsi="Calibri"/>
          <w:b w:val="0"/>
          <w:sz w:val="22"/>
        </w:rPr>
        <w:t>Pruebas: diseño mediante matriz, aplicación mediante resultados fechados y mejora mediante correcciones verificadas. Gestión: planificación y monitoreo actualizados. Datos: modelo relacional y conservación de trazabilidad. Software: construcción e integración de Web, Mobile y API. La implantación final y aceptación física requieren evidencia adicional; no se presume logro total de todos los indicadores.</w:t>
      </w:r>
    </w:p>
    <w:p>
      <w:pPr>
        <w:keepNext/>
        <w:keepLines w:val="0"/>
        <w:widowControl/>
        <w:spacing w:before="60" w:after="120" w:line="240" w:lineRule="auto"/>
      </w:pPr>
      <w:r>
        <w:rPr>
          <w:rFonts w:ascii="Calibri" w:hAnsi="Calibri"/>
          <w:b/>
          <w:sz w:val="22"/>
        </w:rPr>
        <w:t>Indicador 5  Comunicación en inglés</w:t>
      </w:r>
    </w:p>
    <w:p>
      <w:pPr>
        <w:keepLines w:val="0"/>
        <w:widowControl/>
        <w:spacing w:before="60" w:after="120" w:line="240" w:lineRule="auto"/>
      </w:pPr>
      <w:r>
        <w:rPr>
          <w:rFonts w:ascii="Calibri" w:hAnsi="Calibri"/>
          <w:b w:val="0"/>
          <w:sz w:val="22"/>
        </w:rPr>
        <w:t>Los informes grupales incluyen resumen en español y abstract en inglés, además de conclusión y reflexión individual de Rafael en inglés. Las otras contribuciones personales deberán ser aportadas por sus autores. La evaluación del nivel de inglés corresponde al docente.</w:t>
      </w:r>
    </w:p>
    <w:p>
      <w:pPr>
        <w:keepNext/>
        <w:keepLines w:val="0"/>
        <w:widowControl/>
        <w:spacing w:before="60" w:after="120" w:line="240" w:lineRule="auto"/>
      </w:pPr>
      <w:r>
        <w:rPr>
          <w:rFonts w:ascii="Calibri" w:hAnsi="Calibri"/>
          <w:b/>
          <w:sz w:val="22"/>
        </w:rPr>
        <w:t>Cuestiones para retroalimentación docente</w:t>
      </w:r>
    </w:p>
    <w:p>
      <w:pPr>
        <w:keepLines w:val="0"/>
        <w:widowControl/>
        <w:spacing w:before="60" w:after="120" w:line="240" w:lineRule="auto"/>
      </w:pPr>
      <w:r>
        <w:rPr>
          <w:rFonts w:ascii="Calibri" w:hAnsi="Calibri"/>
          <w:b w:val="0"/>
          <w:sz w:val="22"/>
        </w:rPr>
        <w:t>Confirmar la adecuación de cascada y sus criterios de salida al proyecto ya avanzado; validar la planificación en semanas relativas frente al calendario académico real.</w:t>
      </w:r>
    </w:p>
    <w:p>
      <w:pPr>
        <w:keepLines w:val="0"/>
        <w:widowControl/>
        <w:spacing w:before="60" w:after="120" w:line="240" w:lineRule="auto"/>
      </w:pPr>
      <w:r>
        <w:rPr>
          <w:rFonts w:ascii="Calibri" w:hAnsi="Calibri"/>
          <w:b w:val="0"/>
          <w:sz w:val="22"/>
        </w:rPr>
        <w:t>Definir evidencia de aceptación física y pruebas nativas necesaria para el cierre; precisar exigencias finales de seguridad, rendimiento y despliegue dentro del alcance académico.</w:t>
      </w:r>
    </w:p>
    <w:p>
      <w:pPr>
        <w:keepLines w:val="0"/>
        <w:widowControl/>
        <w:spacing w:before="60" w:after="120" w:line="240" w:lineRule="auto"/>
      </w:pPr>
      <w:r>
        <w:rPr>
          <w:rFonts w:ascii="Calibri" w:hAnsi="Calibri"/>
          <w:b w:val="0"/>
          <w:sz w:val="22"/>
        </w:rPr>
        <w:t>Revisar correspondencia entre indicadores, anexos, referencias y resultados; acordar el tratamiento de la incidencia de mock y de las limitaciones pendientes.</w:t>
      </w:r>
    </w:p>
    <w:p>
      <w:pPr>
        <w:keepLines w:val="0"/>
        <w:widowControl/>
        <w:spacing w:before="60" w:after="120" w:line="240" w:lineRule="auto"/>
      </w:pPr>
      <w:r>
        <w:rPr>
          <w:rFonts w:ascii="Calibri" w:hAnsi="Calibri"/>
          <w:b w:val="0"/>
          <w:sz w:val="22"/>
        </w:rPr>
        <w:t>Evaluación docente: pendiente de aplicación. Observaciones, acuerdos, fecha de devolución y calificación: por registrar por el docente. No se completa una firma ni una aprobación inexistente.</w:t>
      </w:r>
    </w:p>
    <w:p>
      <w:pPr>
        <w:keepNext/>
        <w:keepLines w:val="0"/>
        <w:widowControl/>
        <w:spacing w:before="60" w:after="120" w:line="240" w:lineRule="auto"/>
      </w:pPr>
      <w:r>
        <w:rPr>
          <w:rFonts w:ascii="Calibri" w:hAnsi="Calibri"/>
          <w:b/>
          <w:sz w:val="22"/>
        </w:rPr>
        <w:t>Technical summary for review</w:t>
      </w:r>
    </w:p>
    <w:p>
      <w:pPr>
        <w:keepLines w:val="0"/>
        <w:widowControl/>
        <w:spacing w:before="60" w:after="120" w:line="240" w:lineRule="auto"/>
      </w:pPr>
      <w:r>
        <w:rPr>
          <w:rFonts w:ascii="Calibri" w:hAnsi="Calibri"/>
          <w:b w:val="0"/>
          <w:sz w:val="22"/>
        </w:rPr>
        <w:t>PMP Suite integrates maintenance management and traceability for public transport validators and consoles through a web application, a mobile client and an API connected to PostgreSQL and Firebase Authentication. Phase 2 confirms a waterfall methodology and consolidates requirements, design, implementation, verification and delivery through reviewable artifacts. The documented scope includes seven separate roles, physical custody, maintenance, quality assurance, stock, restricted technical history, Excel reports and read-only operational analysis. Available evidence includes automated tests, responsive interface checks and a synthetic lifecycle involving twenty assets. The integrated solution has verifiable progress, while native device checks, physical acceptance, final security and performance testing, and one test-mock defect remain open. Recurrence analysis supports inspection and replenishment decisions; it is neither a trained predictive model nor proof of causation.</w:t>
      </w:r>
    </w:p>
    <w:p>
      <w:pPr>
        <w:keepNext/>
        <w:keepLines w:val="0"/>
        <w:widowControl/>
        <w:spacing w:before="60" w:after="120" w:line="240" w:lineRule="auto"/>
      </w:pPr>
      <w:r>
        <w:rPr>
          <w:rFonts w:ascii="Calibri" w:hAnsi="Calibri"/>
          <w:b/>
          <w:sz w:val="22"/>
        </w:rPr>
        <w:t>Referencias para revisar</w:t>
      </w:r>
    </w:p>
    <w:p>
      <w:pPr>
        <w:keepLines w:val="0"/>
        <w:widowControl/>
        <w:spacing w:before="60" w:after="120" w:line="240" w:lineRule="auto"/>
      </w:pPr>
      <w:r>
        <w:rPr>
          <w:rFonts w:ascii="Calibri" w:hAnsi="Calibri"/>
          <w:b w:val="0"/>
          <w:sz w:val="22"/>
        </w:rPr>
        <w:t>[E1] Equipo PMP Suite. Fase 1, Guía de Definición del Proyecto APT (Español), apartados 2–8. Documentacion Capstone/Fase 1/Evidencias Grupales. Fuente de objetivos, competencias, integrantes, responsabilidades y cronograma original.</w:t>
      </w:r>
    </w:p>
    <w:p>
      <w:pPr>
        <w:keepLines w:val="0"/>
        <w:widowControl/>
        <w:spacing w:before="60" w:after="120" w:line="240" w:lineRule="auto"/>
      </w:pPr>
      <w:r>
        <w:rPr>
          <w:rFonts w:ascii="Calibri" w:hAnsi="Calibri"/>
          <w:b w:val="0"/>
          <w:sz w:val="22"/>
        </w:rPr>
        <w:t>[E3] Equipo PMP Suite. ERS_PMP_Suite_V2.0.md y matriz de requerimientos. Carpeta 01_Requerimientos. Base de alcance, definiciones, reglas y requisitos.</w:t>
      </w:r>
    </w:p>
    <w:p>
      <w:pPr>
        <w:keepLines w:val="0"/>
        <w:widowControl/>
        <w:spacing w:before="60" w:after="120" w:line="240" w:lineRule="auto"/>
      </w:pPr>
      <w:r>
        <w:rPr>
          <w:rFonts w:ascii="Calibri" w:hAnsi="Calibri"/>
          <w:b w:val="0"/>
          <w:sz w:val="22"/>
        </w:rPr>
        <w:t>[E4] Equipo PMP Suite. Arquitectura_Integral_PMP_Suite_V2.0.md, MODELO_DATOS_DICCIONARIO_V2.0.md, MODELO_ESTADOS_EVENTOS_V2.0.md y CATALOGO_API_V2.0.md. Carpeta 02_Arquitectura. Consultados para arquitectura, datos, autorización y flujos.</w:t>
      </w:r>
    </w:p>
    <w:p>
      <w:pPr>
        <w:keepLines w:val="0"/>
        <w:widowControl/>
        <w:spacing w:before="60" w:after="120" w:line="240" w:lineRule="auto"/>
      </w:pPr>
      <w:r>
        <w:rPr>
          <w:rFonts w:ascii="Calibri" w:hAnsi="Calibri"/>
          <w:b w:val="0"/>
          <w:sz w:val="22"/>
        </w:rPr>
        <w:t>[E5] Equipo PMP Suite. INFORME_PRUEBAS_V2.0.md, RBAC_SEGURIDAD_V2.0.md y MATRIZ_TRAZABILIDAD_V2.0.md. Carpeta 08_Pruebas. Resultados históricos con corte 09-10-2026; no representan una nueva ejecución.</w:t>
      </w:r>
    </w:p>
    <w:p>
      <w:pPr>
        <w:keepLines w:val="0"/>
        <w:widowControl/>
        <w:spacing w:before="60" w:after="120" w:line="240" w:lineRule="auto"/>
      </w:pPr>
      <w:r>
        <w:rPr>
          <w:rFonts w:ascii="Calibri" w:hAnsi="Calibri"/>
          <w:b w:val="0"/>
          <w:sz w:val="22"/>
        </w:rPr>
        <w:t>[E6] Equipo PMP Suite. CIERRE_CICLO_20_ACTIVOS_2026-10-12.md y evidencias/cierre_ciclo20_2026-10-12/RESULTADOS.json, PASOS_COMPLETOS.csv y fichas por activo. Carpeta 08_Pruebas. Evidencia del ciclo sintético, resultados y límites.</w:t>
      </w:r>
    </w:p>
    <w:p>
      <w:pPr>
        <w:keepLines w:val="0"/>
        <w:widowControl/>
        <w:spacing w:before="60" w:after="120" w:line="240" w:lineRule="auto"/>
      </w:pPr>
      <w:r>
        <w:rPr>
          <w:rFonts w:ascii="Calibri" w:hAnsi="Calibri"/>
          <w:b w:val="0"/>
          <w:sz w:val="22"/>
        </w:rPr>
        <w:t>[E7] Equipo PMP Suite. CORRECCION_SERIES_CONSOLAS_CICLO20_2026-10-12.md y evidencias/correccion_series_ciclo20_2026-10-12/VERIFICACION.json. Carpeta 08_Pruebas. Integridad de identidades y trazabilidad.</w:t>
      </w:r>
    </w:p>
    <w:p>
      <w:pPr>
        <w:keepLines w:val="0"/>
        <w:widowControl/>
        <w:spacing w:before="60" w:after="120" w:line="240" w:lineRule="auto"/>
      </w:pPr>
      <w:r>
        <w:rPr>
          <w:rFonts w:ascii="Calibri" w:hAnsi="Calibri"/>
          <w:b w:val="0"/>
          <w:sz w:val="22"/>
        </w:rPr>
        <w:t>[E8] Auditoría Web 12-10-2026. .local/pmp-verification/global-ui-2026-10-12/resultado-auditoria.json y final/after/role-route-matrix.json; logs global-ui-tests-final.log y global-ui-build-final.log en .local/pmp-verification. Evidencia local de 3.440 comprobaciones, regresión y build; conservar estos archivos junto al repositorio para su revisión.</w:t>
      </w:r>
    </w:p>
    <w:p>
      <w:pPr>
        <w:keepLines w:val="0"/>
        <w:widowControl/>
        <w:spacing w:before="60" w:after="120" w:line="240" w:lineRule="auto"/>
      </w:pPr>
      <w:r>
        <w:rPr>
          <w:rFonts w:ascii="Calibri" w:hAnsi="Calibri"/>
          <w:b w:val="0"/>
          <w:sz w:val="22"/>
        </w:rPr>
        <w:t>[E9] Código consultado al 13-10-2026: 03_Backend/pmp-api/src/services/maintenanceAnalysis.js; 06_ModelosIA/src/analyzer.py; 04_Frontend/src/pages/ReportsPage.tsx y src/utils/excelReport.ts; 07_Mobile/src/screens/SettingsScreens.js y src/services/accountSecurity.js. Fuente primaria para analítica, exportaciones y cuenta Mobile. La lectura de código confirma implementación, no una prueba de campo nueva.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