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Requisitos de software PMP Suite</w:t>
      </w:r>
    </w:p>
    <w:p>
      <w:pPr>
        <w:pStyle w:val="Subtitle"/>
      </w:pPr>
      <w:r>
        <w:t>SRS simplificado y criterios de aceptación</w:t>
      </w:r>
    </w:p>
    <w:p>
      <w:r>
        <w:t>Versión V2.0 · Revisión 14 de octubre de 2026</w:t>
      </w:r>
    </w:p>
    <w:p>
      <w:r>
        <w:t>Esta especificación resume el contrato funcional V2.0 para evaluación del Capstone. La ERS y las matrices conservan el detalle por identificador. La existencia de código no implica aceptación por usuarios; el corte de pruebas y sus límites está en ESTADO_Y_PENDIENTES.md.</w:t>
      </w:r>
    </w:p>
    <w:p>
      <w:pPr>
        <w:pStyle w:val="Heading2"/>
      </w:pPr>
      <w:r>
        <w:t>Alcance y actores</w:t>
      </w:r>
    </w:p>
    <w:p>
      <w:r>
        <w:t>El sistema sigue el activo por tipo y serie durante recepción, mantenimiento e instalación. Separa caso, orden de servicio, evento y referencia externa. Los siete roles son Admin, Gerente, Logística, Jefe de Laboratorio, Técnico Lab, QA y Técnico Terreno. Las operaciones se autorizan en Backend y los técnicos actúan sobre trabajo propio o asignado.</w:t>
      </w:r>
    </w:p>
    <w:p>
      <w:pPr>
        <w:pStyle w:val="Heading2"/>
      </w:pPr>
      <w:r>
        <w:t>Reglas transversales</w:t>
      </w:r>
    </w:p>
    <w:p>
      <w:pPr>
        <w:pStyle w:val="ListBullet"/>
      </w:pPr>
      <w:r>
        <w:t>La identidad tipo más serie es inmutable dentro de una OS. Validadores con prefijos conocidos derivan modelo y marca; un prefijo desconocido no se completa por inferencia.</w:t>
      </w:r>
    </w:p>
    <w:p>
      <w:pPr>
        <w:pStyle w:val="ListBullet"/>
      </w:pPr>
      <w:r>
        <w:t>Capturar o validar evidencia no cambia custodia. Confirmar una salida y confirmar la recepción son acciones diferentes.</w:t>
      </w:r>
    </w:p>
    <w:p>
      <w:pPr>
        <w:pStyle w:val="ListBullet"/>
      </w:pPr>
      <w:r>
        <w:t>La evidencia debe pertenecer al activo, estación, propósito y ciclo actuales. El rechazo QA exige un nuevo ciclo y recepción Lab.</w:t>
      </w:r>
    </w:p>
    <w:p>
      <w:pPr>
        <w:pStyle w:val="ListBullet"/>
      </w:pPr>
      <w:r>
        <w:t>La recepción inicial habilita stock sin crear OS. La IN nace al confirmar despacho a Terreno y conserva su origen de stock.</w:t>
      </w:r>
    </w:p>
    <w:p>
      <w:pPr>
        <w:pStyle w:val="ListBullet"/>
      </w:pPr>
      <w:r>
        <w:t>El descuento de repuestos corresponde a la entrega en Bodega, no al cierre técnico.</w:t>
      </w:r>
    </w:p>
    <w:p>
      <w:pPr>
        <w:pStyle w:val="ListBullet"/>
      </w:pPr>
      <w:r>
        <w:t>Admin no hereda todas las operaciones y Gerente mantiene solo lectura operacional. Un error de consulta no se presenta como cero o una lista vacía.</w:t>
      </w:r>
    </w:p>
    <w:p>
      <w:pPr>
        <w:pStyle w:val="Heading2"/>
      </w:pPr>
      <w:r>
        <w:t>Glosario</w:t>
      </w:r>
    </w:p>
    <w:p>
      <w:r>
        <w:t>OS: orden de servicio. IN: orden de instalación. PoD: daño físico reportado con evidencia según el flujo. NFF: falla no encontrada, sin presumir reparación. SLA: tiempo del ciclo contado desde recepción Lab confirmada. Bridge: correlación de referencias, sin mover stock ni crear OS.</w:t>
      </w:r>
    </w:p>
    <w:p>
      <w:r>
        <w:br w:type="page"/>
      </w:r>
    </w:p>
    <w:p>
      <w:pPr>
        <w:pStyle w:val="Heading1"/>
      </w:pPr>
      <w:r>
        <w:t>Requisitos funcionales por proceso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Dominio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Comportamiento y aceptación observable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Autenticación y usuarios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Verificar token Firebase y rechazarlo si está revocado. Validar usuario activo y vínculo único. Rechazar identidad o rol inválidos. Solo Admin administra usuarios.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Activos y recepción inicial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Registrar identidad coherente. Sin confirmación física no hay disponibilidad ni nueva 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Casos y órdenes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Crear caso/OS con identidad y contexto consistentes. Conservar relaciones y referencias sin duplicar equipo.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Terreno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Mostrar trabajo propio, reportar falla, validar identidad y confirmar retiro. Exigir fotografía cuando la condición PoD lo requiere.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Bodega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Recepcionar y despachar con evidencia nueva. Distinguir tránsito de custodia y stock inicial de reparado.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Laboratorio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Jefatura recibe y asigna; técnico registra diagnóstico, intervención, pruebas y cierre sobre su OS. SLA empieza al recibir.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Repuestos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Registrar necesidad y entrega logística. Espera de repuesto y saldo deben corresponder al movimiento.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QA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Recibir, ejecutar Ambiente/pruebas y dictaminar. Dictamen no confirma salida; rechazo regresa por Bodega.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Instalación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Crear IN en despacho confirmado. Resultado operativo deja el activo en operación; fallo conserva retorno a Bodega.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Trazabilidad y consulta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Recuperar historia por activo, eventos y referencias con proyección por rol; conservar resultados vacíos y errores distintos.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Web y Mobile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Navegación por rol, estados legibles, perfil propio, apariencia y gestión de contraseña de la cuenta correspondiente.</w:t>
            </w:r>
          </w:p>
        </w:tc>
      </w:tr>
    </w:tbl>
    <w:p>
      <w:pPr>
        <w:spacing w:after="20"/>
      </w:pPr>
    </w:p>
    <w:p>
      <w:r>
        <w:t>Los identificadores completos y su implementación se consultan en la ERS y la matriz de trazabilidad. Esta tabla resume dominios y no reemplaza casos negativos ni criterios particulares.</w:t>
      </w:r>
    </w:p>
    <w:p>
      <w:r>
        <w:br w:type="page"/>
      </w:r>
    </w:p>
    <w:p>
      <w:pPr>
        <w:pStyle w:val="Heading1"/>
      </w:pPr>
      <w:r>
        <w:t>Conciliación de requisitos vigentes</w:t>
      </w:r>
    </w:p>
    <w:p>
      <w:r>
        <w:t>La matriz Excel del 13-10-2026 documenta discrepancias de la redacción basal. La revisión del 14-10 las sincroniza con ERS, matriz Markdown y estos Word. Se mantienen los IDs; no se modifican permisos ni se incorpora funcionalidad nueva.</w:t>
      </w:r>
    </w:p>
    <w:p>
      <w:pPr>
        <w:pStyle w:val="Heading2"/>
      </w:pPr>
      <w:r>
        <w:t>RF-IA-004 Inteligencia operacional</w:t>
      </w:r>
    </w:p>
    <w:p>
      <w:r>
        <w:t>Admin, Gerente, Jefe de Laboratorio y Logística pueden consultar mediante ai.read. Los demás roles son rechazados aunque manipulen parámetros de la solicitud. La redacción basal “solo Admin/Gerente” queda como antecedente de la discrepancia resuelta documentalmente. El nombre legacy predictive-report no convierte la heurística en predicción entrenada.</w:t>
      </w:r>
    </w:p>
    <w:p>
      <w:r>
        <w:t>Criterio: verificar permisos en /api/ai/operational-insights y /api/ai/predictive-report. Fuente: security/authorization.js y routes/ai.routes.js; evidencia automatizada disponible en operational-insights.test.js.</w:t>
      </w:r>
    </w:p>
    <w:p>
      <w:pPr>
        <w:pStyle w:val="Heading2"/>
      </w:pPr>
      <w:r>
        <w:t>RF-TRZ-005 Historial técnico restringido</w:t>
      </w:r>
    </w:p>
    <w:p>
      <w:r>
        <w:t>Técnico Terreno y Jefe de Laboratorio reciben desde la API la proyección técnica permitida. Se excluyen auditoría administrativa, stock y metadatos restringidos antes de responder JSON. Los demás roles conservan su acceso autorizado. El texto basal mencionaba solo Terreno.</w:t>
      </w:r>
    </w:p>
    <w:p>
      <w:r>
        <w:t>Criterio: comprobar respuesta permitida, exclusión de información restringida y rechazo de rutas administrativas. Fuente: bridge.routes.js y technicalAssetHistory.js; ver technical-history.test.js y las pruebas Mobile de historial.</w:t>
      </w:r>
    </w:p>
    <w:p>
      <w:pPr>
        <w:pStyle w:val="Heading2"/>
      </w:pPr>
      <w:r>
        <w:t>RF-DASH-009 y extensión de reportes</w:t>
      </w:r>
    </w:p>
    <w:p>
      <w:r>
        <w:t>Se conserva el requisito de reportes Lab para Admin, Gerente y Jefe de Laboratorio. Se formaliza por separado la extensión ya implementada: Centro de reportes y Excel para esos roles y Logística, limitada a las consultas permitidas de cada área. No habilita exportación a Técnico Lab, QA ni Terreno.</w:t>
      </w:r>
    </w:p>
    <w:p>
      <w:r>
        <w:t>Criterio: exportar todos los registros que coincidan con filtros, abortar una descarga parcial, mantener series como texto y excluir columnas restringidas. Fuentes: reportCatalog.ts, excelReport.ts y las pruebas excel-report y reports-center. Una descarga no altera datos operacionales.</w:t>
      </w:r>
    </w:p>
    <w:p>
      <w:r>
        <w:br w:type="page"/>
      </w:r>
    </w:p>
    <w:p>
      <w:pPr>
        <w:pStyle w:val="Heading1"/>
      </w:pPr>
      <w:r>
        <w:t>Calidad y aceptación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Grupo no funcional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Criterio verificable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Seguridad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Token y revocación verificados; roles y alcance en servidor; no filtrar credenciales ni SQL al cliente.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Integridad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Transacciones, FKs, checks e identidad inmutable; reintento compatible idempotente y conflicto 409.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Confiabilidad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Distinguir 401, 403, 409 y 422 de fallo interno. Preservar errores y borradores cuando corresponde.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Rendimiento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Consultas acotadas, paginación e índices. Medir tiempos en entorno descartable; no hay nueva aprobación de carga.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Experiencia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Estados con texto y tono, foco visible, campos derivados protegidos, teclado y contraste legibles.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Compatibilidad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Build Web y exportación Expo; aceptación nativa requiere dispositivos reales.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Mantenibilidad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Contratos shared, política de roles centralizada y documentación coherente con código.</w:t>
            </w:r>
          </w:p>
        </w:tc>
      </w:tr>
    </w:tbl>
    <w:p>
      <w:pPr>
        <w:spacing w:after="20"/>
      </w:pPr>
    </w:p>
    <w:p>
      <w:pPr>
        <w:pStyle w:val="Heading2"/>
      </w:pPr>
      <w:r>
        <w:t>Condición de aceptación</w:t>
      </w:r>
    </w:p>
    <w:p>
      <w:r>
        <w:t>Los casos críticos deben demostrar identidad, custodia, evidencia por ciclo, permisos y continuidad QA. Deben ejecutarse recorridos reales por rol y plataforma, registrar incidencias y repetir los casos afectados. No se exige ni se declara precisión predictiva: la analítica orienta revisión humana con sus límites visibles.</w:t>
      </w:r>
    </w:p>
    <w:p>
      <w:pPr>
        <w:pStyle w:val="Heading2"/>
      </w:pPr>
      <w:r>
        <w:t>Fuentes localizables</w:t>
      </w:r>
    </w:p>
    <w:p>
      <w:r>
        <w:t>01_Requerimientos/ERS_PMP_Suite_V2.0.md y Matriz_Requerimientos_PMP_Suite.xlsx, hoja Matriz V2.0.</w:t>
      </w:r>
    </w:p>
    <w:p>
      <w:r>
        <w:t>08_Pruebas/MATRIZ_TRAZABILIDAD_V2.0.md: relación de requisitos, código y verificadores.</w:t>
      </w:r>
    </w:p>
    <w:p>
      <w:r>
        <w:t>Documentacion Capstone/ESTADO_Y_PENDIENTES.md: resultados actuales y condiciones de cierre.</w:t>
      </w:r>
    </w:p>
    <w:p>
      <w:r>
        <w:t>03_Plan_Pruebas_Evidencias_PMP_Suite_V2.0.docx: estrategia y casos de validación.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PMP Suite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 software PMP Suite</dc:title>
  <dc:subject>PMP Suite V2.0 Capstone</dc:subject>
  <dc:creator>Equipo PMP Suite</dc:creator>
  <cp:keywords>PMP Suite, Capstone, cascada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