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de PMP Suite</w:t>
      </w:r>
    </w:p>
    <w:p>
      <w:pPr>
        <w:pStyle w:val="Subtitle"/>
      </w:pPr>
      <w:r>
        <w:t>Arquitectura y decisiones de implementación</w:t>
      </w:r>
    </w:p>
    <w:p>
      <w:r>
        <w:t>Versión V2.0 · Revisión 14 de octubre de 2026</w:t>
      </w:r>
    </w:p>
    <w:p>
      <w:r>
        <w:t>Web y Mobile acceden a una API Express. Firebase identifica al usuario; PostgreSQL conserva el rol efectivo y los datos del dominio. La API ejecuta la heurística Python y servicios Node de análisis de lectura. El desarrollo local usa HTTP; HTTPS corresponde al despliegue protegido que debe validarse.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11815" cy="4297680"/>
            <wp:docPr id="1" name="Picture 1" descr="Figura 1. Arquitectura lógica. Fuente editable: Diagramas_PlantUML/02_Arquitectura_Logica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quitectura_Logica_V2.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1815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Arquitectura lógica. Fuente editable: Diagramas_PlantUML/02_Arquitectura_Logica_V2.0.puml.</w:t>
      </w:r>
    </w:p>
    <w:p>
      <w:pPr>
        <w:sectPr>
          <w:footerReference w:type="default" r:id="rId9"/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Identidad y autorización</w:t>
      </w:r>
    </w:p>
    <w:p>
      <w:r>
        <w:t>La API verifica el token con revocación, resuelve una identidad activa y única en pmp.usuarios y aplica permisos y alcance del recurso. Admin no tiene autorización universal. El historial de Terreno y Jefe Lab se reduce antes de serializar la respuesta.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1922" cy="5897879"/>
            <wp:docPr id="2" name="Picture 2" descr="Figura 2. Autenticación y autorización. Fuente: Diagramas_PlantUML/Vistas_Detalle/04_01_Autenticacion_y_autoriza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_Autenticacion_y_autorizacion_V2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922" cy="589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Autenticación y autorización. Fuente: Diagramas_PlantUML/Vistas_Detalle/04_01_Autenticacion_y_autorizacion_V2.0.puml.</w:t>
      </w:r>
    </w:p>
    <w:p>
      <w:r>
        <w:t>Fuentes de implementación: middleware/firebaseAuth.js, ensureUser.js y security/authorization.js. La sesión cliente conserva el contrato de shared/sessionToken.js.</w:t>
      </w:r>
    </w:p>
    <w:p>
      <w:pPr>
        <w:sectPr>
          <w:pgSz w:w="12240" w:h="15840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Modelo del dominio y persistencia</w:t>
      </w:r>
    </w:p>
    <w:p>
      <w:r>
        <w:t>Activo es el concepto lógico tipo más serie, almacenado en validadores o consolas. Caso agrupa trabajo y una OS conserva su identidad. Los eventos registran cambios y permiten stock inicial sin OS. El modelo conceptual expresa el flujo vigente; el SQL conserva nulabilidad de registros heredados, por ejemplo en registro_reparaciones.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739349" cy="3246120"/>
            <wp:docPr id="3" name="Picture 3" descr="Figura 3. Relaciones conceptuales. Fuente: Diagramas_PlantUML/07_UML_Clases_Conceptuales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ML_Clases_Conceptuales_V2.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9349" cy="324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Relaciones conceptuales. Fuente: Diagramas_PlantUML/07_UML_Clases_Conceptuales_V2.0.puml.</w:t>
      </w:r>
    </w:p>
    <w:p>
      <w:r>
        <w:t>El esquema contiene 26 tablas. Maestros y configuración: usuarios, estados, ubicaciones, terminales, PST, buses y repuestos. Operación: casos, OS, evidencia, eventos, reparaciones, solicitudes, guías y referencias. El ERD general y sus cinco vistas temáticas permanecen en Diagramas_PlantUML; schema_actual.sql es la referencia física de FKs, checks e índices.</w:t>
      </w:r>
    </w:p>
    <w:p>
      <w:pPr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Órdenes y estados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79298" cy="6720840"/>
            <wp:docPr id="4" name="Picture 4" descr="Figura 4. Relación entre caso, OS, estado y ubicación. Fuente: Diagramas_PlantUML/Vistas_Detalle/05_02_Orden_y_estado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02_Orden_y_estado_V2.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9298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Relación entre caso, OS, estado y ubicación. Fuente: Diagramas_PlantUML/Vistas_Detalle/05_02_Orden_y_estado_V2.0.puml.</w:t>
      </w:r>
    </w:p>
    <w:p>
      <w:r>
        <w:t>Una OS debe tener estado y un único tipo de equipo. Caso, ubicación y asignaciones pueden ser nulos según el esquema; validador y consola son excluyentes mediante check. El detalle completo de cardinalidades permanece en el ERD editable.</w:t>
      </w:r>
    </w:p>
    <w:p>
      <w:r>
        <w:br w:type="page"/>
      </w:r>
    </w:p>
    <w:p>
      <w:pPr>
        <w:pStyle w:val="Heading1"/>
      </w:pPr>
      <w:r>
        <w:t>Custodia y continuidad del rechazo QA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29720" cy="7086600"/>
            <wp:docPr id="5" name="Picture 5" descr="Figura 5. Ciclo Lab y QA. El rechazo retorna a Bodega y exige otra recepción Lab, SLA y evidencia del nuevo ciclo. Fuente: Diagramas_PlantUML/11_Ciclo_Laboratorio_SLA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iclo_Laboratorio_SLA_V2.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972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Ciclo Lab y QA. El rechazo retorna a Bodega y exige otra recepción Lab, SLA y evidencia del nuevo ciclo. Fuente: Diagramas_PlantUML/11_Ciclo_Laboratorio_SLA_V2.0.puml.</w:t>
      </w:r>
    </w:p>
    <w:p>
      <w:pPr>
        <w:sectPr>
          <w:pgSz w:w="12240" w:h="15840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Alta y recepción inicial</w:t>
      </w:r>
    </w:p>
    <w:p>
      <w:r>
        <w:t>Registrar el maestro no crea disponibilidad. La recepción inicial confirma presencia y habilita stock con un evento de origen; no necesita una OS ficticia. Las lecturas y confirmaciones permanecen separadas.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171610" cy="4617720"/>
            <wp:docPr id="6" name="Picture 6" descr="Figura 6. Alta y recepción sin OS. Fuente: Diagramas_PlantUML/Vistas_Detalle/10_01_Alta_y_recep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01_Alta_y_recepcion_V2.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161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Alta y recepción sin OS. Fuente: Diagramas_PlantUML/Vistas_Detalle/10_01_Alta_y_recepcion_V2.0.puml.</w:t>
      </w:r>
    </w:p>
    <w:p>
      <w:pPr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</w:pPr>
      <w:r>
        <w:t>Despacho e instalación</w:t>
      </w:r>
    </w:p>
    <w:p>
      <w:r>
        <w:t>La confirmación logística crea la IN y consume el origen de stock en una transacción. El resultado de Terreno puede dejar el activo operativo o registrar instalación fallida y retorno a Bodega; no se presume éxito.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65668" cy="6217919"/>
            <wp:docPr id="7" name="Picture 7" descr="Figura 7. Despacho y resultado de instalación. Fuente: Diagramas_PlantUML/Vistas_Detalle/10_02_Despacho_e_instalacion_V2.0.pum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02_Despacho_e_instalacion_V2.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65668" cy="621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Despacho y resultado de instalación. Fuente: Diagramas_PlantUML/Vistas_Detalle/10_02_Despacho_e_instalacion_V2.0.puml.</w:t>
      </w:r>
    </w:p>
    <w:p>
      <w:r>
        <w:br w:type="page"/>
      </w:r>
    </w:p>
    <w:p>
      <w:pPr>
        <w:pStyle w:val="Heading1"/>
      </w:pPr>
      <w:r>
        <w:t>Componentes y decisiones técnicas</w:t>
      </w:r>
    </w:p>
    <w:p>
      <w:pPr>
        <w:pStyle w:val="Heading2"/>
      </w:pPr>
      <w:r>
        <w:t>API y consistencia</w:t>
      </w:r>
    </w:p>
    <w:p>
      <w:r>
        <w:t>Las rutas aplican identidad y autorización antes de ejecutar servicios de dominio. Las operaciones críticas usan transacciones, validan evidencia y rechazan reintentos incompatibles. Los códigos HTTP separan autenticación, permisos, conflicto, validación y fallo interno. Bridge vincula referencias; sus operaciones legacy retiradas responden 410.</w:t>
      </w:r>
    </w:p>
    <w:p>
      <w:pPr>
        <w:pStyle w:val="Heading2"/>
      </w:pPr>
      <w:r>
        <w:t>Clientes y reportes</w:t>
      </w:r>
    </w:p>
    <w:p>
      <w:r>
        <w:t>Web organiza rutas, navegación, sesión, páginas y utilidades de reportes. Mobile separa pantallas, contexto de sesión/apariencia y servicios. Ambos reutilizan identidad y sesión de shared. El Centro de reportes define consultas por rol y filtros; la descarga Excel recopila páginas completas, preserva series y no confirma movimientos.</w:t>
      </w:r>
    </w:p>
    <w:p>
      <w:pPr>
        <w:pStyle w:val="Heading2"/>
      </w:pPr>
      <w:r>
        <w:t>Analítica existente</w:t>
      </w:r>
    </w:p>
    <w:p>
      <w:r>
        <w:t>analyzer.py calcula una puntuación heurística a partir de fallas previas y etiquetas como EMV. No contiene entrenamiento ni validación de un modelo predictivo. Los servicios Node maintenanceAnalysis y operationalInsights describen recurrencia, intervenciones y salidas de repuestos. Los intervalos entre reportes no son MTBF y una entrega de repuesto no demuestra instalación.</w:t>
      </w:r>
    </w:p>
    <w:p>
      <w:r>
        <w:t>Las estimaciones requieren historia suficiente: al menos tres intervalos y treinta días para recurrencia; demanda usa una ventana de noventa días, al menos tres entregas reales y treinta días observados. Se deben respetar las exclusiones de simulación y las limitaciones del método; no se generan compras ni OS automáticas.</w:t>
      </w:r>
    </w:p>
    <w:p>
      <w:pPr>
        <w:pStyle w:val="Heading2"/>
      </w:pPr>
      <w:r>
        <w:t>Datos y despliegue</w:t>
      </w:r>
    </w:p>
    <w:p>
      <w:r>
        <w:t>Se conserva PostgreSQL y Firebase existentes. El esquema sin filas no reconstruye catálogos, identidades ni permisos de una instalación independiente. La topología local y los comandos están en README y en el manual técnico. Un servidor Ubuntu/Nginx/PM2 es una proyección no ensayada en este cierre.</w:t>
      </w:r>
    </w:p>
    <w:p>
      <w:pPr>
        <w:pStyle w:val="Heading2"/>
      </w:pPr>
      <w:r>
        <w:t>Fuentes localizables</w:t>
      </w:r>
    </w:p>
    <w:p>
      <w:r>
        <w:t>02_Arquitectura: arquitectura integral, catálogo API, diccionario de datos, estados/eventos y decisiones.</w:t>
      </w:r>
    </w:p>
    <w:p>
      <w:r>
        <w:t>05_BaseDatos/schema_actual.sql; 03_Backend/pmp-api/src/services y src/security.</w:t>
      </w:r>
    </w:p>
    <w:p>
      <w:r>
        <w:t>Diagramas_PlantUML/00_INDICE_DIAGRAMAS_V2.0.md: fuentes y SVG vigentes.</w:t>
      </w:r>
    </w:p>
    <w:p>
      <w:r>
        <w:t>Documentacion Capstone/BPMN/BPMN_TO_BE_V2.0.bpmn: proceso descriptivo con lanes; no motor ejecutable.</w:t>
      </w:r>
    </w:p>
    <w:p>
      <w:r>
        <w:t>Documentacion Capstone/ESTADO_Y_PENDIENTES.md: alcance y límites comprobados.</w:t>
      </w:r>
    </w:p>
    <w:sectPr w:rsidR="00FC693F" w:rsidRPr="0006063C" w:rsidSect="00034616">
      <w:pgSz w:w="12240" w:h="15840"/>
      <w:pgMar w:top="864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PMP Suite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PMP Suite</dc:title>
  <dc:subject>PMP Suite V2.0 Capstone</dc:subject>
  <dc:creator>Equipo PMP Suite</dc:creator>
  <cp:keywords>PMP Suite, Capstone, cascada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