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BEC5" w14:textId="255EAC99" w:rsidR="00531F7A" w:rsidRDefault="00531F7A">
      <w:pPr>
        <w:spacing w:before="60" w:after="120" w:line="240" w:lineRule="auto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51F0186" w14:textId="77777777" w:rsidTr="25FC3610">
        <w:trPr>
          <w:trHeight w:val="2192"/>
        </w:trPr>
        <w:tc>
          <w:tcPr>
            <w:tcW w:w="0" w:type="auto"/>
          </w:tcPr>
          <w:p w14:paraId="35EA5BD1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AD12901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415213E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8A5CC0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A0FABD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9A92C26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9D2082E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28FAEFB1" w14:textId="7627FDCB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 xml:space="preserve">No puedo afirmar que todas las actividades hayan terminado dentro de los plazos originales: existen pendientes de validación física, pruebas nativas, seguridad/rendimiento y una incidencia de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Web. Sí puedo contrastar avances de análisis, diseño, integración y pruebas al 1</w:t>
            </w:r>
            <w:r w:rsidR="00B9191E">
              <w:rPr>
                <w:rFonts w:ascii="Calibri" w:hAnsi="Calibri"/>
              </w:rPr>
              <w:t>0</w:t>
            </w:r>
            <w:r>
              <w:rPr>
                <w:rFonts w:ascii="Calibri" w:hAnsi="Calibri"/>
              </w:rPr>
              <w:t>-10-2026.</w:t>
            </w:r>
          </w:p>
          <w:p w14:paraId="3DCA26C7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La carta Gantt de Fase 1 solapaba diseño y construcción. En Fase 2 confirmo cascada y propongo ordenar la referencia de dieciocho semanas en requisitos S1–S4, diseño S5–S6, construcción S7–S12, verificación S13–S15 y entrega S16–S18, con documentación transversal. Esta planificación actualizada no inventa fechas de ejecución ni aprobación docente.</w:t>
            </w:r>
          </w:p>
          <w:p w14:paraId="0F3E7318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Han facilitado el avance el conocimiento del proceso de mantenimiento, la arquitectura documentada y los componentes reutilizables. Han dificultado el cierre la amplitud de los roles, la integración Web/Mobile y la necesidad de distinguir simulaciones de confirmaciones físicas reales.</w:t>
            </w:r>
          </w:p>
        </w:tc>
      </w:tr>
      <w:tr w:rsidR="004F2A8B" w14:paraId="7DD0BB3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990A9D9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7F05E9F4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4BAA9DC5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84A33FE" w14:textId="77777777" w:rsidR="00B9191E" w:rsidRDefault="00B9191E">
            <w:pPr>
              <w:spacing w:before="60" w:after="120"/>
              <w:rPr>
                <w:rFonts w:ascii="Calibri" w:hAnsi="Calibri"/>
                <w:b/>
              </w:rPr>
            </w:pPr>
          </w:p>
          <w:p w14:paraId="4636E6EB" w14:textId="77404955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He orientado el tratamiento de dificultades a conservar identidad, permisos y trazabilidad. La separación de siete roles, el historial técnico restringido y la corrección documentada de series muestran por qué una interfaz correcta necesita contratos y datos coherentes.</w:t>
            </w:r>
          </w:p>
          <w:p w14:paraId="43459B50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 xml:space="preserve">Para continuar, registraré cada pendiente con responsable, evidencia esperada y criterio de cierre. Priorizaré el defecto del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>, las pruebas nativas y las revisiones finales de seguridad/rendimiento. Los cambios deberán volver a su requisito y diseño de origen antes de implementarse y verificarse; no se considerará suficiente que una pantalla cargue.</w:t>
            </w:r>
          </w:p>
          <w:p w14:paraId="60643303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Mantendré el lote de veinte activos identificado como sintético y no presentaré sus eventos como trabajo físico real. También evitaré convertir intervalos observados o un índice heurístico en una predicción garantizada.</w:t>
            </w:r>
          </w:p>
        </w:tc>
      </w:tr>
      <w:tr w:rsidR="004F2A8B" w14:paraId="484E449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0ED3D1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394015F2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7DAA6AD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5E40CDD" w14:textId="77777777" w:rsidR="00B9191E" w:rsidRDefault="00B9191E">
            <w:pPr>
              <w:spacing w:before="60" w:after="120"/>
              <w:rPr>
                <w:rFonts w:ascii="Calibri" w:hAnsi="Calibri"/>
                <w:b/>
              </w:rPr>
            </w:pPr>
          </w:p>
          <w:p w14:paraId="5C98C6E8" w14:textId="51B989B0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lastRenderedPageBreak/>
              <w:t xml:space="preserve">Evalúo el avance como sólido en integración y documentación técnica, pero todavía incompleto en aceptación final. Destaco la articulación entre procesos, datos y autorización, coherente con mis fortalezas de arquitectura,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gramStart"/>
            <w:r>
              <w:rPr>
                <w:rFonts w:ascii="Calibri" w:hAnsi="Calibri"/>
              </w:rPr>
              <w:t>gestión identificadas</w:t>
            </w:r>
            <w:proofErr w:type="gramEnd"/>
            <w:r>
              <w:rPr>
                <w:rFonts w:ascii="Calibri" w:hAnsi="Calibri"/>
              </w:rPr>
              <w:t xml:space="preserve"> en Fase 1.</w:t>
            </w:r>
          </w:p>
          <w:p w14:paraId="6C13A7C4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 xml:space="preserve">La evidencia Web más reciente registra 203/204 pruebas aprobadas, </w:t>
            </w:r>
            <w:proofErr w:type="spellStart"/>
            <w:r>
              <w:rPr>
                <w:rFonts w:ascii="Calibri" w:hAnsi="Calibri"/>
              </w:rPr>
              <w:t>build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correctos, y 3.440 comprobaciones visuales sin fallos con fixtures. Esto permite sustentar mejoras de interfaz; el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pendiente y la ausencia de pruebas nativas nuevas impiden afirmar validación total.</w:t>
            </w:r>
          </w:p>
          <w:p w14:paraId="49180336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 xml:space="preserve">Para mejorar, debo fortalecer automatización, </w:t>
            </w:r>
            <w:proofErr w:type="spellStart"/>
            <w:r>
              <w:rPr>
                <w:rFonts w:ascii="Calibri" w:hAnsi="Calibri"/>
              </w:rPr>
              <w:t>observabilidad</w:t>
            </w:r>
            <w:proofErr w:type="spellEnd"/>
            <w:r>
              <w:rPr>
                <w:rFonts w:ascii="Calibri" w:hAnsi="Calibri"/>
              </w:rPr>
              <w:t>, seguridad y despliegue, mantener el registro de resultados actualizado y evitar que la documentación se adelante a la evidencia. Esta reflexión continúa mis oportunidades de mejora de Fase 1.</w:t>
            </w:r>
          </w:p>
        </w:tc>
      </w:tr>
      <w:tr w:rsidR="004F2A8B" w14:paraId="3127060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A96AAE5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3371619E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41203262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E1F4591" w14:textId="77777777" w:rsidR="00B9191E" w:rsidRDefault="00B9191E">
            <w:pPr>
              <w:spacing w:before="60" w:after="120"/>
              <w:rPr>
                <w:rFonts w:ascii="Calibri" w:hAnsi="Calibri"/>
                <w:b/>
              </w:rPr>
            </w:pPr>
          </w:p>
          <w:p w14:paraId="4046C07B" w14:textId="64275FCA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 xml:space="preserve">Necesito confirmar con el docente cómo formalizar </w:t>
            </w:r>
            <w:r w:rsidR="00B9191E">
              <w:rPr>
                <w:rFonts w:ascii="Calibri" w:hAnsi="Calibri"/>
              </w:rPr>
              <w:t>los documentos finales</w:t>
            </w:r>
            <w:r>
              <w:rPr>
                <w:rFonts w:ascii="Calibri" w:hAnsi="Calibri"/>
              </w:rPr>
              <w:t>.</w:t>
            </w:r>
          </w:p>
          <w:p w14:paraId="75530778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Preguntas para revisión: ¿son suficientes la matriz por requisito, las pruebas aisladas y el ciclo sintético si la aceptación física se presenta por separado? ¿Qué pruebas de seguridad/rendimiento deben quedar cerradas en el semestre? ¿Cómo debe presentarse la conclusión individual de cada integrante y la comunicación en inglés?</w:t>
            </w:r>
          </w:p>
          <w:p w14:paraId="0D52902A" w14:textId="60BC939B" w:rsidR="00531F7A" w:rsidRDefault="00531F7A">
            <w:pPr>
              <w:spacing w:before="60" w:after="120"/>
            </w:pPr>
          </w:p>
        </w:tc>
      </w:tr>
      <w:tr w:rsidR="004F2A8B" w14:paraId="588066E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FBAB362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66F5DF73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50F9985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9A4C57E" w14:textId="77777777" w:rsidR="00B9191E" w:rsidRDefault="00B9191E">
            <w:pPr>
              <w:spacing w:before="60" w:after="120"/>
              <w:rPr>
                <w:rFonts w:ascii="Calibri" w:hAnsi="Calibri"/>
                <w:b/>
              </w:rPr>
            </w:pPr>
          </w:p>
          <w:p w14:paraId="3785C57A" w14:textId="5592BE8B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Mantendría las responsabilidades de Fase 1: Rafael en coordinación, arquitectura/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/datos; Matías en requerimientos, documentación y trazabilidad; Luis en </w:t>
            </w:r>
            <w:proofErr w:type="spellStart"/>
            <w:r>
              <w:rPr>
                <w:rFonts w:ascii="Calibri" w:hAnsi="Calibri"/>
              </w:rPr>
              <w:t>frontend</w:t>
            </w:r>
            <w:proofErr w:type="spellEnd"/>
            <w:r>
              <w:rPr>
                <w:rFonts w:ascii="Calibri" w:hAnsi="Calibri"/>
              </w:rPr>
              <w:t>/Web/Mobile. La evidencia consultada no permite afirmar que el equipo haya acordado una reasignación distinta.</w:t>
            </w:r>
          </w:p>
          <w:p w14:paraId="50705B6F" w14:textId="77777777" w:rsidR="00531F7A" w:rsidRDefault="00000000">
            <w:pPr>
              <w:spacing w:before="6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Propongo distribuir las tareas de cierre dentro de esos ámbitos: Rafael revisa riesgos técnicos y criterios de aceptación, Luis organiza pruebas de navegación/dispositivos y Matías consolida evidencias y correspondencia con requisitos. Los tres revisan el resultado integrado. Esta distribución de pendientes debe confirmarse por el equipo y no certifica aportes individuales ya realizados.</w:t>
            </w:r>
          </w:p>
          <w:p w14:paraId="5641344C" w14:textId="77777777" w:rsidR="00B9191E" w:rsidRDefault="00B9191E">
            <w:pPr>
              <w:spacing w:before="60" w:after="120"/>
            </w:pPr>
          </w:p>
          <w:p w14:paraId="384D4AD9" w14:textId="77777777" w:rsidR="00B9191E" w:rsidRDefault="00B9191E">
            <w:pPr>
              <w:spacing w:before="60" w:after="120"/>
            </w:pPr>
          </w:p>
          <w:p w14:paraId="21F59F88" w14:textId="77777777" w:rsidR="00B9191E" w:rsidRDefault="00B9191E">
            <w:pPr>
              <w:spacing w:before="60" w:after="120"/>
            </w:pPr>
          </w:p>
        </w:tc>
      </w:tr>
      <w:tr w:rsidR="004F2A8B" w14:paraId="2AA2AE4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18A1DB7" w14:textId="77777777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5CD1DE2D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3E04A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18F77B" w14:textId="77777777" w:rsidR="00B9191E" w:rsidRDefault="00B9191E">
            <w:pPr>
              <w:spacing w:before="60" w:after="120"/>
              <w:rPr>
                <w:rFonts w:ascii="Calibri" w:hAnsi="Calibri"/>
                <w:b/>
              </w:rPr>
            </w:pPr>
          </w:p>
          <w:p w14:paraId="692C6AE4" w14:textId="30F257A4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lastRenderedPageBreak/>
              <w:t>La definición de funciones complementarias es una fortaleza del trabajo grupal: permite relacionar documentación, interfaz y núcleo técnico. El resultado integrado es observable en el repositorio, pero no basta para evaluar por sí solo participación, coordinación o cumplimiento individual de cada compañero.</w:t>
            </w:r>
          </w:p>
          <w:p w14:paraId="680D9B32" w14:textId="77777777" w:rsidR="00531F7A" w:rsidRDefault="00000000">
            <w:pPr>
              <w:spacing w:before="60" w:after="120"/>
            </w:pPr>
            <w:r>
              <w:rPr>
                <w:rFonts w:ascii="Calibri" w:hAnsi="Calibri"/>
              </w:rPr>
              <w:t>Mejoraría la revisión conjunta de los entregables de cascada, el registro de decisiones y la identificación del responsable de cada pendiente. Antes de entregar, cada integrante debe validar lo que se le atribuye y aportar sus conclusiones personales; el docente conserva la evaluación del desempeño grupal.</w:t>
            </w:r>
          </w:p>
          <w:p w14:paraId="6D07BC5B" w14:textId="083D40F9" w:rsidR="00531F7A" w:rsidRDefault="00531F7A">
            <w:pPr>
              <w:spacing w:before="60" w:after="120"/>
            </w:pPr>
          </w:p>
        </w:tc>
      </w:tr>
    </w:tbl>
    <w:p w14:paraId="6AF605CC" w14:textId="44DB1FC5" w:rsidR="00531F7A" w:rsidRDefault="00531F7A">
      <w:pPr>
        <w:spacing w:before="60" w:after="120" w:line="240" w:lineRule="auto"/>
      </w:pPr>
    </w:p>
    <w:sectPr w:rsidR="00531F7A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2B70" w14:textId="77777777" w:rsidR="005C3491" w:rsidRDefault="005C3491" w:rsidP="00DF38AE">
      <w:pPr>
        <w:spacing w:after="0" w:line="240" w:lineRule="auto"/>
      </w:pPr>
      <w:r>
        <w:separator/>
      </w:r>
    </w:p>
  </w:endnote>
  <w:endnote w:type="continuationSeparator" w:id="0">
    <w:p w14:paraId="6CBD3791" w14:textId="77777777" w:rsidR="005C3491" w:rsidRDefault="005C34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1C84EBB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DB112F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0DB112F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ED98C" w14:textId="77777777" w:rsidR="005C3491" w:rsidRDefault="005C3491" w:rsidP="00DF38AE">
      <w:pPr>
        <w:spacing w:after="0" w:line="240" w:lineRule="auto"/>
      </w:pPr>
      <w:r>
        <w:separator/>
      </w:r>
    </w:p>
  </w:footnote>
  <w:footnote w:type="continuationSeparator" w:id="0">
    <w:p w14:paraId="3BE4B09C" w14:textId="77777777" w:rsidR="005C3491" w:rsidRDefault="005C34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37CEAA95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10B274A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3EEE0AE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E2E3FC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F51FFC9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72EF39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B5B7946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236E967B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48FA088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50E75EB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6CEA38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063F592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5D083C2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F486BC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642974">
    <w:abstractNumId w:val="3"/>
  </w:num>
  <w:num w:numId="2" w16cid:durableId="1043406331">
    <w:abstractNumId w:val="8"/>
  </w:num>
  <w:num w:numId="3" w16cid:durableId="1968930423">
    <w:abstractNumId w:val="12"/>
  </w:num>
  <w:num w:numId="4" w16cid:durableId="745760256">
    <w:abstractNumId w:val="28"/>
  </w:num>
  <w:num w:numId="5" w16cid:durableId="938172747">
    <w:abstractNumId w:val="30"/>
  </w:num>
  <w:num w:numId="6" w16cid:durableId="1309746471">
    <w:abstractNumId w:val="4"/>
  </w:num>
  <w:num w:numId="7" w16cid:durableId="515509461">
    <w:abstractNumId w:val="11"/>
  </w:num>
  <w:num w:numId="8" w16cid:durableId="1949385499">
    <w:abstractNumId w:val="19"/>
  </w:num>
  <w:num w:numId="9" w16cid:durableId="216555605">
    <w:abstractNumId w:val="15"/>
  </w:num>
  <w:num w:numId="10" w16cid:durableId="2109152742">
    <w:abstractNumId w:val="9"/>
  </w:num>
  <w:num w:numId="11" w16cid:durableId="1131048259">
    <w:abstractNumId w:val="24"/>
  </w:num>
  <w:num w:numId="12" w16cid:durableId="1846480866">
    <w:abstractNumId w:val="35"/>
  </w:num>
  <w:num w:numId="13" w16cid:durableId="526211429">
    <w:abstractNumId w:val="29"/>
  </w:num>
  <w:num w:numId="14" w16cid:durableId="1577090010">
    <w:abstractNumId w:val="1"/>
  </w:num>
  <w:num w:numId="15" w16cid:durableId="1799489203">
    <w:abstractNumId w:val="36"/>
  </w:num>
  <w:num w:numId="16" w16cid:durableId="920257133">
    <w:abstractNumId w:val="21"/>
  </w:num>
  <w:num w:numId="17" w16cid:durableId="1874532777">
    <w:abstractNumId w:val="17"/>
  </w:num>
  <w:num w:numId="18" w16cid:durableId="1727411250">
    <w:abstractNumId w:val="31"/>
  </w:num>
  <w:num w:numId="19" w16cid:durableId="1147237238">
    <w:abstractNumId w:val="10"/>
  </w:num>
  <w:num w:numId="20" w16cid:durableId="1580747229">
    <w:abstractNumId w:val="39"/>
  </w:num>
  <w:num w:numId="21" w16cid:durableId="205798648">
    <w:abstractNumId w:val="34"/>
  </w:num>
  <w:num w:numId="22" w16cid:durableId="2021344813">
    <w:abstractNumId w:val="13"/>
  </w:num>
  <w:num w:numId="23" w16cid:durableId="871726167">
    <w:abstractNumId w:val="14"/>
  </w:num>
  <w:num w:numId="24" w16cid:durableId="1038428415">
    <w:abstractNumId w:val="5"/>
  </w:num>
  <w:num w:numId="25" w16cid:durableId="1750538209">
    <w:abstractNumId w:val="16"/>
  </w:num>
  <w:num w:numId="26" w16cid:durableId="1891990463">
    <w:abstractNumId w:val="20"/>
  </w:num>
  <w:num w:numId="27" w16cid:durableId="1227570941">
    <w:abstractNumId w:val="23"/>
  </w:num>
  <w:num w:numId="28" w16cid:durableId="1505316697">
    <w:abstractNumId w:val="0"/>
  </w:num>
  <w:num w:numId="29" w16cid:durableId="264970832">
    <w:abstractNumId w:val="18"/>
  </w:num>
  <w:num w:numId="30" w16cid:durableId="1025787839">
    <w:abstractNumId w:val="22"/>
  </w:num>
  <w:num w:numId="31" w16cid:durableId="1377663196">
    <w:abstractNumId w:val="2"/>
  </w:num>
  <w:num w:numId="32" w16cid:durableId="177084265">
    <w:abstractNumId w:val="7"/>
  </w:num>
  <w:num w:numId="33" w16cid:durableId="950211059">
    <w:abstractNumId w:val="32"/>
  </w:num>
  <w:num w:numId="34" w16cid:durableId="665131447">
    <w:abstractNumId w:val="38"/>
  </w:num>
  <w:num w:numId="35" w16cid:durableId="374046693">
    <w:abstractNumId w:val="6"/>
  </w:num>
  <w:num w:numId="36" w16cid:durableId="176889267">
    <w:abstractNumId w:val="25"/>
  </w:num>
  <w:num w:numId="37" w16cid:durableId="1794788994">
    <w:abstractNumId w:val="37"/>
  </w:num>
  <w:num w:numId="38" w16cid:durableId="435559338">
    <w:abstractNumId w:val="27"/>
  </w:num>
  <w:num w:numId="39" w16cid:durableId="103817331">
    <w:abstractNumId w:val="26"/>
  </w:num>
  <w:num w:numId="40" w16cid:durableId="19542889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1F7A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491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45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91E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847F9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862</Words>
  <Characters>4747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Rafael Oteiza</cp:lastModifiedBy>
  <cp:revision>2</cp:revision>
  <cp:lastPrinted>2019-12-16T20:10:00Z</cp:lastPrinted>
  <dcterms:created xsi:type="dcterms:W3CDTF">2026-10-13T17:54:00Z</dcterms:created>
  <dcterms:modified xsi:type="dcterms:W3CDTF">2026-10-13T17:54:00Z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