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4575" w14:textId="77777777" w:rsidR="0089403C" w:rsidRDefault="0089403C">
      <w:pPr>
        <w:spacing w:after="560"/>
      </w:pPr>
    </w:p>
    <w:p w14:paraId="3DD66063" w14:textId="77777777" w:rsidR="0089403C" w:rsidRDefault="005352CF">
      <w:pPr>
        <w:spacing w:after="600"/>
        <w:jc w:val="center"/>
      </w:pPr>
      <w:r>
        <w:rPr>
          <w:noProof/>
        </w:rPr>
        <w:drawing>
          <wp:inline distT="0" distB="0" distL="0" distR="0" wp14:anchorId="7F1B15D5" wp14:editId="4D2193D9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895C" w14:textId="77777777" w:rsidR="0089403C" w:rsidRDefault="005352CF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016E6EA2" w14:textId="77777777" w:rsidR="0089403C" w:rsidRDefault="005352CF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Manual Técnico y de Despliegue</w:t>
      </w:r>
    </w:p>
    <w:p w14:paraId="0496F906" w14:textId="77777777" w:rsidR="0089403C" w:rsidRDefault="005352CF">
      <w:pPr>
        <w:spacing w:after="680"/>
        <w:jc w:val="center"/>
      </w:pPr>
      <w:r>
        <w:t>Instalación, configuración, ejecución y verificación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9403C" w14:paraId="5E6AF2E7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0930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49A4" w14:textId="77777777" w:rsidR="0089403C" w:rsidRDefault="005352CF">
            <w:pPr>
              <w:spacing w:after="0"/>
            </w:pPr>
            <w:r>
              <w:rPr>
                <w:sz w:val="20"/>
              </w:rPr>
              <w:t>Manual Técnico y de Despliegue</w:t>
            </w:r>
          </w:p>
        </w:tc>
      </w:tr>
      <w:tr w:rsidR="0089403C" w14:paraId="2C25641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73AA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223E" w14:textId="77777777" w:rsidR="0089403C" w:rsidRDefault="005352CF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89403C" w14:paraId="7305791C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991B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80F2" w14:textId="77777777" w:rsidR="0089403C" w:rsidRDefault="005352CF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89403C" w14:paraId="3F93712C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2607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166979E2" w14:textId="77777777" w:rsidR="0089403C" w:rsidRDefault="0089403C">
      <w:pPr>
        <w:spacing w:after="440"/>
      </w:pPr>
    </w:p>
    <w:p w14:paraId="67757EDC" w14:textId="77777777" w:rsidR="0089403C" w:rsidRDefault="005352CF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condiciones de uso</w:t>
      </w:r>
    </w:p>
    <w:p>
      <w:pPr>
        <w:widowControl/>
      </w:pPr>
      <w:r>
        <w:t>Guía para instalar, configurar y ejecutar API, Web, Mobile y analítica con servicios autorizados. Distingue BD existente, instalación independiente y Compose propuesto. El despliegue productivo aún no está certificado.</w:t>
      </w:r>
    </w:p>
    <w:p>
      <w:pPr>
        <w:pStyle w:val="Ttulo2"/>
      </w:pPr>
      <w:r>
        <w:t>Versiones de referencia</w:t>
      </w:r>
    </w:p>
    <w:p>
      <w:pPr>
        <w:widowControl/>
      </w:pPr>
      <w:r>
        <w:t>Node 24.15.0 y npm 11.12.1; Python 3.13.14; React Web 18.3.1 y Vite 5.4.21; Expo 57.0.22 y React Native 0.86.3. PostgreSQL del respaldo: servidor 18.1 y pg_dump 18.3; extracción de DDL con cliente 18.</w:t>
      </w:r>
    </w:p>
    <w:p>
      <w:pPr>
        <w:widowControl/>
      </w:pPr>
      <w:r>
        <w:t>Versiones del entorno documentado y manifiestos; instalación limpia no repetida. Conservar lockfiles y requirements.txt.</w:t>
      </w:r>
    </w:p>
    <w:p>
      <w:pPr>
        <w:pStyle w:val="Ttulo1"/>
        <w:pageBreakBefore/>
        <w:spacing w:before="0"/>
      </w:pPr>
      <w:r>
        <w:t>1 Instalación local y configuración</w:t>
      </w:r>
    </w:p>
    <w:p>
      <w:pPr>
        <w:widowControl/>
      </w:pPr>
      <w:r>
        <w:t>Abrir PowerShell en la raíz PMP_Suite_V2.0, que contiene 03_Backend, 04_Frontend, 06_ModelosIA, 07_Mobile y shared. Conservar shared junto a los módulos. Comandos documentados para una instalación nueva; la instalación limpia no se repitió en este corte.</w:t>
      </w:r>
    </w:p>
    <w:p>
      <w:pPr>
        <w:widowControl/>
        <w:spacing w:after="120" w:line="240" w:lineRule="auto"/>
      </w:pPr>
      <w:r>
        <w:rPr>
          <w:rFonts w:ascii="Consolas" w:hAnsi="Consolas"/>
          <w:sz w:val="18"/>
        </w:rPr>
        <w:t>cd 03_Backend/pmp-api</w:t>
        <w:br/>
        <w:t>npm.cmd ci --ignore-scripts --no-audit --no-fund</w:t>
        <w:br/>
        <w:t>cd ../../04_Frontend</w:t>
        <w:br/>
        <w:t>npm.cmd ci --ignore-scripts --no-audit --no-fund</w:t>
        <w:br/>
        <w:t>cd ../07_Mobile</w:t>
        <w:br/>
        <w:t>npm.cmd ci --ignore-scripts --no-audit --no-fund</w:t>
      </w:r>
    </w:p>
    <w:p>
      <w:pPr>
        <w:widowControl/>
      </w:pPr>
      <w:r>
        <w:t>Si falla un paquete nativo, identificar el script requerido antes de habilitarlo. En otra terminal, desde la raíz:</w:t>
      </w:r>
    </w:p>
    <w:p>
      <w:pPr>
        <w:widowControl/>
        <w:spacing w:after="120" w:line="240" w:lineRule="auto"/>
      </w:pPr>
      <w:r>
        <w:rPr>
          <w:rFonts w:ascii="Consolas" w:hAnsi="Consolas"/>
          <w:sz w:val="18"/>
        </w:rPr>
        <w:t>python -m venv 06_ModelosIA/.venv</w:t>
        <w:br/>
        <w:t>$pyIA = './06_ModelosIA/.venv/Scripts/python.exe'</w:t>
        <w:br/>
        <w:t>&amp; $pyIA -m pip install -r 06_ModelosIA/requirements.txt</w:t>
        <w:br/>
        <w:t>&amp; $pyIA -m pip check</w:t>
      </w:r>
    </w:p>
    <w:p>
      <w:pPr>
        <w:widowControl/>
      </w:pPr>
      <w:r>
        <w:t>Copiar .env.example a .env solo donde exista el ejemplo y no haya configuración previa. Conservar la configuración autorizada en la copia actual. No incorporar credencial Firebase Admin ni secretos de servidor a VITE_* o EXPO_PUBLIC_*.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7848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84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Configuración necesaria sin valores secretos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Backend</w:t>
            </w:r>
          </w:p>
        </w:tc>
        <w:tc>
          <w:tcPr>
            <w:tcW w:type="dxa" w:w="78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PORT, DATABASE_URL y FIREBASE_SERVICE_ACCOUNT_PATH, con ruta privada autorizada.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</w:t>
            </w:r>
          </w:p>
        </w:tc>
        <w:tc>
          <w:tcPr>
            <w:tcW w:type="dxa" w:w="78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VITE_CORE_URL: raíz API sin /api; VITE_API_URL: fallback. VITE_FB_API_KEY, VITE_FB_AUTH_DOMAIN, VITE_FB_PROJECT_ID, VITE_FB_STORAGE_BUCKET, VITE_FB_MESSAGING_SENDER_ID, VITE_FB_APP_ID: configuración cliente.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</w:t>
            </w:r>
          </w:p>
        </w:tc>
        <w:tc>
          <w:tcPr>
            <w:tcW w:type="dxa" w:w="78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EXPO_PUBLIC_API_URL con /api. Configuración Firebase cliente existente en src/services/firebase.js.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Python</w:t>
            </w:r>
          </w:p>
        </w:tc>
        <w:tc>
          <w:tcPr>
            <w:tcW w:type="dxa" w:w="78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Venv en 06_ModelosIA/.venv. Lee .env de Backend y respeta variables del proceso; no requiere servidor separado.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Firebase autentica; usuario activo y rol se resuelven en PostgreSQL. Una cuenta Firebase por sí sola no concede acceso. No se cambian permisos o identidades para eludir errores de instalación.</w:t>
      </w:r>
    </w:p>
    <w:p>
      <w:pPr>
        <w:pStyle w:val="Ttulo1"/>
        <w:pageBreakBefore/>
        <w:spacing w:before="0"/>
      </w:pPr>
      <w:r>
        <w:t>2 Datos arranque y acceso</w:t>
      </w:r>
    </w:p>
    <w:p>
      <w:pPr>
        <w:pStyle w:val="Ttulo2"/>
      </w:pPr>
      <w:r>
        <w:t>BD existente e instalación independiente</w:t>
      </w:r>
    </w:p>
    <w:p>
      <w:pPr>
        <w:widowControl/>
      </w:pPr>
      <w:r>
        <w:t>BD existente: conservar conexión y cuentas autorizadas. No ejecutar schema_actual.sql, seeds ni migraciones para arrancar. Confirmar operaciones en los clientes puede escribir en servicios compartidos; una copia del código no los aísla.</w:t>
      </w:r>
    </w:p>
    <w:p>
      <w:pPr>
        <w:widowControl/>
      </w:pPr>
      <w:r>
        <w:t>Instalación independiente: definir destino nuevo, propietario/permisos y proyecto Firebase separados. Faltan catálogos aprobados de estados, ubicaciones/correspondencias, terminales/PST/buses, repuestos e identidades vinculadas. No inventar IDs consumidos por el código. schema_actual.sql contiene estructura sin filas; PPMP_Suite_V2.0.sql es un respaldo custom, no texto para psql. El documento de BD explica la extracción y sus límites.</w:t>
      </w:r>
    </w:p>
    <w:p>
      <w:pPr>
        <w:pStyle w:val="Ttulo2"/>
      </w:pPr>
      <w:r>
        <w:t>Tres terminales independientes desde la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756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Comandos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· 4000</w:t>
            </w:r>
          </w:p>
        </w:tc>
        <w:tc>
          <w:tcPr>
            <w:tcW w:type="dxa" w:w="75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03_Backend/pmp-api</w:t>
              <w:br/>
              <w:t>npm.cmd run dev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Web · 5173</w:t>
            </w:r>
          </w:p>
        </w:tc>
        <w:tc>
          <w:tcPr>
            <w:tcW w:type="dxa" w:w="75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04_Frontend</w:t>
              <w:br/>
              <w:t>npm.cmd run dev -- --host 127.0.0.1 --strictPort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Expo · 8081</w:t>
            </w:r>
          </w:p>
        </w:tc>
        <w:tc>
          <w:tcPr>
            <w:tcW w:type="dxa" w:w="75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07_Mobile</w:t>
              <w:br/>
              <w:t>npm.cmd start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Accesos: http://localhost:5173; API http://localhost:4000/api/health; contrato http://localhost:4000/docs. Health confirma el proceso, no la integración de BD/Firebase. Detener cada proceso con Ctrl+C en su propia terminal; no cerrar procesos ajenos.</w:t>
      </w:r>
    </w:p>
    <w:p>
      <w:pPr>
        <w:widowControl/>
      </w:pPr>
      <w:r>
        <w:t>Teléfono: EXPO_PUBLIC_API_URL apunta a http://IPv4-del-PC:4000/api, con IP LAN real y cliente compatible con Expo SDK 57. localhost en el teléfono apunta al teléfono; un emulador Android puede usar 10.0.2.2. Verificar conectividad sin modificar firewall o permisos habituales.</w:t>
      </w:r>
    </w:p>
    <w:p>
      <w:pPr>
        <w:pStyle w:val="Ttulo2"/>
      </w:pPr>
      <w:r>
        <w:t>Comprobaciones técnicas documentadas</w:t>
      </w:r>
    </w:p>
    <w:p>
      <w:pPr>
        <w:widowControl/>
      </w:pPr>
      <w:r>
        <w:t>Web: npm.cmd run build en 04_Frontend. Mobile: en terminal dedicada, EXPO_NO_DOTENV=1, EXPO_OFFLINE=1 y API ficticia; ejecutar expo export para Android e iOS. No compartir bundles que incluyan configuración privada. El Plan de Pruebas conserva comandos y resultados reportados; no acredita dispositivos.</w:t>
      </w:r>
    </w:p>
    <w:p>
      <w:pPr>
        <w:widowControl/>
      </w:pPr>
      <w:hyperlink r:id="rId15">
        <w:r>
          <w:rPr>
            <w:color w:val="1565C0"/>
          </w:rPr>
          <w:t>Guía principal de instalación y uso</w:t>
        </w:r>
      </w:hyperlink>
    </w:p>
    <w:p>
      <w:pPr>
        <w:widowControl/>
      </w:pPr>
      <w:hyperlink r:id="rId16">
        <w:r>
          <w:rPr>
            <w:color w:val="1565C0"/>
          </w:rPr>
          <w:t>Modelo del esquema actual</w:t>
        </w:r>
      </w:hyperlink>
    </w:p>
    <w:p>
      <w:pPr>
        <w:pStyle w:val="Ttulo1"/>
        <w:pageBreakBefore/>
        <w:spacing w:before="0"/>
      </w:pPr>
      <w:r>
        <w:t>3 Docker Compose propuesto</w:t>
      </w:r>
    </w:p>
    <w:p>
      <w:pPr>
        <w:widowControl/>
      </w:pPr>
      <w:r>
        <w:t>Ejemplo de diseño, no ejecutado. El proyecto aún no contiene Dockerfile, Compose ni imágenes pmp-api/pmp-web. Antes de usarlo, construir las imágenes según Diseño, preparar datos autorizados y crear archivos privados de configuración en el entorno separado. No es un arranque listo para usar.</w:t>
      </w:r>
    </w:p>
    <w:p>
      <w:pPr>
        <w:widowControl/>
        <w:spacing w:after="120" w:line="240" w:lineRule="auto"/>
      </w:pPr>
      <w:r>
        <w:rPr>
          <w:rFonts w:ascii="Consolas" w:hAnsi="Consolas"/>
          <w:sz w:val="16"/>
        </w:rPr>
        <w:t>name: pmp-v20-aislado</w:t>
        <w:br/>
        <w:t>services:</w:t>
        <w:br/>
        <w:t xml:space="preserve">  db:</w:t>
        <w:br/>
        <w:t xml:space="preserve">    image: postgres:18</w:t>
        <w:br/>
        <w:t xml:space="preserve">    env_file: ./config/db.env</w:t>
        <w:br/>
        <w:t xml:space="preserve">    volumes: [pmp_data:/var/lib/postgresql]</w:t>
        <w:br/>
        <w:t xml:space="preserve">    healthcheck:</w:t>
        <w:br/>
        <w:t xml:space="preserve">      test: [CMD-SHELL, 'pg_isready -U "$$POSTGRES_USER" -d "$$POSTGRES_DB"']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api:</w:t>
        <w:br/>
        <w:t xml:space="preserve">    image: pmp-api:v2.0-propuesta</w:t>
        <w:br/>
        <w:t xml:space="preserve">    env_file: ./config/api.env</w:t>
        <w:br/>
        <w:t xml:space="preserve">    environment:</w:t>
        <w:br/>
        <w:t xml:space="preserve">      PORT: "4000"</w:t>
        <w:br/>
        <w:t xml:space="preserve">      FIREBASE_SERVICE_ACCOUNT_PATH: /run/secrets/firebase_admin</w:t>
        <w:br/>
        <w:t xml:space="preserve">    secrets: [firebase_admin]</w:t>
        <w:br/>
        <w:t xml:space="preserve">    depends_on:</w:t>
        <w:br/>
        <w:t xml:space="preserve">      db: {condition: service_healthy}</w:t>
        <w:br/>
        <w:t xml:space="preserve">    ports: ["127.0.0.1:4000:4000"]</w:t>
        <w:br/>
        <w:t xml:space="preserve">  web:</w:t>
        <w:br/>
        <w:t xml:space="preserve">    image: pmp-web:v2.0-propuesta</w:t>
        <w:br/>
        <w:t xml:space="preserve">    ports: ["127.0.0.1:8080:80"]</w:t>
        <w:br/>
        <w:t>secrets:</w:t>
        <w:br/>
        <w:t xml:space="preserve">  firebase_admin:</w:t>
        <w:br/>
        <w:t xml:space="preserve">    file: ./config/firebase-admin.json</w:t>
        <w:br/>
        <w:t>volumes:</w:t>
        <w:br/>
        <w:t xml:space="preserve">  pmp_data: {}</w:t>
      </w:r>
    </w:p>
    <w:p>
      <w:pPr>
        <w:widowControl/>
      </w:pPr>
      <w:r>
        <w:t>db.env define POSTGRES_DB, POSTGRES_USER y POSTGRES_PASSWORD privados para inicialización. api.env usa DATABASE_URL con host db y una cuenta de aplicación de privilegio mínimo preparada aparte; no reutilizar el usuario de inicialización. No hay carga automática de esquema o catálogos. La Web se construye con URL API accesible al navegador, no con el nombre interno api.</w:t>
      </w:r>
    </w:p>
    <w:p>
      <w:pPr>
        <w:widowControl/>
      </w:pPr>
      <w:r>
        <w:t>El mapeo a 127.0.0.1 permite revisión local Web. Acceso de teléfono requiere otro diseño de red autorizado. Comandos posteriores al montaje completo: docker compose config --quiet y docker compose up -d; ambos pendientes de ensayo. No usar down -v para operación normal.</w:t>
      </w:r>
    </w:p>
    <w:p>
      <w:pPr>
        <w:widowControl/>
      </w:pPr>
      <w:hyperlink r:id="rId17">
        <w:r>
          <w:rPr>
            <w:color w:val="1565C0"/>
          </w:rPr>
          <w:t>Referencia oficial de Compose y healthcheck</w:t>
        </w:r>
      </w:hyperlink>
    </w:p>
    <w:p>
      <w:pPr>
        <w:widowControl/>
      </w:pPr>
      <w:hyperlink r:id="rId18">
        <w:r>
          <w:rPr>
            <w:color w:val="1565C0"/>
          </w:rPr>
          <w:t>Imagen PostgreSQL y volumen de la versión 18</w:t>
        </w:r>
      </w:hyperlink>
    </w:p>
    <w:p>
      <w:pPr>
        <w:pStyle w:val="Ttulo1"/>
        <w:pageBreakBefore/>
        <w:spacing w:before="0"/>
      </w:pPr>
      <w:r>
        <w:t>4 Respaldo recuperación y diagnóstico</w:t>
      </w:r>
    </w:p>
    <w:p>
      <w:pPr>
        <w:pStyle w:val="Ttulo2"/>
      </w:pPr>
      <w:r>
        <w:t>Respaldo y recuperación</w:t>
      </w:r>
    </w:p>
    <w:p>
      <w:pPr>
        <w:widowControl/>
      </w:pPr>
      <w:r>
        <w:t>El responsable autorizado identifica instancia, versión y ventana; obtiene respaldo lógico custom con pg_dump mediante configuración privada y lo almacena fuera de la entrega con retención acordada. Registrar fecha, versión, tamaño y checksum; pg_restore --list comprueba legibilidad del archivo, no recuperación. Conservar código/lockfiles y configuración privada por separado.</w:t>
      </w:r>
    </w:p>
    <w:p>
      <w:pPr>
        <w:widowControl/>
      </w:pPr>
      <w:r>
        <w:t>Ensayo: preparar base nueva aislada; comprobar explícitamente destino, propietario, permisos y extensiones; restaurar allí con pg_restore. Comparar estructura, catálogos, conteos autorizados e integridad referencial; después comprobar acceso por rol con una copia separada de la aplicación. Medir duración y punto de recuperación. No sustituir producción ni redirigir clientes durante el ensayo.</w:t>
      </w:r>
    </w:p>
    <w:p>
      <w:pPr>
        <w:widowControl/>
      </w:pPr>
      <w:r>
        <w:t>Pendientes: custodio, frecuencia/retención, cifrado, RPO/RTO acordados, destino e identidades iniciales, instalación limpia y restauración probada. No hay recuperación certificada. Esta actualización solo extrajo DDL del respaldo entregado, sin restaurar ni leer filas operacionales.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684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Comprobación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Puerto ocupado / no inicia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Directorio, dependencias, puerto y ruta de credencial; no imprimir secretos.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 sin API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Raíz sin /api; reiniciar Vite tras cambiar variables.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 sin conexión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IP LAN, sufijo /api, misma red y compatibilidad Expo.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401 / 403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Reautenticar; revisar cuenta activa, vínculo y rol con administrador autorizado.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409 / 422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Revisión concurrente, estado, identidad y evidencia vigente.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IA 503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Venv y pip check; acceso autorizado a datos. No presentar el fallo como cero.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analítica se solicita al abrir la vista o actualizar: GET /api/ai/operational-insights y GET /api/ai/predictive-report. ai.read admite Admin, Gerente, Jefe Lab y Logística. Son agregaciones y heurísticas, sin modelo predictivo entrenado.</w:t>
      </w:r>
    </w:p>
    <w:p>
      <w:pPr>
        <w:widowControl/>
      </w:pPr>
      <w:r>
        <w:t>Antes del recorrido real: designar responsable y verificar entorno separado con cuentas, datos y dispositivos autorizados. Continuar con los casos del Plan de Pruebas; el build y la exportación no cierran aceptación operacional ni académica.</w:t>
      </w:r>
    </w:p>
    <w:p>
      <w:pPr>
        <w:widowControl/>
      </w:pPr>
      <w:hyperlink r:id="rId19">
        <w:r>
          <w:rPr>
            <w:color w:val="1565C0"/>
          </w:rPr>
          <w:t>Resultados reportados y pendientes</w:t>
        </w:r>
      </w:hyperlink>
    </w:p>
    <w:sectPr w:rsidR="0089403C" w:rsidSect="00034616">
      <w:headerReference w:type="default" r:id="rId9"/>
      <w:footerReference w:type="default" r:id="rId10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BCD8" w14:textId="77777777" w:rsidR="00946B34" w:rsidRDefault="00946B34">
      <w:pPr>
        <w:spacing w:after="0" w:line="240" w:lineRule="auto"/>
      </w:pPr>
      <w:r>
        <w:separator/>
      </w:r>
    </w:p>
  </w:endnote>
  <w:endnote w:type="continuationSeparator" w:id="0">
    <w:p w14:paraId="49C289A3" w14:textId="77777777" w:rsidR="00946B34" w:rsidRDefault="0094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3B5C" w14:textId="77777777" w:rsidR="0089403C" w:rsidRDefault="005352CF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853A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C5D2" w14:textId="77777777" w:rsidR="00946B34" w:rsidRDefault="00946B34">
      <w:pPr>
        <w:spacing w:after="0" w:line="240" w:lineRule="auto"/>
      </w:pPr>
      <w:r>
        <w:separator/>
      </w:r>
    </w:p>
  </w:footnote>
  <w:footnote w:type="continuationSeparator" w:id="0">
    <w:p w14:paraId="659DFDB1" w14:textId="77777777" w:rsidR="00946B34" w:rsidRDefault="00946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F3EA" w14:textId="77777777" w:rsidR="0089403C" w:rsidRDefault="005352CF">
    <w:pPr>
      <w:pStyle w:val="Encabezado"/>
    </w:pPr>
    <w:r>
      <w:rPr>
        <w:rFonts w:eastAsia="Calibri"/>
        <w:b/>
        <w:color w:val="5F6B76"/>
        <w:sz w:val="17"/>
      </w:rPr>
      <w:t>PMP SUITE  |  CAPSTONE     Manual Técnico</w:t>
    </w:r>
    <w:r>
      <w:rPr>
        <w:rFonts w:eastAsia="Calibri"/>
        <w:color w:val="5F6B76"/>
        <w:sz w:val="17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05846">
    <w:abstractNumId w:val="8"/>
  </w:num>
  <w:num w:numId="2" w16cid:durableId="382408800">
    <w:abstractNumId w:val="6"/>
  </w:num>
  <w:num w:numId="3" w16cid:durableId="2067292303">
    <w:abstractNumId w:val="5"/>
  </w:num>
  <w:num w:numId="4" w16cid:durableId="1954631624">
    <w:abstractNumId w:val="4"/>
  </w:num>
  <w:num w:numId="5" w16cid:durableId="100928039">
    <w:abstractNumId w:val="7"/>
  </w:num>
  <w:num w:numId="6" w16cid:durableId="396051502">
    <w:abstractNumId w:val="3"/>
  </w:num>
  <w:num w:numId="7" w16cid:durableId="2016419229">
    <w:abstractNumId w:val="2"/>
  </w:num>
  <w:num w:numId="8" w16cid:durableId="192771929">
    <w:abstractNumId w:val="1"/>
  </w:num>
  <w:num w:numId="9" w16cid:durableId="138459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508"/>
    <w:rsid w:val="00326F90"/>
    <w:rsid w:val="005352CF"/>
    <w:rsid w:val="00795FA6"/>
    <w:rsid w:val="00853AFC"/>
    <w:rsid w:val="0089403C"/>
    <w:rsid w:val="00946B34"/>
    <w:rsid w:val="00A659BA"/>
    <w:rsid w:val="00AA1D8D"/>
    <w:rsid w:val="00B47730"/>
    <w:rsid w:val="00BC1DB6"/>
    <w:rsid w:val="00BC4B9F"/>
    <w:rsid w:val="00CB0664"/>
    <w:rsid w:val="00CD35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7C95D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853AFC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853A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yperlink" Target="../../../../README.md" TargetMode="External"/><Relationship Id="rId16" Type="http://schemas.openxmlformats.org/officeDocument/2006/relationships/hyperlink" Target="07_Modelo_Base_Datos_PMP_Suite_V2.0.docx" TargetMode="External"/><Relationship Id="rId17" Type="http://schemas.openxmlformats.org/officeDocument/2006/relationships/hyperlink" Target="https://docs.docker.com/compose/how-tos/startup-order/" TargetMode="External"/><Relationship Id="rId18" Type="http://schemas.openxmlformats.org/officeDocument/2006/relationships/hyperlink" Target="https://hub.docker.com/_/postgres" TargetMode="External"/><Relationship Id="rId19" Type="http://schemas.openxmlformats.org/officeDocument/2006/relationships/hyperlink" Target="../../../ESTADO_Y_PENDIEN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2633</Words>
  <Characters>17091</Characters>
  <Application>Microsoft Office Word</Application>
  <DocSecurity>0</DocSecurity>
  <Lines>743</Lines>
  <Paragraphs>704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Despliegue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4</cp:revision>
  <dcterms:created xsi:type="dcterms:W3CDTF">2013-12-23T23:15:00Z</dcterms:created>
  <dcterms:modified xsi:type="dcterms:W3CDTF">2026-10-13T18:26:00Z</dcterms:modified>
  <cp:category/>
  <cp:version>2.0</cp:version>
</cp:coreProperties>
</file>