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D7DFD9" w14:textId="77777777" w:rsidR="004776A8" w:rsidRDefault="004776A8">
      <w:pPr>
        <w:spacing w:after="560"/>
      </w:pPr>
    </w:p>
    <w:p w14:paraId="47B38CE8" w14:textId="77777777" w:rsidR="004776A8" w:rsidRDefault="002A503A">
      <w:pPr>
        <w:spacing w:after="600"/>
        <w:jc w:val="center"/>
      </w:pPr>
      <w:r>
        <w:rPr>
          <w:noProof/>
        </w:rPr>
        <w:drawing>
          <wp:inline distT="0" distB="0" distL="0" distR="0" wp14:anchorId="5F83A9C5" wp14:editId="5914DAF5">
            <wp:extent cx="3337560" cy="925651"/>
            <wp:effectExtent l="0" t="0" r="0" b="0"/>
            <wp:docPr id="1" name="Picture 1" descr="Logotipo horizontal oficial de PMP Suite" title="Logotipo horizontal oficial de PMP Sui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MP_Suite_Logo_Horizontal_Color_1024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337560" cy="9256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316A89" w14:textId="77777777" w:rsidR="004776A8" w:rsidRDefault="002A503A">
      <w:pPr>
        <w:spacing w:after="280"/>
        <w:jc w:val="center"/>
      </w:pPr>
      <w:r>
        <w:rPr>
          <w:rFonts w:eastAsia="Calibri"/>
          <w:b/>
          <w:color w:val="007E7A"/>
          <w:sz w:val="20"/>
        </w:rPr>
        <w:t>METODOLOGÍA TRADICIONAL · CASCADA</w:t>
      </w:r>
    </w:p>
    <w:p w14:paraId="58D0E3D5" w14:textId="77777777" w:rsidR="004776A8" w:rsidRDefault="002A503A">
      <w:pPr>
        <w:pStyle w:val="Ttulo"/>
        <w:spacing w:after="160"/>
        <w:jc w:val="center"/>
      </w:pPr>
      <w:r>
        <w:rPr>
          <w:b/>
          <w:color w:val="000000"/>
        </w:rPr>
        <w:t>Cierre e Innovación del Proyecto</w:t>
      </w:r>
    </w:p>
    <w:p w14:paraId="60C148F4" w14:textId="77777777" w:rsidR="004776A8" w:rsidRDefault="002A503A">
      <w:pPr>
        <w:spacing w:after="680"/>
        <w:jc w:val="center"/>
      </w:pPr>
      <w:r>
        <w:t>Aporte, resultados y condiciones de aceptación del Proyecto APT</w:t>
      </w:r>
    </w:p>
    <w:tbl>
      <w:tblPr>
        <w:tblStyle w:val="Tablaconcuadrcula"/>
        <w:tblW w:w="9360" w:type="dxa"/>
        <w:tblInd w:w="120" w:type="dxa"/>
        <w:tblBorders>
          <w:top w:val="single" w:sz="6" w:space="0" w:color="C9D2DB"/>
          <w:left w:val="single" w:sz="6" w:space="0" w:color="C9D2DB"/>
          <w:bottom w:val="single" w:sz="6" w:space="0" w:color="C9D2DB"/>
          <w:right w:val="single" w:sz="6" w:space="0" w:color="C9D2DB"/>
          <w:insideH w:val="single" w:sz="6" w:space="0" w:color="C9D2DB"/>
          <w:insideV w:val="single" w:sz="6" w:space="0" w:color="C9D2DB"/>
        </w:tblBorders>
        <w:tblLayout w:type="fixed"/>
        <w:tblLook w:val="04A0" w:firstRow="1" w:lastRow="0" w:firstColumn="1" w:lastColumn="0" w:noHBand="0" w:noVBand="1"/>
      </w:tblPr>
      <w:tblGrid>
        <w:gridCol w:w="2700"/>
        <w:gridCol w:w="6660"/>
      </w:tblGrid>
      <w:tr w:rsidR="004776A8" w14:paraId="23D46B3E" w14:textId="77777777">
        <w:tc>
          <w:tcPr>
            <w:tcW w:w="2700" w:type="dxa"/>
            <w:shd w:val="clear" w:color="auto" w:fill="EAF2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18AC07" w14:textId="77777777" w:rsidR="004776A8" w:rsidRDefault="002A503A">
            <w:pPr>
              <w:spacing w:after="0"/>
            </w:pPr>
            <w:r>
              <w:rPr>
                <w:b/>
                <w:color w:val="0D1B2A"/>
                <w:sz w:val="19"/>
              </w:rPr>
              <w:t>Documento</w:t>
            </w:r>
          </w:p>
        </w:tc>
        <w:tc>
          <w:tcPr>
            <w:tcW w:w="66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>
              <w:t>Cierre e Innovación del Proyecto</w:t>
            </w:r>
          </w:p>
        </w:tc>
      </w:tr>
      <w:tr w:rsidR="004776A8" w14:paraId="47CB542D" w14:textId="77777777">
        <w:tc>
          <w:tcPr>
            <w:tcW w:w="2700" w:type="dxa"/>
            <w:shd w:val="clear" w:color="auto" w:fill="EAF2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22E505" w14:textId="77777777" w:rsidR="004776A8" w:rsidRDefault="002A503A">
            <w:pPr>
              <w:spacing w:after="0"/>
            </w:pPr>
            <w:r>
              <w:rPr>
                <w:b/>
                <w:color w:val="0D1B2A"/>
                <w:sz w:val="19"/>
              </w:rPr>
              <w:t>Versión</w:t>
            </w:r>
          </w:p>
        </w:tc>
        <w:tc>
          <w:tcPr>
            <w:tcW w:w="66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B8ACD7" w14:textId="77777777" w:rsidR="004776A8" w:rsidRDefault="002A503A">
            <w:pPr>
              <w:spacing w:after="0"/>
            </w:pPr>
            <w:r>
              <w:rPr>
                <w:sz w:val="20"/>
              </w:rPr>
              <w:t>V2.0 · Metodología en cascada</w:t>
            </w:r>
          </w:p>
        </w:tc>
      </w:tr>
      <w:tr w:rsidR="004776A8" w14:paraId="4BF1592E" w14:textId="77777777">
        <w:tc>
          <w:tcPr>
            <w:tcW w:w="2700" w:type="dxa"/>
            <w:shd w:val="clear" w:color="auto" w:fill="EAF2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8C3731" w14:textId="77777777" w:rsidR="004776A8" w:rsidRDefault="002A503A">
            <w:pPr>
              <w:spacing w:after="0"/>
            </w:pPr>
            <w:r>
              <w:rPr>
                <w:b/>
                <w:color w:val="0D1B2A"/>
                <w:sz w:val="19"/>
              </w:rPr>
              <w:t>Equipo</w:t>
            </w:r>
          </w:p>
        </w:tc>
        <w:tc>
          <w:tcPr>
            <w:tcW w:w="66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2E43F2" w14:textId="77777777" w:rsidR="004776A8" w:rsidRDefault="002A503A">
            <w:pPr>
              <w:spacing w:after="0"/>
            </w:pPr>
            <w:r>
              <w:rPr>
                <w:sz w:val="20"/>
              </w:rPr>
              <w:t>Rafael Oteiza · Matías Garrido · Luis Arenas</w:t>
            </w:r>
          </w:p>
        </w:tc>
      </w:tr>
      <w:tr w:rsidR="004776A8" w14:paraId="7E7B00C0" w14:textId="77777777">
        <w:tc>
          <w:tcPr>
            <w:tcW w:w="2700" w:type="dxa"/>
            <w:shd w:val="clear" w:color="auto" w:fill="EAF2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F71162" w14:textId="77777777" w:rsidR="004776A8" w:rsidRDefault="002A503A">
            <w:pPr>
              <w:spacing w:after="0"/>
            </w:pPr>
            <w:r>
              <w:rPr>
                <w:b/>
                <w:color w:val="0D1B2A"/>
                <w:sz w:val="19"/>
              </w:rPr>
              <w:t>Estado</w:t>
            </w:r>
          </w:p>
        </w:tc>
        <w:tc>
          <w:tcPr>
            <w:tcW w:w="66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>
              <w:t>Revisión documental · 14 de octubre de 2026</w:t>
              <w:br/>
              <w:t>Aceptación académica y operacional pendiente</w:t>
            </w:r>
          </w:p>
        </w:tc>
      </w:tr>
    </w:tbl>
    <w:p w14:paraId="4FD8AF79" w14:textId="77777777" w:rsidR="004776A8" w:rsidRDefault="004776A8">
      <w:pPr>
        <w:spacing w:after="440"/>
      </w:pPr>
    </w:p>
    <w:p w14:paraId="46D09A2F" w14:textId="77777777" w:rsidR="004776A8" w:rsidRDefault="002A503A">
      <w:pPr>
        <w:jc w:val="center"/>
      </w:pPr>
      <w:r>
        <w:rPr>
          <w:rFonts w:eastAsia="Calibri"/>
          <w:i/>
          <w:color w:val="5F6B76"/>
          <w:sz w:val="19"/>
        </w:rPr>
        <w:t>PMP Suite · Tecnología que mantiene tu operación en movimiento</w:t>
      </w:r>
    </w:p>
    <w:p>
      <w:pPr>
        <w:pStyle w:val="Ttulo2"/>
      </w:pPr>
      <w:r>
        <w:t>1 Innovación aplicada</w:t>
      </w:r>
    </w:p>
    <w:p>
      <w:pPr>
        <w:widowControl/>
      </w:pPr>
      <w:r>
        <w:t>¿Qué problema resuelve? La dispersión de registros de identidad, guías, diagnóstico, repuestos y QA. La plataforma permite reconstruir el recorrido del activo y distinguir tránsito, recepción efectiva y trabajo técnico.</w:t>
      </w:r>
    </w:p>
    <w:p>
      <w:pPr>
        <w:widowControl/>
      </w:pPr>
      <w:r>
        <w:t>¿Qué hace diferente a la solución? Integra identidad tipo más serie, evidencia del ciclo y custodia física con siete roles. Una lectura no mueve el equipo; recepción inicial no crea OS ficticia; rechazo QA exige nuevo recorrido por Bodega y recepción Lab. Bridge conserva referencias sin mover stock.</w:t>
      </w:r>
    </w:p>
    <w:p>
      <w:pPr>
        <w:widowControl/>
      </w:pPr>
      <w:r>
        <w:t>¿Qué valor agrega? Un historial centralizado y responsabilidad explícita de custodia, con información para revisar decisiones. Reducir ambigüedad y retrabajo es valor esperado; no se declaran porcentajes de mejora sin línea base ni medición autorizada.</w:t>
      </w:r>
    </w:p>
    <w:p>
      <w:pPr>
        <w:widowControl/>
      </w:pPr>
      <w:r>
        <w:t>La analítica es descriptiva y heurística, sin entrenamiento predictivo certificado. El aporte es contextual al mantenimiento; no demuestra novedad tecnológica general ni decisiones automáticas. Este cierre complementa la pauta académica y no inventa reflexiones personales o aprobaciones.</w:t>
      </w:r>
    </w:p>
    <w:p>
      <w:pPr>
        <w:pStyle w:val="Ttulo1"/>
        <w:pageBreakBefore/>
        <w:spacing w:before="0"/>
      </w:pPr>
      <w:r>
        <w:t>2 Resultados límites y condiciones de cierre</w:t>
      </w:r>
    </w:p>
    <w:p>
      <w:pPr>
        <w:widowControl/>
      </w:pPr>
      <w:r>
        <w:t>Corte reportado 14-10-2026: Backend 125/125, Web 284/284 y Mobile 210/210; build Web, exportaciones Expo Android/iOS y pip check correctos. No se reejecutaron para elaborar estos entregables. Los totales no se suman como cobertura única: hay casos compartidos. Mocks, bundles e históricos no acreditan validación física.</w:t>
      </w:r>
    </w:p>
    <w:p>
      <w:pPr>
        <w:widowControl/>
      </w:pPr>
      <w:r>
        <w:t>La corrección de navegación de recepción tuvo regresión aislada 145/145 y TypeScript/build correctos; su visita real sigue pendiente. Se contrastó el esquema de 26 tablas del respaldo sin ejecutar restauración. Docker se documenta como propuesta, con implementación y ensayo pendientes.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592"/>
        <w:gridCol w:w="6768"/>
      </w:tblGrid>
      <w:tr>
        <w:trPr>
          <w:cantSplit/>
          <w:tblHeader/>
        </w:trPr>
        <w:tc>
          <w:tcPr>
            <w:tcW w:type="dxa" w:w="2592"/>
            <w:vAlign w:val="center"/>
            <w:shd w:fill="17365D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60" w:before="40" w:line="240" w:lineRule="auto"/>
            </w:pPr>
            <w:r>
              <w:rPr>
                <w:rFonts w:ascii="Calibri" w:hAnsi="Calibri"/>
                <w:b/>
                <w:color w:val="FFFFFF"/>
                <w:sz w:val="20"/>
              </w:rPr>
              <w:t>Pendiente</w:t>
            </w:r>
          </w:p>
        </w:tc>
        <w:tc>
          <w:tcPr>
            <w:tcW w:type="dxa" w:w="6768"/>
            <w:vAlign w:val="center"/>
            <w:shd w:fill="17365D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60" w:before="40" w:line="240" w:lineRule="auto"/>
            </w:pPr>
            <w:r>
              <w:rPr>
                <w:rFonts w:ascii="Calibri" w:hAnsi="Calibri"/>
                <w:b/>
                <w:color w:val="FFFFFF"/>
                <w:sz w:val="20"/>
              </w:rPr>
              <w:t>Siguiente acción y evidencia mínima</w:t>
            </w:r>
          </w:p>
        </w:tc>
      </w:tr>
      <w:tr>
        <w:trPr>
          <w:cantSplit/>
        </w:trPr>
        <w:tc>
          <w:tcPr>
            <w:tcW w:type="dxa" w:w="2592"/>
            <w:vAlign w:val="center"/>
            <w:shd w:fill="F2F6FA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60" w:before="40" w:line="240" w:lineRule="auto"/>
            </w:pPr>
            <w:r>
              <w:rPr>
                <w:rFonts w:ascii="Calibri" w:hAnsi="Calibri"/>
                <w:b w:val="0"/>
                <w:color w:val="17212B"/>
                <w:sz w:val="20"/>
              </w:rPr>
              <w:t>Validación real · P0</w:t>
            </w:r>
          </w:p>
        </w:tc>
        <w:tc>
          <w:tcPr>
            <w:tcW w:type="dxa" w:w="6768"/>
            <w:vAlign w:val="center"/>
            <w:shd w:fill="F2F6FA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60" w:before="40" w:line="240" w:lineRule="auto"/>
            </w:pPr>
            <w:r>
              <w:rPr>
                <w:rFonts w:ascii="Calibri" w:hAnsi="Calibri"/>
                <w:b w:val="0"/>
                <w:color w:val="17212B"/>
                <w:sz w:val="20"/>
              </w:rPr>
              <w:t>Por asignar. Confirmar entorno separado y cuentas/datos autorizados; recorrer siete roles y dispositivos. Ficha esperado/observado y soporte por rol y equipo.</w:t>
            </w:r>
          </w:p>
        </w:tc>
      </w:tr>
      <w:tr>
        <w:trPr>
          <w:cantSplit/>
        </w:trPr>
        <w:tc>
          <w:tcPr>
            <w:tcW w:type="dxa" w:w="2592"/>
            <w:vAlign w:val="center"/>
            <w:shd w:fill="FFFFFF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60" w:before="40" w:line="240" w:lineRule="auto"/>
            </w:pPr>
            <w:r>
              <w:rPr>
                <w:rFonts w:ascii="Calibri" w:hAnsi="Calibri"/>
                <w:b w:val="0"/>
                <w:color w:val="17212B"/>
                <w:sz w:val="20"/>
              </w:rPr>
              <w:t>Simulación integrada · P1</w:t>
            </w:r>
          </w:p>
        </w:tc>
        <w:tc>
          <w:tcPr>
            <w:tcW w:type="dxa" w:w="6768"/>
            <w:vAlign w:val="center"/>
            <w:shd w:fill="FFFFFF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60" w:before="40" w:line="240" w:lineRule="auto"/>
            </w:pPr>
            <w:r>
              <w:rPr>
                <w:rFonts w:ascii="Calibri" w:hAnsi="Calibri"/>
                <w:b w:val="0"/>
                <w:color w:val="17212B"/>
                <w:sz w:val="20"/>
              </w:rPr>
              <w:t>Por asignar. Preparar fixtures/recursos descartables y ejecutar ciclo actual. Comando, versión, resultados e integridad reproducibles.</w:t>
            </w:r>
          </w:p>
        </w:tc>
      </w:tr>
      <w:tr>
        <w:trPr>
          <w:cantSplit/>
        </w:trPr>
        <w:tc>
          <w:tcPr>
            <w:tcW w:type="dxa" w:w="2592"/>
            <w:vAlign w:val="center"/>
            <w:shd w:fill="F2F6FA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60" w:before="40" w:line="240" w:lineRule="auto"/>
            </w:pPr>
            <w:r>
              <w:rPr>
                <w:rFonts w:ascii="Calibri" w:hAnsi="Calibri"/>
                <w:b w:val="0"/>
                <w:color w:val="17212B"/>
                <w:sz w:val="20"/>
              </w:rPr>
              <w:t>Instalación y recuperación · P1</w:t>
            </w:r>
          </w:p>
        </w:tc>
        <w:tc>
          <w:tcPr>
            <w:tcW w:type="dxa" w:w="6768"/>
            <w:vAlign w:val="center"/>
            <w:shd w:fill="F2F6FA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60" w:before="40" w:line="240" w:lineRule="auto"/>
            </w:pPr>
            <w:r>
              <w:rPr>
                <w:rFonts w:ascii="Calibri" w:hAnsi="Calibri"/>
                <w:b w:val="0"/>
                <w:color w:val="17212B"/>
                <w:sz w:val="20"/>
              </w:rPr>
              <w:t>Por asignar. Obtener catálogos e identidades aprobados; instalar y restaurar en destino separado. Registro de integridad y acceso.</w:t>
            </w:r>
          </w:p>
        </w:tc>
      </w:tr>
      <w:tr>
        <w:trPr>
          <w:cantSplit/>
        </w:trPr>
        <w:tc>
          <w:tcPr>
            <w:tcW w:type="dxa" w:w="2592"/>
            <w:vAlign w:val="center"/>
            <w:shd w:fill="FFFFFF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60" w:before="40" w:line="240" w:lineRule="auto"/>
            </w:pPr>
            <w:r>
              <w:rPr>
                <w:rFonts w:ascii="Calibri" w:hAnsi="Calibri"/>
                <w:b w:val="0"/>
                <w:color w:val="17212B"/>
                <w:sz w:val="20"/>
              </w:rPr>
              <w:t>Rendimiento y Docker</w:t>
            </w:r>
          </w:p>
        </w:tc>
        <w:tc>
          <w:tcPr>
            <w:tcW w:type="dxa" w:w="6768"/>
            <w:vAlign w:val="center"/>
            <w:shd w:fill="FFFFFF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60" w:before="40" w:line="240" w:lineRule="auto"/>
            </w:pPr>
            <w:r>
              <w:rPr>
                <w:rFonts w:ascii="Calibri" w:hAnsi="Calibri"/>
                <w:b w:val="0"/>
                <w:color w:val="17212B"/>
                <w:sz w:val="20"/>
              </w:rPr>
              <w:t>Por asignar. Acordar metas del SRS y probarlas; construir imágenes y ensayar Compose si se adopta. Métricas y arranque verificables.</w:t>
            </w:r>
          </w:p>
        </w:tc>
      </w:tr>
      <w:tr>
        <w:trPr>
          <w:cantSplit/>
        </w:trPr>
        <w:tc>
          <w:tcPr>
            <w:tcW w:type="dxa" w:w="2592"/>
            <w:vAlign w:val="center"/>
            <w:shd w:fill="F2F6FA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60" w:before="40" w:line="240" w:lineRule="auto"/>
            </w:pPr>
            <w:r>
              <w:rPr>
                <w:rFonts w:ascii="Calibri" w:hAnsi="Calibri"/>
                <w:b w:val="0"/>
                <w:color w:val="17212B"/>
                <w:sz w:val="20"/>
              </w:rPr>
              <w:t>Entrega académica · P0</w:t>
            </w:r>
          </w:p>
        </w:tc>
        <w:tc>
          <w:tcPr>
            <w:tcW w:type="dxa" w:w="6768"/>
            <w:vAlign w:val="center"/>
            <w:shd w:fill="F2F6FA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60" w:before="40" w:line="240" w:lineRule="auto"/>
            </w:pPr>
            <w:r>
              <w:rPr>
                <w:rFonts w:ascii="Calibri" w:hAnsi="Calibri"/>
                <w:b w:val="0"/>
                <w:color w:val="17212B"/>
                <w:sz w:val="20"/>
              </w:rPr>
              <w:t>Por asignar. Revisar pauta/evidencias y cargar para el 23-10-2026. Comprobante de carga y aceptación de la instancia competente.</w:t>
            </w:r>
          </w:p>
        </w:tc>
      </w:tr>
    </w:tbl>
    <w:p>
      <w:pPr>
        <w:widowControl/>
        <w:spacing w:after="0"/>
      </w:pPr>
    </w:p>
    <w:p>
      <w:pPr>
        <w:widowControl/>
      </w:pPr>
      <w:r>
        <w:t>Para comprobar el valor, comparar tiempos de reconstrucción del historial, integridad de evidencia y discrepancias de custodia con una muestra y período acordados. No hay medición vigente que permita atribuir mejoras cuantitativas al sistema.</w:t>
      </w:r>
    </w:p>
    <w:p>
      <w:pPr>
        <w:widowControl/>
      </w:pPr>
      <w:r>
        <w:t>El paquete cubre inicio, SRS, diseño con UML y datos, pruebas, despliegue e innovación; la Gantt ordena semanas 1 a 18. Las aprobaciones corresponden al equipo, al mandante y a la instancia académica según su atribución. La revisión documental no sustituye sus decisiones ni acredita publicación o puesta en producción.</w:t>
      </w:r>
    </w:p>
    <w:p>
      <w:pPr>
        <w:widowControl/>
      </w:pPr>
      <w:hyperlink r:id="rId15">
        <w:r>
          <w:rPr>
            <w:color w:val="1565C0"/>
          </w:rPr>
          <w:t>Único resumen operativo de resultados y pendientes</w:t>
        </w:r>
      </w:hyperlink>
    </w:p>
    <w:p>
      <w:pPr>
        <w:widowControl/>
      </w:pPr>
      <w:hyperlink r:id="rId16">
        <w:r>
          <w:rPr>
            <w:color w:val="1565C0"/>
          </w:rPr>
          <w:t>Matriz vigente y aceptación por requisito</w:t>
        </w:r>
      </w:hyperlink>
    </w:p>
    <w:sectPr w:rsidR="00E43F83" w:rsidSect="00034616">
      <w:headerReference w:type="default" r:id="rId9"/>
      <w:footerReference w:type="default" r:id="rId10"/>
      <w:headerReference w:type="first" r:id="rId13"/>
      <w:footerReference w:type="first" r:id="rId14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6A42590" w14:textId="77777777" w:rsidR="00A31996" w:rsidRDefault="00A31996">
      <w:pPr>
        <w:spacing w:after="0" w:line="240" w:lineRule="auto"/>
      </w:pPr>
      <w:r>
        <w:separator/>
      </w:r>
    </w:p>
  </w:endnote>
  <w:endnote w:type="continuationSeparator" w:id="0">
    <w:p w14:paraId="425A4104" w14:textId="77777777" w:rsidR="00A31996" w:rsidRDefault="00A3199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roman"/>
    <w:notTrueType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E5589FA" w14:textId="77777777" w:rsidR="004776A8" w:rsidRDefault="002A503A">
    <w:pPr>
      <w:pStyle w:val="Piedepgina"/>
      <w:jc w:val="right"/>
    </w:pPr>
    <w:r>
      <w:rPr>
        <w:rFonts w:eastAsia="Calibri"/>
        <w:color w:val="5F6B76"/>
        <w:sz w:val="17"/>
      </w:rPr>
      <w:t xml:space="preserve">Duoc UC · Ingeniería en Informática    |    Página </w:t>
    </w:r>
    <w:r>
      <w:rPr>
        <w:rFonts w:eastAsia="Calibri"/>
        <w:color w:val="5F6B76"/>
        <w:sz w:val="17"/>
      </w:rPr>
      <w:fldChar w:fldCharType="begin"/>
    </w:r>
    <w:r>
      <w:rPr>
        <w:rFonts w:eastAsia="Calibri"/>
        <w:color w:val="5F6B76"/>
        <w:sz w:val="17"/>
      </w:rPr>
      <w:instrText xml:space="preserve"> PAGE </w:instrText>
    </w:r>
    <w:r>
      <w:rPr>
        <w:rFonts w:eastAsia="Calibri"/>
        <w:color w:val="5F6B76"/>
        <w:sz w:val="17"/>
      </w:rPr>
      <w:fldChar w:fldCharType="separate"/>
    </w:r>
    <w:r w:rsidR="00A130FC">
      <w:rPr>
        <w:rFonts w:eastAsia="Calibri"/>
        <w:noProof/>
        <w:color w:val="5F6B76"/>
        <w:sz w:val="17"/>
      </w:rPr>
      <w:t>1</w:t>
    </w:r>
    <w:r>
      <w:rPr>
        <w:rFonts w:eastAsia="Calibri"/>
        <w:color w:val="5F6B76"/>
        <w:sz w:val="17"/>
      </w:rPr>
      <w:fldChar w:fldCharType="end"/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7E93BBD" w14:textId="77777777" w:rsidR="00A31996" w:rsidRDefault="00A31996">
      <w:pPr>
        <w:spacing w:after="0" w:line="240" w:lineRule="auto"/>
      </w:pPr>
      <w:r>
        <w:separator/>
      </w:r>
    </w:p>
  </w:footnote>
  <w:footnote w:type="continuationSeparator" w:id="0">
    <w:p w14:paraId="43FA5043" w14:textId="77777777" w:rsidR="00A31996" w:rsidRDefault="00A3199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609FCE5" w14:textId="77777777" w:rsidR="004776A8" w:rsidRDefault="002A503A">
    <w:pPr>
      <w:pStyle w:val="Encabezado"/>
    </w:pPr>
    <w:r>
      <w:rPr>
        <w:rFonts w:eastAsia="Calibri"/>
        <w:b/>
        <w:color w:val="5F6B76"/>
        <w:sz w:val="17"/>
      </w:rPr>
      <w:t>PMP SUITE  |  CAPSTONE     Cierre e Innovación</w:t>
    </w:r>
    <w:r>
      <w:rPr>
        <w:rFonts w:eastAsia="Calibri"/>
        <w:color w:val="5F6B76"/>
        <w:sz w:val="17"/>
      </w:rPr>
      <w:t xml:space="preserve"/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570770405">
    <w:abstractNumId w:val="8"/>
  </w:num>
  <w:num w:numId="2" w16cid:durableId="927469581">
    <w:abstractNumId w:val="6"/>
  </w:num>
  <w:num w:numId="3" w16cid:durableId="150567871">
    <w:abstractNumId w:val="5"/>
  </w:num>
  <w:num w:numId="4" w16cid:durableId="2112045197">
    <w:abstractNumId w:val="4"/>
  </w:num>
  <w:num w:numId="5" w16cid:durableId="14427788">
    <w:abstractNumId w:val="7"/>
  </w:num>
  <w:num w:numId="6" w16cid:durableId="1612281873">
    <w:abstractNumId w:val="3"/>
  </w:num>
  <w:num w:numId="7" w16cid:durableId="396784133">
    <w:abstractNumId w:val="2"/>
  </w:num>
  <w:num w:numId="8" w16cid:durableId="572085353">
    <w:abstractNumId w:val="1"/>
  </w:num>
  <w:num w:numId="9" w16cid:durableId="162406863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2A503A"/>
    <w:rsid w:val="002B4508"/>
    <w:rsid w:val="00326F90"/>
    <w:rsid w:val="004776A8"/>
    <w:rsid w:val="00795FA6"/>
    <w:rsid w:val="008344EE"/>
    <w:rsid w:val="0088229B"/>
    <w:rsid w:val="009B6EDC"/>
    <w:rsid w:val="00A130FC"/>
    <w:rsid w:val="00A31996"/>
    <w:rsid w:val="00AA1D8D"/>
    <w:rsid w:val="00B47730"/>
    <w:rsid w:val="00BC4B9F"/>
    <w:rsid w:val="00C07B96"/>
    <w:rsid w:val="00CB0664"/>
    <w:rsid w:val="00D712A1"/>
    <w:rsid w:val="00E43F83"/>
    <w:rsid w:val="00FC693F"/>
    <w:rsid w:val="00FD43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1B377739"/>
  <w14:defaultImageDpi w14:val="300"/>
  <w15:docId w15:val="{F8A977C2-CD5B-4CE4-87E3-40266F4308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20" w:line="250" w:lineRule="auto"/>
    </w:pPr>
    <w:rPr>
      <w:rFonts w:ascii="Calibri" w:hAnsi="Calibri"/>
      <w:color w:val="17212B"/>
      <w:sz w:val="21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/>
      <w:b/>
      <w:bCs/>
      <w:color w:val="0D1B2A"/>
      <w:sz w:val="32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40"/>
      <w:outlineLvl w:val="1"/>
    </w:pPr>
    <w:rPr>
      <w:rFonts w:asciiTheme="majorHAnsi" w:eastAsiaTheme="majorEastAsia" w:hAnsiTheme="majorHAnsi" w:cstheme="majorBidi"/>
      <w:b/>
      <w:bCs/>
      <w:color w:val="1565C0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b/>
      <w:bCs/>
      <w:color w:val="007E7A"/>
      <w:sz w:val="24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spacing w:after="160" w:line="280" w:lineRule="auto"/>
      <w:ind w:left="720"/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spacing w:after="160" w:line="280" w:lineRule="auto"/>
      <w:ind w:left="720"/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uerte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PMP">
    <w:name w:val="Code PMP"/>
    <w:basedOn w:val="Normal"/>
    <w:pPr>
      <w:spacing w:after="60"/>
    </w:pPr>
    <w:rPr>
      <w:rFonts w:ascii="Consolas" w:hAnsi="Consolas"/>
      <w:sz w:val="18"/>
    </w:rPr>
  </w:style>
  <w:style w:type="paragraph" w:styleId="TDC1">
    <w:name w:val="toc 1"/>
    <w:basedOn w:val="Normal"/>
    <w:next w:val="Normal"/>
    <w:autoRedefine/>
    <w:uiPriority w:val="39"/>
    <w:unhideWhenUsed/>
    <w:rsid w:val="00D712A1"/>
    <w:pPr>
      <w:spacing w:after="0" w:line="252" w:lineRule="auto"/>
    </w:pPr>
    <w:rPr>
      <w:sz w:val="21"/>
    </w:rPr>
  </w:style>
  <w:style w:type="character" w:styleId="Hipervnculo">
    <w:name w:val="Hyperlink"/>
    <w:basedOn w:val="Fuentedeprrafopredeter"/>
    <w:uiPriority w:val="99"/>
    <w:unhideWhenUsed/>
    <w:rsid w:val="00D712A1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3" Type="http://schemas.openxmlformats.org/officeDocument/2006/relationships/header" Target="header2.xml"/><Relationship Id="rId14" Type="http://schemas.openxmlformats.org/officeDocument/2006/relationships/footer" Target="footer2.xml"/><Relationship Id="rId15" Type="http://schemas.openxmlformats.org/officeDocument/2006/relationships/hyperlink" Target="../../../ESTADO_Y_PENDIENTES.md" TargetMode="External"/><Relationship Id="rId16" Type="http://schemas.openxmlformats.org/officeDocument/2006/relationships/hyperlink" Target="Matriz_Requerimientos_PMP_Suite.xls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13</Pages>
  <Words>2961</Words>
  <Characters>16287</Characters>
  <Application>Microsoft Office Word</Application>
  <DocSecurity>0</DocSecurity>
  <Lines>135</Lines>
  <Paragraphs>38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19210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Cierre e Innovación del Proyecto</dc:title>
  <dc:subject>PMP Suite V2.0 · Metodología en cascada</dc:subject>
  <dc:creator>Rafael Oteiza · Matías Garrido · Luis Arenas</dc:creator>
  <cp:keywords>PMP Suite, Capstone, Cascada, Duoc UC</cp:keywords>
  <dc:description/>
  <cp:lastModifiedBy>Rafael Oteiza</cp:lastModifiedBy>
  <cp:revision>5</cp:revision>
  <dcterms:created xsi:type="dcterms:W3CDTF">2013-12-23T23:15:00Z</dcterms:created>
  <dcterms:modified xsi:type="dcterms:W3CDTF">2026-10-13T18:26:00Z</dcterms:modified>
  <cp:category/>
  <cp:version>2.0</cp:version>
</cp:coreProperties>
</file>