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7423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9BB64C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3AD6795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E6BC77F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7F240DD" w14:textId="77777777" w:rsidR="001202BF" w:rsidRDefault="001202BF" w:rsidP="001202BF"/>
    <w:p w14:paraId="63AF2DDB" w14:textId="77777777" w:rsidR="001202BF" w:rsidRDefault="001202BF" w:rsidP="001202BF"/>
    <w:p w14:paraId="527F2704" w14:textId="77777777" w:rsidR="001202BF" w:rsidRDefault="001202BF" w:rsidP="001202BF"/>
    <w:p w14:paraId="730892FA" w14:textId="77777777" w:rsidR="001202BF" w:rsidRPr="00747ECB" w:rsidRDefault="001202BF" w:rsidP="001202BF"/>
    <w:p w14:paraId="2AFB6873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218A6DC5" w14:textId="27C57907" w:rsidR="00FC7908" w:rsidRDefault="00FC7908">
      <w:pPr>
        <w:spacing w:before="60" w:after="120" w:line="240" w:lineRule="auto"/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1D259214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56A1ED9D" w14:textId="77777777" w:rsidR="001202BF" w:rsidRPr="00BF2EA6" w:rsidRDefault="001202BF" w:rsidP="000C587E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6DD4B428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4561CE46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433386F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C08CE78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8E5AAC3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14106103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4FA16A34" w14:textId="77777777" w:rsidTr="00434472">
        <w:tc>
          <w:tcPr>
            <w:tcW w:w="3159" w:type="dxa"/>
            <w:vAlign w:val="center"/>
          </w:tcPr>
          <w:p w14:paraId="53667AF1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567B34B2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PMP Suite: Plataforma integral para la gestión y trazabilidad del mantenimiento de validadores y consolas del transporte público</w:t>
            </w:r>
          </w:p>
        </w:tc>
      </w:tr>
      <w:tr w:rsidR="00050706" w:rsidRPr="00B4008E" w14:paraId="115DA8B3" w14:textId="77777777" w:rsidTr="00434472">
        <w:tc>
          <w:tcPr>
            <w:tcW w:w="3159" w:type="dxa"/>
            <w:vAlign w:val="center"/>
          </w:tcPr>
          <w:p w14:paraId="7E74290D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315AB69" w14:textId="41A4C1AA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Gestión de proyectos informáticos; arquitectur</w:t>
            </w:r>
            <w:r w:rsidR="00A21F77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; desarrollo e integración de software; modelamiento y gestión de datos; aseguramiento de calidad y seguridad aplicada. Se mantienen las áreas declaradas en Fase 1.</w:t>
            </w:r>
          </w:p>
        </w:tc>
      </w:tr>
      <w:tr w:rsidR="00050706" w:rsidRPr="00B4008E" w14:paraId="7EA75B86" w14:textId="77777777" w:rsidTr="00434472">
        <w:tc>
          <w:tcPr>
            <w:tcW w:w="3159" w:type="dxa"/>
            <w:vAlign w:val="center"/>
          </w:tcPr>
          <w:p w14:paraId="511D8E6D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5EDDCA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5FCAB5A5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Gestionar proyectos informáticos; construir modelos de datos escalables; desarrollar e integrar soluciones; diseñar y aplicar pruebas de validación; construir una arquitectura que soporte procesos de negocio; proponer mejoras basadas en evidencia y comunicar resultados técnicos. La correspondencia con indicadores de calidad se desarrolla en los anexos y en las pautas individuales.</w:t>
            </w:r>
          </w:p>
        </w:tc>
      </w:tr>
    </w:tbl>
    <w:p w14:paraId="756F1112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2829C0D7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40EEE73C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2F4A1486" w14:textId="77777777" w:rsidTr="7EB51544">
        <w:tc>
          <w:tcPr>
            <w:tcW w:w="3001" w:type="dxa"/>
            <w:vAlign w:val="center"/>
          </w:tcPr>
          <w:p w14:paraId="64D7BBFD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2B9F3310" w14:textId="4B40FDFA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El mantenimiento de validadores y consolas del transporte público en Chile requiere coordinar Terreno, Bodega, Laboratorio y QA. Registros dispersos impiden reconstruir qué equipo salió, quién lo recibió, qué falla se diagnosticó y si puede volver a instalarse. La situación afecta a técnicos, logística, jefaturas y responsables de continuidad operacional; el impacto en pasajeros es indirecto y no se cuantifica sin un estudio específico.</w:t>
            </w:r>
          </w:p>
          <w:p w14:paraId="1576BC04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PMP Suite aporta una fuente integrada de equipos, OS, ubicaciones, intervenciones, stock y eventos, con responsabilidades separadas y una interfaz acorde a cada rol. Su valor consiste en hacer consultable y </w:t>
            </w:r>
            <w:r>
              <w:rPr>
                <w:rFonts w:ascii="Calibri" w:hAnsi="Calibri"/>
              </w:rPr>
              <w:lastRenderedPageBreak/>
              <w:t>verificable el proceso, conservar antecedentes técnicos y apoyar decisiones sobre mantenimiento y reposición. No se atribuyen ahorros, reducción de fallas o mejoras de SLA que no hayan sido medidos.</w:t>
            </w:r>
          </w:p>
          <w:p w14:paraId="071798B5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En Ingeniería en Informática, el proyecto integra análisis, arquitectura, datos, seguridad, implementación y pruebas. El resultado académico es una plataforma funcional con evidencia de integración y límites explícitos; la validación local y sintética no constituye una implantación certificada en una empresa de transporte.</w:t>
            </w:r>
          </w:p>
        </w:tc>
      </w:tr>
      <w:tr w:rsidR="001202BF" w14:paraId="0163334F" w14:textId="77777777" w:rsidTr="7EB51544">
        <w:tc>
          <w:tcPr>
            <w:tcW w:w="3001" w:type="dxa"/>
            <w:vAlign w:val="center"/>
          </w:tcPr>
          <w:p w14:paraId="4802181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3CA1707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Objetivo general. Desarrollar e integrar PMP Suite como una plataforma funcional que centralice y haga trazable el ciclo de mantenimiento de validadores y consolas del transporte público, apoyando la gestión operacional y la toma de decisiones.</w:t>
            </w:r>
          </w:p>
          <w:p w14:paraId="6AE22428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1. Analizar y documentar problemática, actores, requerimientos y reglas de negocio de los procesos priorizados. La ERS y la matriz de trazabilidad constituyen la línea base para verificar este objetivo.</w:t>
            </w:r>
          </w:p>
          <w:p w14:paraId="009210B7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2. Diseñar una arquitectura y un modelo relacional que aseguren integridad, seguridad y trazabilidad, separando identidad autenticada, autorización y operaciones de negocio.</w:t>
            </w:r>
          </w:p>
          <w:p w14:paraId="7E97EB75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3. Desarrollar e integrar usuarios, equipos, órdenes de servicio, eventos, diagnóstico, logística, repuestos y QA, con interfaces Web y Mobile coherentes y restricciones por rol.</w:t>
            </w:r>
          </w:p>
          <w:p w14:paraId="2530E370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4. Validar funciones, permisos, transiciones e integración mediante pruebas y evidencias reproducibles, distinguiendo simulación, pruebas automatizadas y comprobaciones físicas.</w:t>
            </w:r>
          </w:p>
          <w:p w14:paraId="5F920F56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5. Documentar resultados, limitaciones, decisiones y recomendaciones de continuidad. Se conserva el propósito de Fase 1; la precisión añadida es verificable y no incorpora una puesta en producción definitiva al alcance académico.</w:t>
            </w:r>
          </w:p>
        </w:tc>
      </w:tr>
      <w:tr w:rsidR="001202BF" w14:paraId="354EADC1" w14:textId="77777777" w:rsidTr="7EB51544">
        <w:tc>
          <w:tcPr>
            <w:tcW w:w="3001" w:type="dxa"/>
            <w:vAlign w:val="center"/>
          </w:tcPr>
          <w:p w14:paraId="55B401BD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194FFF6" w14:textId="175C4294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Se confirma la metodología en cascada para conducir y cerrar el proyecto. Esta decisión actualiza expresamente la propuesta iterativa e incremental de Fase 1, que se conserva como antecedente histórico. No se presenta el trabajo previo como si siempre hubiese seguido cascada.</w:t>
            </w:r>
          </w:p>
          <w:p w14:paraId="0C2C5D48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Secuencia de trabajo: requisitos y alcance → diseño → construcción e integración → verificación y correcciones → entrega académica y mantenimiento documentado. Cada fase produce una línea base revisable y habilita el paso a la siguiente mediante criterios de salida.</w:t>
            </w:r>
          </w:p>
          <w:p w14:paraId="1D034FA0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Requisitos. Consolidar actores, reglas, casos, criterios de aceptación y restricciones en la ERS y matriz. Salida: alcance identificable, requisitos verificables y decisiones pendientes registradas. Diseño. Revisar arquitectura, contratos API, RBAC, estados, modelo de datos e interfaces contra esa línea base. Salida: diseño coherente y trazable a los requisitos.</w:t>
            </w:r>
          </w:p>
          <w:p w14:paraId="23127702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Construcción. Implementar sobre el diseño controlado e integrar API, persistencia, Web, Mobile y análisis. Salida: componentes integrados, controles de autorización y resultados reproducibles. Verificación. Contrastar resultados esperados con pruebas por rol y flujo; registrar </w:t>
            </w:r>
            <w:r>
              <w:rPr>
                <w:rFonts w:ascii="Calibri" w:hAnsi="Calibri"/>
              </w:rPr>
              <w:lastRenderedPageBreak/>
              <w:t>fallos, corregir y repetir las pruebas afectadas. Salida: incidencias críticas resueltas y limitaciones aceptadas explícitamente.</w:t>
            </w:r>
          </w:p>
          <w:p w14:paraId="166C3EF4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Entrega. Consolidar manuales, evidencias, instrucciones de despliegue, limitaciones y aceptación académica. La aprobación docente y la aceptación física no se presumen: requieren revisión y registro. El mantenimiento contempla atención de defectos y cambios posteriores sobre versiones controladas.</w:t>
            </w:r>
          </w:p>
          <w:p w14:paraId="51B7C518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Control de cambios. Registrar solicitud, motivo e impacto en requisitos, diseño, datos, seguridad, pruebas y plazo; decidir con el responsable del proyecto; actualizar la línea base; implementar y verificar. Un defecto puede devolver el trabajo a su fase de origen de forma controlada. Las correcciones no convierten el método declarado en Scrum ni justifican omitir las revisiones.</w:t>
            </w:r>
          </w:p>
          <w:p w14:paraId="12111B3D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Pertinencia. Los procesos de custodia, OS, stock y QA requieren reglas explícitas y trazabilidad entre requisitos, diseño y evidencia. Cascada facilita documentar estas dependencias y la entrega académica. Su riesgo es descubrir tarde discrepancias: se mitiga con revisión de artefactos y criterios de aceptación antes de autorizar cada paso.</w:t>
            </w:r>
          </w:p>
        </w:tc>
      </w:tr>
      <w:tr w:rsidR="001202BF" w14:paraId="63AE89BE" w14:textId="77777777" w:rsidTr="7EB51544">
        <w:tc>
          <w:tcPr>
            <w:tcW w:w="3001" w:type="dxa"/>
            <w:vAlign w:val="center"/>
          </w:tcPr>
          <w:p w14:paraId="266CA09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22ECE2A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Análisis y diseño. Se consolidaron conceptos de activo, caso, OS, eventos, custodia y ubicación; la identidad del activo considera tipo y serie. El modelo relacional representa equipos, buses, usuarios, órdenes, reparaciones, movimientos y repuestos. El diseño separa autenticación </w:t>
            </w:r>
            <w:proofErr w:type="spellStart"/>
            <w:r>
              <w:rPr>
                <w:rFonts w:ascii="Calibri" w:hAnsi="Calibri"/>
              </w:rPr>
              <w:t>Firebase</w:t>
            </w:r>
            <w:proofErr w:type="spellEnd"/>
            <w:r>
              <w:rPr>
                <w:rFonts w:ascii="Calibri" w:hAnsi="Calibri"/>
              </w:rPr>
              <w:t xml:space="preserve">, autorización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y persistencia PostgreSQL [E3, E4].</w:t>
            </w:r>
          </w:p>
          <w:p w14:paraId="68A80F40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Construcción. La API Node.js/Express coordina reglas y transacciones. Web </w:t>
            </w:r>
            <w:proofErr w:type="spellStart"/>
            <w:r>
              <w:rPr>
                <w:rFonts w:ascii="Calibri" w:hAnsi="Calibri"/>
              </w:rPr>
              <w:t>React</w:t>
            </w:r>
            <w:proofErr w:type="spellEnd"/>
            <w:r>
              <w:rPr>
                <w:rFonts w:ascii="Calibri" w:hAnsi="Calibri"/>
              </w:rPr>
              <w:t>/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 permite administración y operación por rol; Mobile </w:t>
            </w:r>
            <w:proofErr w:type="spellStart"/>
            <w:r>
              <w:rPr>
                <w:rFonts w:ascii="Calibri" w:hAnsi="Calibri"/>
              </w:rPr>
              <w:t>React</w:t>
            </w:r>
            <w:proofErr w:type="spellEnd"/>
            <w:r>
              <w:rPr>
                <w:rFonts w:ascii="Calibri" w:hAnsi="Calibri"/>
              </w:rPr>
              <w:t xml:space="preserve"> Native/Expo soporta las tareas de terreno y la consulta técnica. Se implementaron recepción, asignación, reparación, QA, despacho, instalación, retiro y trazabilidad respetando los contratos de negocio.</w:t>
            </w:r>
          </w:p>
          <w:p w14:paraId="125DFCF8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Separación de roles. Gerente consulta indicadores y trazabilidad autorizada; </w:t>
            </w:r>
            <w:proofErr w:type="spellStart"/>
            <w:r>
              <w:rPr>
                <w:rFonts w:ascii="Calibri" w:hAnsi="Calibri"/>
              </w:rPr>
              <w:t>Admin</w:t>
            </w:r>
            <w:proofErr w:type="spellEnd"/>
            <w:r>
              <w:rPr>
                <w:rFonts w:ascii="Calibri" w:hAnsi="Calibri"/>
              </w:rPr>
              <w:t xml:space="preserve"> administra cuentas/configuración y supervisa sin adquirir automáticamente facultades físicas; </w:t>
            </w:r>
            <w:proofErr w:type="gramStart"/>
            <w:r>
              <w:rPr>
                <w:rFonts w:ascii="Calibri" w:hAnsi="Calibri"/>
              </w:rPr>
              <w:t>Jefe</w:t>
            </w:r>
            <w:proofErr w:type="gramEnd"/>
            <w:r>
              <w:rPr>
                <w:rFonts w:ascii="Calibri" w:hAnsi="Calibri"/>
              </w:rPr>
              <w:t xml:space="preserve"> de Laboratorio recibe, asigna y gestiona salida de su área. Logística, Técnico de Laboratorio, QA y Técnico de Terreno conservan su ámbito operacional. La API utiliza identidad validada y autorización por acción/recurso; ocultar botones no sustituye el control de acceso.</w:t>
            </w:r>
          </w:p>
          <w:p w14:paraId="3ABE6D17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Experiencia Web. Los encabezados conservan el gradiente azul, calipso y blanco con decoración de circuitos PMP. Se unificaron grilla, </w:t>
            </w:r>
            <w:proofErr w:type="spellStart"/>
            <w:r>
              <w:rPr>
                <w:rFonts w:ascii="Calibri" w:hAnsi="Calibri"/>
              </w:rPr>
              <w:t>cards</w:t>
            </w:r>
            <w:proofErr w:type="spellEnd"/>
            <w:r>
              <w:rPr>
                <w:rFonts w:ascii="Calibri" w:hAnsi="Calibri"/>
              </w:rPr>
              <w:t xml:space="preserve">, tablas, filtros, botones, estados vacíos y avisos de solo lectura. Se mantuvo la </w:t>
            </w:r>
            <w:proofErr w:type="spellStart"/>
            <w:r>
              <w:rPr>
                <w:rFonts w:ascii="Calibri" w:hAnsi="Calibri"/>
              </w:rPr>
              <w:t>sidebar</w:t>
            </w:r>
            <w:proofErr w:type="spellEnd"/>
            <w:r>
              <w:rPr>
                <w:rFonts w:ascii="Calibri" w:hAnsi="Calibri"/>
              </w:rPr>
              <w:t xml:space="preserve"> corporativa y la densidad operacional. Los </w:t>
            </w:r>
            <w:proofErr w:type="spellStart"/>
            <w:r>
              <w:rPr>
                <w:rFonts w:ascii="Calibri" w:hAnsi="Calibri"/>
              </w:rPr>
              <w:t>dashboards</w:t>
            </w:r>
            <w:proofErr w:type="spellEnd"/>
            <w:r>
              <w:rPr>
                <w:rFonts w:ascii="Calibri" w:hAnsi="Calibri"/>
              </w:rPr>
              <w:t xml:space="preserve"> emplean KPI semánticos y gráficos con acceso al detalle. El modo claro es la referencia por defecto en Web y la preferencia puede cambiarse.</w:t>
            </w:r>
          </w:p>
          <w:p w14:paraId="366BF1A2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Experiencia Mobile. Configuración propia ofrece perfil de sesión de solo lectura, apariencia Automático/Claro/Oscuro persistida y cambio de contraseña mediante </w:t>
            </w:r>
            <w:proofErr w:type="spellStart"/>
            <w:r>
              <w:rPr>
                <w:rFonts w:ascii="Calibri" w:hAnsi="Calibri"/>
              </w:rPr>
              <w:t>reautenticación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updatePassword</w:t>
            </w:r>
            <w:proofErr w:type="spellEnd"/>
            <w:r>
              <w:rPr>
                <w:rFonts w:ascii="Calibri" w:hAnsi="Calibri"/>
              </w:rPr>
              <w:t xml:space="preserve"> de </w:t>
            </w:r>
            <w:proofErr w:type="spellStart"/>
            <w:r>
              <w:rPr>
                <w:rFonts w:ascii="Calibri" w:hAnsi="Calibri"/>
              </w:rPr>
              <w:t>Firebase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lastRenderedPageBreak/>
              <w:t xml:space="preserve">para el proveedor correspondiente. Se revisaron encabezados, regreso compacto, formularios, </w:t>
            </w:r>
            <w:proofErr w:type="spellStart"/>
            <w:r>
              <w:rPr>
                <w:rFonts w:ascii="Calibri" w:hAnsi="Calibri"/>
              </w:rPr>
              <w:t>feedback</w:t>
            </w:r>
            <w:proofErr w:type="spellEnd"/>
            <w:r>
              <w:rPr>
                <w:rFonts w:ascii="Calibri" w:hAnsi="Calibri"/>
              </w:rPr>
              <w:t xml:space="preserve"> y controles táctiles. El historial de Terreno recibe una proyección técnica desde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y agrupa las intervenciones por OS, sin exponer auditoría administrativa ni datos sensibles [E9].</w:t>
            </w:r>
          </w:p>
          <w:p w14:paraId="6621AB5E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Reportes. El Centro de reportes permite seleccionar información y filtros. La exportación Excel está habilitada para </w:t>
            </w:r>
            <w:proofErr w:type="spellStart"/>
            <w:r>
              <w:rPr>
                <w:rFonts w:ascii="Calibri" w:hAnsi="Calibri"/>
              </w:rPr>
              <w:t>Admin</w:t>
            </w:r>
            <w:proofErr w:type="spellEnd"/>
            <w:r>
              <w:rPr>
                <w:rFonts w:ascii="Calibri" w:hAnsi="Calibri"/>
              </w:rPr>
              <w:t xml:space="preserve">, Gerente, </w:t>
            </w:r>
            <w:proofErr w:type="gramStart"/>
            <w:r>
              <w:rPr>
                <w:rFonts w:ascii="Calibri" w:hAnsi="Calibri"/>
              </w:rPr>
              <w:t>Jefe</w:t>
            </w:r>
            <w:proofErr w:type="gramEnd"/>
            <w:r>
              <w:rPr>
                <w:rFonts w:ascii="Calibri" w:hAnsi="Calibri"/>
              </w:rPr>
              <w:t xml:space="preserve"> de Laboratorio y Logística según las consultas autorizadas; no se habilita para Técnico de Laboratorio, QA o Terreno. Recupera todos los registros que coinciden con los filtros, conserva series como texto y evita tratar el contenido como fórmulas. Descargar no modifica datos [E9].</w:t>
            </w:r>
          </w:p>
          <w:p w14:paraId="34B814FC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Inteligencia operacional. Se analizan fallas por activo, recurrencia, intervalos observados, incidencias, diagnósticos, resultados técnicos y salidas de repuestos. La relación con un bus señala concentración registrada, no demuestra que el bus cause la falla. Los resultados sin cierre no se clasifican automáticamente como irreparables; NFF significa falla no encontrada, no una reparación inventada.</w:t>
            </w:r>
          </w:p>
          <w:p w14:paraId="1509C73D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Estimaciones y prevención. El servicio </w:t>
            </w:r>
            <w:proofErr w:type="spellStart"/>
            <w:r>
              <w:rPr>
                <w:rFonts w:ascii="Calibri" w:hAnsi="Calibri"/>
              </w:rPr>
              <w:t>maintenanceAnalysis</w:t>
            </w:r>
            <w:proofErr w:type="spellEnd"/>
            <w:r>
              <w:rPr>
                <w:rFonts w:ascii="Calibri" w:hAnsi="Calibri"/>
              </w:rPr>
              <w:t xml:space="preserve"> exige al menos tres intervalos reales y treinta días de historia para mostrar rangos orientativos de recurrencia. La reposición considera salidas de los últimos noventa días y excluye simulaciones de la proyección; requiere al menos tres entregas reales y treinta días de observación. Faltan plazos de proveedor y pedidos en curso para fijar una compra. Las alertas recomiendan inspeccionar o evaluar reposición; no crean órdenes ni compras automáticas.</w:t>
            </w:r>
          </w:p>
          <w:p w14:paraId="332D31C6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Límites del análisis. El repositorio conserva una heurística de reincidencia en analyzer.py y un servicio descriptivo de mantenimiento; no hay evidencia de un modelo predictivo entrenado y validado que determine una fecha cierta de próxima falla. Los intervalos entre reportes incluyen tiempo fuera de operación y no son MTBF. Las salidas de repuestos tampoco prueban consumo instalado. Un modelo estadístico futuro requiere datos reales longitudinales y evaluación independiente [E9].</w:t>
            </w:r>
          </w:p>
          <w:p w14:paraId="67DB3EC3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Verificación y ajustes. El lote sintético permitió revisar continuidad del ciclo, PoD, repuestos faltantes, NFF y rechazo QA. La corrección de las series N9715 conservó identidades relacionadas e historial. La auditoría visual detectó reglas de </w:t>
            </w:r>
            <w:proofErr w:type="spellStart"/>
            <w:r>
              <w:rPr>
                <w:rFonts w:ascii="Calibri" w:hAnsi="Calibri"/>
              </w:rPr>
              <w:t>layout</w:t>
            </w:r>
            <w:proofErr w:type="spellEnd"/>
            <w:r>
              <w:rPr>
                <w:rFonts w:ascii="Calibri" w:hAnsi="Calibri"/>
              </w:rPr>
              <w:t xml:space="preserve"> superpuestas, márgenes acumulados y alturas mínimas innecesarias; se corrigieron componentes compartidos antes que añadir parches por pantalla [E6–E8].</w:t>
            </w:r>
          </w:p>
          <w:p w14:paraId="6103A3C4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Dificultades y facilitadores. El conocimiento operacional, la documentación y el kit visual facilitaron la integración. La amplitud de roles, la calidad de los datos y la diferencia entre prueba simulada y física exigieron controles adicionales. Se mantuvieron decisiones y resultados fechados para evitar presentar como resueltas las validaciones todavía abiertas.</w:t>
            </w:r>
          </w:p>
        </w:tc>
      </w:tr>
      <w:tr w:rsidR="001202BF" w14:paraId="73351D01" w14:textId="77777777" w:rsidTr="7EB51544">
        <w:tc>
          <w:tcPr>
            <w:tcW w:w="3001" w:type="dxa"/>
            <w:vAlign w:val="center"/>
          </w:tcPr>
          <w:p w14:paraId="158812DD" w14:textId="77777777" w:rsidR="00A21F77" w:rsidRDefault="00A21F77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</w:p>
          <w:p w14:paraId="14A725FD" w14:textId="77777777" w:rsidR="00A21F77" w:rsidRDefault="00A21F77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</w:p>
          <w:p w14:paraId="39E71B4F" w14:textId="2048671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1F5BB70" w14:textId="77777777" w:rsidR="00A21F77" w:rsidRDefault="00A21F77">
            <w:pPr>
              <w:spacing w:before="60" w:after="120" w:line="240" w:lineRule="auto"/>
              <w:rPr>
                <w:rFonts w:ascii="Calibri" w:hAnsi="Calibri"/>
              </w:rPr>
            </w:pPr>
          </w:p>
          <w:p w14:paraId="33A247F8" w14:textId="6AA473A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lastRenderedPageBreak/>
              <w:t xml:space="preserve">Evidencia histórica del 09-10-2026: 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118/118 pruebas aprobadas; Mobile 210/210 con </w:t>
            </w:r>
            <w:proofErr w:type="spellStart"/>
            <w:r>
              <w:rPr>
                <w:rFonts w:ascii="Calibri" w:hAnsi="Calibri"/>
              </w:rPr>
              <w:t>mocks</w:t>
            </w:r>
            <w:proofErr w:type="spellEnd"/>
            <w:r>
              <w:rPr>
                <w:rFonts w:ascii="Calibri" w:hAnsi="Calibri"/>
              </w:rPr>
              <w:t xml:space="preserve">; RBAC HTTP aislado, 99 solicitudes verificadas. El informe de esa fecha registra 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build</w:t>
            </w:r>
            <w:proofErr w:type="spellEnd"/>
            <w:r>
              <w:rPr>
                <w:rFonts w:ascii="Calibri" w:hAnsi="Calibri"/>
              </w:rPr>
              <w:t xml:space="preserve"> Web aprobados y 176/177 pruebas Web, con un fallo de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>. Estos resultados no fueron ejecutados nuevamente al redactar Fase 2.</w:t>
            </w:r>
          </w:p>
          <w:p w14:paraId="73AFC830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Actualización Web del 12-10-2026: 37 páginas, 36 patrones de rutas protegidas y tres públicas revisados; matriz de 252 combinaciones rol-ruta. Se registraron 3.440 comprobaciones de renderizado y navegación sin fallos en </w:t>
            </w:r>
            <w:proofErr w:type="spellStart"/>
            <w:r>
              <w:rPr>
                <w:rFonts w:ascii="Calibri" w:hAnsi="Calibri"/>
              </w:rPr>
              <w:t>Chromium</w:t>
            </w:r>
            <w:proofErr w:type="spellEnd"/>
            <w:r>
              <w:rPr>
                <w:rFonts w:ascii="Calibri" w:hAnsi="Calibri"/>
              </w:rPr>
              <w:t xml:space="preserve"> con fixtures aislados, en ambos temas y anchos de 320 a 1.920 </w:t>
            </w:r>
            <w:proofErr w:type="spellStart"/>
            <w:r>
              <w:rPr>
                <w:rFonts w:ascii="Calibri" w:hAnsi="Calibri"/>
              </w:rPr>
              <w:t>px</w:t>
            </w:r>
            <w:proofErr w:type="spellEnd"/>
            <w:r>
              <w:rPr>
                <w:rFonts w:ascii="Calibri" w:hAnsi="Calibri"/>
              </w:rPr>
              <w:t>. Incluye estados con datos, vacíos, carga, error, acceso denegado y navegación por teclado.</w:t>
            </w:r>
          </w:p>
          <w:p w14:paraId="399FC423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Regresión Web más reciente documentada: 203/204 pruebas aprobadas. Persiste un fallo anterior en </w:t>
            </w:r>
            <w:proofErr w:type="spellStart"/>
            <w:r>
              <w:rPr>
                <w:rFonts w:ascii="Calibri" w:hAnsi="Calibri"/>
              </w:rPr>
              <w:t>requirements.frontend.test.mjs</w:t>
            </w:r>
            <w:proofErr w:type="spellEnd"/>
            <w:r>
              <w:rPr>
                <w:rFonts w:ascii="Calibri" w:hAnsi="Calibri"/>
              </w:rPr>
              <w:t xml:space="preserve"> por un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Mobile que no exporta </w:t>
            </w:r>
            <w:proofErr w:type="spellStart"/>
            <w:r>
              <w:rPr>
                <w:rFonts w:ascii="Calibri" w:hAnsi="Calibri"/>
              </w:rPr>
              <w:t>useAuth</w:t>
            </w:r>
            <w:proofErr w:type="spellEnd"/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TypeScript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build</w:t>
            </w:r>
            <w:proofErr w:type="spellEnd"/>
            <w:r>
              <w:rPr>
                <w:rFonts w:ascii="Calibri" w:hAnsi="Calibri"/>
              </w:rPr>
              <w:t xml:space="preserve"> de producción aprobados. No hay script </w:t>
            </w:r>
            <w:proofErr w:type="spellStart"/>
            <w:r>
              <w:rPr>
                <w:rFonts w:ascii="Calibri" w:hAnsi="Calibri"/>
              </w:rPr>
              <w:t>lint</w:t>
            </w:r>
            <w:proofErr w:type="spellEnd"/>
            <w:r>
              <w:rPr>
                <w:rFonts w:ascii="Calibri" w:hAnsi="Calibri"/>
              </w:rPr>
              <w:t xml:space="preserve"> configurado; por tanto, </w:t>
            </w:r>
            <w:proofErr w:type="spellStart"/>
            <w:r>
              <w:rPr>
                <w:rFonts w:ascii="Calibri" w:hAnsi="Calibri"/>
              </w:rPr>
              <w:t>lint</w:t>
            </w:r>
            <w:proofErr w:type="spellEnd"/>
            <w:r>
              <w:rPr>
                <w:rFonts w:ascii="Calibri" w:hAnsi="Calibri"/>
              </w:rPr>
              <w:t xml:space="preserve"> no puede declararse aprobado. Las comprobaciones visuales no equivalen a 3.440 pruebas físicas ni a sesiones reales de cada usuario.</w:t>
            </w:r>
          </w:p>
          <w:p w14:paraId="41343F5E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Ciclo funcional simulado del 12-10-2026: 20/20 activos completaron el circuito; diez validadores y diez consolas, con 60/60 OS cerradas, 930 eventos marcados como sintéticos y 1.126 pasos combinados documentados. Incluye falta de repuestos, PoD, NFF y rechazo QA con nuevo ciclo. Los datos del lote fueron persistidos con autorización previa; la presente elaboración documental no añade ni modifica registros.</w:t>
            </w:r>
          </w:p>
          <w:p w14:paraId="0C6FCC06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Corrección de identidad del lote: consolas Waysion N9715 con series 9715B669769901–9715B669769910; se conservaron los mismos 20 activos, 60 OS, relaciones y fechas. La verificación histórica informa 2.166 filas comparadas en 26 tablas y ausencia de referencias antiguas en el alcance revisado. No se repitieron movimientos para corregir la identidad.</w:t>
            </w:r>
          </w:p>
          <w:p w14:paraId="37F2B19C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Limitaciones de cierre. Permanecen la comprobación nativa de cámara/QR, PoD, teclado y continuidad de sesión en dispositivos iOS/Android reales; la aceptación física del proceso; las pruebas finales de rendimiento y seguridad en el entorno objetivo; la corrección del </w:t>
            </w:r>
            <w:proofErr w:type="spellStart"/>
            <w:r>
              <w:rPr>
                <w:rFonts w:ascii="Calibri" w:hAnsi="Calibri"/>
              </w:rPr>
              <w:t>mock</w:t>
            </w:r>
            <w:proofErr w:type="spellEnd"/>
            <w:r>
              <w:rPr>
                <w:rFonts w:ascii="Calibri" w:hAnsi="Calibri"/>
              </w:rPr>
              <w:t xml:space="preserve"> y la revisión docente. No se declara certificación productiva, precisión predictiva ni cumplimiento total de todas las funciones por el solo éxito del lote simulado.</w:t>
            </w:r>
          </w:p>
          <w:p w14:paraId="749486AF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Los anexos conservan diagramas, matriz de objetivos y criterios de cierre. Las fuentes E5–E8 corresponden a evidencias históricas externas conservadas en Tesis; no están incluidas en esta copia. Las comprobaciones actuales se describen en el README principal y no equivalen a aceptación final.</w:t>
            </w:r>
          </w:p>
          <w:p w14:paraId="00FFDFB0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Conclusión de alcance. Existe una solución integrada y documentada con evidencia de funcionamiento del software. El cierre completo del proyecto queda condicionado a resolver los pendientes y obtener aceptación académica y operacional; no se declara disponibilidad productiva total.</w:t>
            </w:r>
          </w:p>
        </w:tc>
      </w:tr>
      <w:tr w:rsidR="001202BF" w14:paraId="1C19E436" w14:textId="77777777" w:rsidTr="7EB51544">
        <w:tc>
          <w:tcPr>
            <w:tcW w:w="3001" w:type="dxa"/>
            <w:vAlign w:val="center"/>
          </w:tcPr>
          <w:p w14:paraId="57A6A6CD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389BE33C" w14:textId="20D2C819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El proyecto mantiene los intereses declarados por el equipo en Fase 1: gestión tecnológica, transformación digital, análisis de procesos, desarrollo e integración. El trabajo conecta necesidades operacionales con decisiones de arquitectura, seguridad, calidad de datos y experiencia de usuario. Las responsabilidades de referencia siguen siendo Rafael Oteiza en liderazgo/arquitectura/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/datos, Matías Garrido en requerimientos/documentación y Luis Arenas en </w:t>
            </w:r>
            <w:proofErr w:type="spellStart"/>
            <w:r>
              <w:rPr>
                <w:rFonts w:ascii="Calibri" w:hAnsi="Calibri"/>
              </w:rPr>
              <w:t>frontend</w:t>
            </w:r>
            <w:proofErr w:type="spellEnd"/>
            <w:r>
              <w:rPr>
                <w:rFonts w:ascii="Calibri" w:hAnsi="Calibri"/>
              </w:rPr>
              <w:t>/Web/Mobile</w:t>
            </w:r>
            <w:r w:rsidR="00A21F77">
              <w:rPr>
                <w:rFonts w:ascii="Calibri" w:hAnsi="Calibri"/>
              </w:rPr>
              <w:t>.</w:t>
            </w:r>
          </w:p>
          <w:p w14:paraId="4F69462B" w14:textId="656F9B9C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 xml:space="preserve">Para Rafael Oteiza, la continuidad profesional se vincula con liderazgo tecnológico y arquitectura sin desvincularse de la implementación. Sus oportunidades de mejora mantienen el foco de Fase 1: automatización, DevOps, </w:t>
            </w:r>
            <w:proofErr w:type="spellStart"/>
            <w:r>
              <w:rPr>
                <w:rFonts w:ascii="Calibri" w:hAnsi="Calibri"/>
              </w:rPr>
              <w:t>observabilidad</w:t>
            </w:r>
            <w:proofErr w:type="spellEnd"/>
            <w:r>
              <w:rPr>
                <w:rFonts w:ascii="Calibri" w:hAnsi="Calibri"/>
              </w:rPr>
              <w:t>, seguridad y rendimiento. Las conclusiones y reflexión individuales en inglés se incorporan como anexo; las declaraciones personales de los otros integrantes deben ser completadas y validadas por ellos.</w:t>
            </w:r>
          </w:p>
          <w:p w14:paraId="14B5C381" w14:textId="77777777" w:rsidR="00FC7908" w:rsidRDefault="00000000">
            <w:pPr>
              <w:spacing w:before="60" w:after="120" w:line="240" w:lineRule="auto"/>
            </w:pPr>
            <w:r>
              <w:rPr>
                <w:rFonts w:ascii="Calibri" w:hAnsi="Calibri"/>
              </w:rPr>
              <w:t>La proyección del producto es evolucionar hacia una implantación organizacional controlada, con aceptación física, política de respaldo, monitoreo, seguridad y soporte definidos. La predicción de fallas constituye una línea posterior condicionada por la cantidad y calidad de información real; no se promete capacidad predictiva validada con veinte casos sintéticos.</w:t>
            </w:r>
          </w:p>
        </w:tc>
      </w:tr>
    </w:tbl>
    <w:p w14:paraId="2854B5DF" w14:textId="77777777" w:rsidR="001202BF" w:rsidRDefault="001202BF" w:rsidP="001202BF">
      <w:pPr>
        <w:rPr>
          <w:b/>
        </w:rPr>
      </w:pPr>
    </w:p>
    <w:p w14:paraId="54D20613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83FED7B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78654B5" w14:textId="77777777" w:rsidR="001202BF" w:rsidRDefault="001202BF"/>
    <w:p w14:paraId="0F3F1A3E" w14:textId="05B1AEE7" w:rsidR="00FC7908" w:rsidRDefault="00FC7908">
      <w:pPr>
        <w:spacing w:before="60" w:after="120" w:line="240" w:lineRule="auto"/>
      </w:pPr>
    </w:p>
    <w:sectPr w:rsidR="00FC7908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0E02F" w14:textId="77777777" w:rsidR="00FC6BA4" w:rsidRDefault="00FC6BA4" w:rsidP="00EE1135">
      <w:pPr>
        <w:spacing w:after="0" w:line="240" w:lineRule="auto"/>
      </w:pPr>
      <w:r>
        <w:separator/>
      </w:r>
    </w:p>
  </w:endnote>
  <w:endnote w:type="continuationSeparator" w:id="0">
    <w:p w14:paraId="415F183B" w14:textId="77777777" w:rsidR="00FC6BA4" w:rsidRDefault="00FC6BA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309DE" w14:textId="77777777" w:rsidR="00FC6BA4" w:rsidRDefault="00FC6BA4" w:rsidP="00EE1135">
      <w:pPr>
        <w:spacing w:after="0" w:line="240" w:lineRule="auto"/>
      </w:pPr>
      <w:r>
        <w:separator/>
      </w:r>
    </w:p>
  </w:footnote>
  <w:footnote w:type="continuationSeparator" w:id="0">
    <w:p w14:paraId="5A1D8626" w14:textId="77777777" w:rsidR="00FC6BA4" w:rsidRDefault="00FC6BA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7202BF78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CF1DF65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613E4EF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44263FD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784146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077475">
    <w:abstractNumId w:val="0"/>
  </w:num>
  <w:num w:numId="2" w16cid:durableId="1124539359">
    <w:abstractNumId w:val="2"/>
  </w:num>
  <w:num w:numId="3" w16cid:durableId="1385906069">
    <w:abstractNumId w:val="5"/>
  </w:num>
  <w:num w:numId="4" w16cid:durableId="1202749404">
    <w:abstractNumId w:val="1"/>
  </w:num>
  <w:num w:numId="5" w16cid:durableId="926571833">
    <w:abstractNumId w:val="3"/>
  </w:num>
  <w:num w:numId="6" w16cid:durableId="223762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B738E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21F77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C6BA4"/>
    <w:rsid w:val="00FC7908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694F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2301</Words>
  <Characters>12657</Characters>
  <Application>Microsoft Office Word</Application>
  <DocSecurity>0</DocSecurity>
  <Lines>105</Lines>
  <Paragraphs>29</Paragraphs>
  <ScaleCrop>false</ScaleCrop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Rafael Oteiza</cp:lastModifiedBy>
  <cp:revision>10</cp:revision>
  <dcterms:created xsi:type="dcterms:W3CDTF">2022-08-24T18:22:00Z</dcterms:created>
  <dcterms:modified xsi:type="dcterms:W3CDTF">2026-10-13T17:49:00Z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