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editable_er_ordenes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A937" w14:textId="77777777" w:rsidR="007371EA" w:rsidRDefault="007371EA">
      <w:pPr>
        <w:spacing w:after="560"/>
      </w:pPr>
    </w:p>
    <w:p w14:paraId="44A0903A" w14:textId="77777777" w:rsidR="007371EA" w:rsidRDefault="004801A0">
      <w:pPr>
        <w:spacing w:after="600"/>
        <w:jc w:val="center"/>
      </w:pPr>
      <w:r>
        <w:rPr>
          <w:noProof/>
        </w:rPr>
        <w:drawing>
          <wp:inline distT="0" distB="0" distL="0" distR="0" wp14:anchorId="6138263D" wp14:editId="421FCD6C">
            <wp:extent cx="3337560" cy="925651"/>
            <wp:effectExtent l="0" t="0" r="0" b="0"/>
            <wp:docPr id="1" name="Picture 1" descr="Logotipo horizontal oficial de PMP Suite" title="Logotipo horizontal oficial de PMP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P_Suite_Logo_Horizontal_Color_10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D477" w14:textId="77777777" w:rsidR="007371EA" w:rsidRDefault="004801A0">
      <w:pPr>
        <w:spacing w:after="280"/>
        <w:jc w:val="center"/>
      </w:pPr>
      <w:r>
        <w:rPr>
          <w:rFonts w:eastAsia="Calibri"/>
          <w:b/>
          <w:color w:val="007E7A"/>
          <w:sz w:val="20"/>
        </w:rPr>
        <w:t>METODOLOGÍA TRADICIONAL · CASCADA</w:t>
      </w:r>
    </w:p>
    <w:p w14:paraId="7FE8B96F" w14:textId="77777777" w:rsidR="007371EA" w:rsidRDefault="004801A0">
      <w:pPr>
        <w:pStyle w:val="Ttulo"/>
        <w:spacing w:after="160"/>
        <w:jc w:val="center"/>
      </w:pPr>
      <w:r>
        <w:rPr>
          <w:rFonts w:ascii="Calibri" w:hAnsi="Calibri"/>
          <w:b/>
          <w:color w:val="000000"/>
          <w:sz w:val="50"/>
        </w:rPr>
        <w:t>Documento de Diseño</w:t>
      </w:r>
    </w:p>
    <w:p w14:paraId="1E1EE038" w14:textId="77777777" w:rsidR="007371EA" w:rsidRDefault="004801A0">
      <w:pPr>
        <w:spacing w:after="680"/>
        <w:jc w:val="center"/>
      </w:pPr>
      <w:r>
        <w:t>Arquitectura, datos, UML, seguridad y despliegue</w:t>
      </w:r>
    </w:p>
    <w:tbl>
      <w:tblPr>
        <w:tblStyle w:val="Tablaconcuadrcula"/>
        <w:tblW w:w="9360" w:type="dxa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7371EA" w14:paraId="6A48AAA5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98CA" w14:textId="77777777" w:rsidR="007371EA" w:rsidRDefault="004801A0">
            <w:pPr>
              <w:spacing w:after="0"/>
            </w:pPr>
            <w:r>
              <w:rPr>
                <w:b/>
                <w:color w:val="0D1B2A"/>
                <w:sz w:val="19"/>
              </w:rPr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4C0F" w14:textId="77777777" w:rsidR="007371EA" w:rsidRDefault="004801A0">
            <w:pPr>
              <w:spacing w:after="0"/>
            </w:pPr>
            <w:r>
              <w:rPr>
                <w:sz w:val="20"/>
              </w:rPr>
              <w:t>Documento de Diseño</w:t>
            </w:r>
          </w:p>
        </w:tc>
      </w:tr>
      <w:tr w:rsidR="007371EA" w14:paraId="46E41941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7BEC" w14:textId="77777777" w:rsidR="007371EA" w:rsidRDefault="004801A0">
            <w:pPr>
              <w:spacing w:after="0"/>
            </w:pPr>
            <w:r>
              <w:rPr>
                <w:b/>
                <w:color w:val="0D1B2A"/>
                <w:sz w:val="19"/>
              </w:rPr>
              <w:t>Versión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C97F" w14:textId="77777777" w:rsidR="007371EA" w:rsidRDefault="004801A0">
            <w:pPr>
              <w:spacing w:after="0"/>
            </w:pPr>
            <w:r>
              <w:rPr>
                <w:sz w:val="20"/>
              </w:rPr>
              <w:t>V2.0 · Metodología en cascada</w:t>
            </w:r>
          </w:p>
        </w:tc>
      </w:tr>
      <w:tr w:rsidR="007371EA" w14:paraId="27FC1631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369F" w14:textId="77777777" w:rsidR="007371EA" w:rsidRDefault="004801A0">
            <w:pPr>
              <w:spacing w:after="0"/>
            </w:pPr>
            <w:r>
              <w:rPr>
                <w:b/>
                <w:color w:val="0D1B2A"/>
                <w:sz w:val="19"/>
              </w:rPr>
              <w:t>Equipo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6681" w14:textId="77777777" w:rsidR="007371EA" w:rsidRDefault="004801A0">
            <w:pPr>
              <w:spacing w:after="0"/>
            </w:pPr>
            <w:r>
              <w:rPr>
                <w:sz w:val="20"/>
              </w:rPr>
              <w:t>Rafael Oteiza · Matías Garrido · Luis Arenas</w:t>
            </w:r>
          </w:p>
        </w:tc>
      </w:tr>
      <w:tr w:rsidR="007371EA" w14:paraId="06AA02E6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198A" w14:textId="77777777" w:rsidR="007371EA" w:rsidRDefault="004801A0">
            <w:pPr>
              <w:spacing w:after="0"/>
            </w:pPr>
            <w:r>
              <w:rPr>
                <w:b/>
                <w:color w:val="0D1B2A"/>
                <w:sz w:val="19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Revisión documental · V2.0</w:t>
              <w:br/>
              <w:t xml:space="preserve">Aceptación académica y operacional pendiente</w:t>
            </w:r>
          </w:p>
        </w:tc>
      </w:tr>
    </w:tbl>
    <w:p w14:paraId="433DDDFD" w14:textId="77777777" w:rsidR="007371EA" w:rsidRDefault="007371EA">
      <w:pPr>
        <w:spacing w:after="440"/>
      </w:pPr>
    </w:p>
    <w:p w14:paraId="377A01BC" w14:textId="77777777" w:rsidR="007371EA" w:rsidRDefault="004801A0">
      <w:pPr>
        <w:jc w:val="center"/>
      </w:pPr>
      <w:r>
        <w:rPr>
          <w:rFonts w:eastAsia="Calibri"/>
          <w:i/>
          <w:color w:val="5F6B76"/>
          <w:sz w:val="19"/>
        </w:rPr>
        <w:t>PMP Suite · Tecnología que mantiene tu operación en movimiento</w:t>
      </w:r>
    </w:p>
    <w:p>
      <w:pPr>
        <w:pStyle w:val="Ttulo2"/>
      </w:pPr>
      <w:r>
        <w:t>Propósito y decisiones principales</w:t>
      </w:r>
    </w:p>
    <w:p>
      <w:pPr>
        <w:widowControl/>
      </w:pPr>
      <w:r>
        <w:t>El diseño conecta requisitos, componentes y datos para conservar identidad y custodia durante el mantenimiento. Web y Mobile consumen una API común; Firebase autentica y PostgreSQL conserva usuario efectivo, operación e historia.</w:t>
      </w:r>
    </w:p>
    <w:p>
      <w:pPr>
        <w:widowControl/>
      </w:pPr>
      <w:r>
        <w:t>Las figuras de arquitectura, UML y flujo conservan el diseño V2.0. El modelo físico se contrasta con schema_actual.sql y el antecedente de extracción estructural del respaldo.</w:t>
      </w:r>
    </w:p>
    <w:p>
      <w:pPr>
        <w:widowControl/>
      </w:pPr>
      <w:r>
        <w:t>Contenido: arquitectura, componentes, autorización, casos de uso, clases conceptuales, persistencia, QA, instalación y secuencia principal.</w:t>
      </w:r>
    </w:p>
    <w:p>
      <w:pPr>
        <w:pStyle w:val="Ttulo1"/>
        <w:pageBreakBefore/>
        <w:spacing w:before="0"/>
      </w:pPr>
      <w:r>
        <w:t>1 Arquitectura y comunicación entre servicios</w:t>
      </w:r>
    </w:p>
    <w:p>
      <w:pPr>
        <w:widowControl/>
      </w:pPr>
      <w:r>
        <w:t>Los clientes envían solicitudes REST con token Firebase a Express. La API resuelve cuenta/rol y aplica reglas del dominio. Python se invoca bajo demanda como proceso; no hay un servidor FastAPI independiente.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64369" cy="3291840"/>
            <wp:docPr id="2" name="Picture 2" descr="Arquitectura lógica conservada del Diseño V2.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4369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1. Arquitectura lógica conservada del Diseño V2.0.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344"/>
      </w:tblGrid>
      <w:tr>
        <w:trPr>
          <w:cantSplit/>
          <w:tblHeader/>
        </w:trPr>
        <w:tc>
          <w:tcPr>
            <w:tcW w:type="dxa" w:w="201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Componente</w:t>
            </w:r>
          </w:p>
        </w:tc>
        <w:tc>
          <w:tcPr>
            <w:tcW w:type="dxa" w:w="734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Comunicación y responsabilidad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Web y Mobile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HTTPS en despliegue protegido; HTTP en el entorno local documentado. Firebase entrega identidad; la API decide permisos y movimientos.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API y PostgreSQL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Consultas y transacciones del dominio. Los clientes no escriben directamente sobre el esquema pmp.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API y Python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execFile ejecuta analyzer.py --json desde 06_ModelosIA/.venv. La API procesa JSON y controla errores.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Analítica Node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operationalInsights y maintenanceAnalysis consultan agregaciones históricas sin decidir movimientos.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El HTTPS representado es una condición del despliegue protegido. El arranque local HTTP no acredita TLS ni seguridad de producción.</w:t>
      </w:r>
    </w:p>
    <w:p>
      <w:pPr>
        <w:pStyle w:val="Ttulo1"/>
        <w:pageBreakBefore/>
        <w:spacing w:before="0"/>
      </w:pPr>
      <w:r>
        <w:t>2 Componentes y contratos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8454"/>
            <wp:docPr id="3" name="Picture 3" descr="Componentes principales. Fuente editable: 03_Componentes_Principales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2. Componentes principales. Fuente editable: 03_Componentes_Principales_V2.0.puml.</w:t>
      </w:r>
    </w:p>
    <w:p>
      <w:pPr>
        <w:widowControl/>
      </w:pPr>
      <w:r>
        <w:t>La API encadena ruta, validación Firebase, resolución de usuario PostgreSQL, autorización por acción/recurso, servicio y transacción. Los dominios de Bodega, Lab, QA y despacho separan validación de identidad de confirmación de movimiento.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056"/>
      </w:tblGrid>
      <w:tr>
        <w:trPr>
          <w:cantSplit/>
          <w:tblHeader/>
        </w:trPr>
        <w:tc>
          <w:tcPr>
            <w:tcW w:type="dxa" w:w="230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Ubicación</w:t>
            </w:r>
          </w:p>
        </w:tc>
        <w:tc>
          <w:tcPr>
            <w:tcW w:type="dxa" w:w="705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Responsabilidad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03_Backend/pmp-api</w:t>
            </w:r>
          </w:p>
        </w:tc>
        <w:tc>
          <w:tcPr>
            <w:tcW w:type="dxa" w:w="705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Rutas Express, middleware, autorización y servicios de dominio.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04_Frontend</w:t>
            </w:r>
          </w:p>
        </w:tc>
        <w:tc>
          <w:tcPr>
            <w:tcW w:type="dxa" w:w="705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Rutas, páginas, sesión, navegación y reportes Web.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07_Mobile</w:t>
            </w:r>
          </w:p>
        </w:tc>
        <w:tc>
          <w:tcPr>
            <w:tcW w:type="dxa" w:w="705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Pantallas, sesión, apariencia y servicios Expo/React Native.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shared</w:t>
            </w:r>
          </w:p>
        </w:tc>
        <w:tc>
          <w:tcPr>
            <w:tcW w:type="dxa" w:w="705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Contratos comunes de identidad y sesión; debe conservarse junto a los módulos.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06_ModelosIA</w:t>
            </w:r>
          </w:p>
        </w:tc>
        <w:tc>
          <w:tcPr>
            <w:tcW w:type="dxa" w:w="705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Analizador Python invocado por API; heurísticas históricas sin entrenamiento predictivo.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 xml:space="preserve">La API aplica controles de identidad, permisos y dominio. La revisión estática detectó respuestas que aún propagan mensajes internos y errores Firebase ignorados en administración de usuarios; requieren corrección técnica. La especificación de errores controlados continúa vigente y pendiente de cierre.</w:t>
      </w:r>
    </w:p>
    <w:p>
      <w:pPr>
        <w:pStyle w:val="Ttulo1"/>
        <w:pageBreakBefore/>
        <w:spacing w:before="0"/>
      </w:pPr>
      <w:r>
        <w:t>3 Secuencia de identidad y autorización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56463" cy="4846319"/>
            <wp:docPr id="4" name="Picture 4" descr="Autenticación y autorización. Fuente base: 04_01_Autenticacion_y_autorizacion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56463" cy="4846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3. Autenticación y autorización. Fuente base: 04_01_Autenticacion_y_autorizacion_V2.0.puml.</w:t>
      </w:r>
    </w:p>
    <w:p>
      <w:pPr>
        <w:widowControl/>
      </w:pPr>
      <w:r>
        <w:t>Verificar token Firebase y rechazarlo si está revocado. Resolver un vínculo único y activo en pmp.usuarios; aplicar permiso y alcance sobre el recurso. Admin no hereda operaciones físicas y Gerente mantiene lectura operacional.</w:t>
      </w:r>
    </w:p>
    <w:p>
      <w:pPr>
        <w:widowControl/>
      </w:pPr>
      <w:r>
        <w:t>El historial de Terreno y Jefe Lab se proyecta antes de JSON. La credencial Firebase Admin permanece del lado servidor; VITE_* y EXPO_PUBLIC_* son configuración visible al cliente. Las pruebas de permisos no sustituyen una auditoría integral de seguridad.</w:t>
      </w:r>
    </w:p>
    <w:p>
      <w:pPr>
        <w:widowControl/>
      </w:pPr>
      <w:r>
        <w:t xml:space="preserve">Brechas de implementación: users.routes.js puede crear identidad Firebase durante una edición; admin.users.routes.js rechaza ese alta implícita. El alta entre servicios carece de compensación completa y la activación puede ignorar un fallo Firebase. Son inconsistencias pendientes de código; esta revisión no modifica permisos ni afirma que existan cuentas desincronizadas.</w:t>
      </w:r>
    </w:p>
    <w:p>
      <w:pPr>
        <w:widowControl/>
      </w:pPr>
      <w:r>
        <w:t xml:space="preserve">El contrato técnico entrega intervenciones; el exportador Web de historial aún espera ordenes/eventos/referencias y falla para Jefatura. Debe adaptarse al contrato restringido, sin ampliar la respuesta. Mobile usa getAuth sin persistencia React Native explícita; AsyncStorage sí está declarado. La apariencia persistente es independiente de la sesión.</w:t>
      </w:r>
    </w:p>
    <w:p>
      <w:pPr>
        <w:pStyle w:val="Ttulo1"/>
        <w:pageBreakBefore/>
        <w:spacing w:before="0"/>
      </w:pPr>
      <w:r>
        <w:t>4 Diagrama de casos de uso</w:t>
      </w:r>
    </w:p>
    <w:p>
      <w:pPr>
        <w:widowControl/>
      </w:pPr>
      <w:r>
        <w:t>Los siete actores representan capacidades distintas. Autenticación y autorización son precondiciones transversales. El gráfico resume funciones; la matriz conserva el detalle por requisito y permiso.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4586909"/>
            <wp:docPr id="5" name="Picture 5" descr="Casos de uso UML del Diseño V2.0 suministr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6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4. Casos de uso UML del Diseño V2.0 suministrado.</w:t>
      </w:r>
    </w:p>
    <w:p>
      <w:pPr>
        <w:widowControl/>
      </w:pPr>
      <w:r>
        <w:t>RF-IA-004 permite Admin, Gerente, Jefe Lab y Logística. RF-DASH-009 mantiene indicadores Lab para Admin, Gerente y Jefe Lab; la extensión de reportes a Logística se limita a su ámbito. Bridge correlaciona referencias sin crear OS ni mover stock.</w:t>
      </w:r>
    </w:p>
    <w:p>
      <w:pPr>
        <w:pStyle w:val="Ttulo1"/>
        <w:pageBreakBefore/>
        <w:spacing w:before="0"/>
      </w:pPr>
      <w:r>
        <w:t>5 Clases conceptuales e invariantes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62834"/>
            <wp:docPr id="6" name="Picture 6" descr="Clases conceptuales. Fuente base: 07_UML_Clases_Conceptuales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5. Clases conceptuales. Fuente base: 07_UML_Clases_Conceptuales_V2.0.puml.</w:t>
      </w:r>
    </w:p>
    <w:p>
      <w:pPr>
        <w:widowControl/>
      </w:pPr>
      <w:r>
        <w:t>Activo representa tipo más serie, materializado en validadores o consolas; no existe una tabla física Activo. Caso reúne contexto y OS representa la intervención. Evento puede existir sin OS en una recepción inicial; evidencia identifica activo, estación, propósito y ciclo.</w:t>
      </w:r>
    </w:p>
    <w:p>
      <w:pPr>
        <w:widowControl/>
      </w:pPr>
      <w:r>
        <w:t>Las multiplicidades del modelo son conceptuales. El DDL permite codigo_os y tecnico_id nulos en registro_reparaciones; no se traducen las asociaciones a NOT NULL. Entregar repuestos descuenta stock; cerrar una reparación no lo hace. La correlación externa conserva identidad y no genera movimientos.</w:t>
      </w:r>
    </w:p>
    <w:p>
      <w:pPr>
        <w:pStyle w:val="Ttulo1"/>
        <w:pageBreakBefore/>
        <w:spacing w:before="0"/>
      </w:pPr>
      <w:r>
        <w:t>6 Modelo de datos físico comprobado</w:t>
      </w:r>
    </w:p>
    <w:p>
      <w:pPr>
        <w:widowControl/>
      </w:pPr>
      <w:r>
        <w:t xml:space="preserve">El contraste de solo lectura con schema_actual.sql confirma 26 tablas, 26 PK, 65 FK, 27 CHECK, 22 índices explícitos, 13 funciones y 18 triggers. La extracción estructural previa de PPMP_Suite_V2.0.sql se conserva como antecedente: el archivo es custom PGDMP pese a su extensión. Esta actualización no ejecutó extracción, conexión ni restauración.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08614"/>
            <wp:docPr id="7" name="Picture 7" descr="Vista física de órdenes, activos, casos, estados y ubicación, contrastada con DD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ordenes.png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6. Vista física de órdenes, activos, casos, estados y ubicación, contrastada con DDL.</w:t>
      </w:r>
    </w:p>
    <w:p>
      <w:pPr>
        <w:widowControl/>
      </w:pPr>
      <w:r>
        <w:t>ordenes_servicio exige estado, bus, terminal, PST y exactamente un validador o consola. Caso, ubicación y asignaciones pueden ser nulos. os_origen y stock_origen_os referencian otra OS; stock_origen_evento referencia flujo_eventos. El CHECK mantiene la exclusión entre los dos tipos de activo.</w:t>
      </w:r>
    </w:p>
    <w:p>
      <w:pPr>
        <w:widowControl/>
      </w:pPr>
      <w:hyperlink r:id="rId54">
        <w:r>
          <w:rPr>
            <w:color w:val="1565C0"/>
          </w:rPr>
          <w:t>Modelo actual de BD por dominios y restricciones</w:t>
        </w:r>
      </w:hyperlink>
    </w:p>
    <w:p>
      <w:pPr>
        <w:pStyle w:val="Ttulo1"/>
        <w:pageBreakBefore/>
        <w:spacing w:before="0"/>
      </w:pPr>
      <w:r>
        <w:t>7 Actividad de Laboratorio y rechazo QA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031344" cy="5166359"/>
            <wp:docPr id="8" name="Picture 8" descr="Continuidad de Lab y QA. Fuente base: 11_Ciclo_Laboratorio_SLA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31344" cy="5166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7. Continuidad de Lab y QA. Fuente base: 11_Ciclo_Laboratorio_SLA_V2.0.puml.</w:t>
      </w:r>
    </w:p>
    <w:p>
      <w:pPr>
        <w:widowControl/>
      </w:pPr>
      <w:r>
        <w:t>El despacho Bodega a Lab deja tránsito. Jefe Lab debe confirmar la recepción física antes de asignar o iniciar trabajo técnico; allí comienza el SLA. El dictamen QA no mueve custodia. Si se rechaza, QA confirma salida, Bodega recibe y realiza nuevo despacho. La nueva recepción Lab abre otro ciclo/SLA con evidencia nueva y conserva el motivo de rechazo.</w:t>
      </w:r>
    </w:p>
    <w:p>
      <w:pPr>
        <w:pStyle w:val="Ttulo1"/>
        <w:pageBreakBefore/>
        <w:spacing w:before="0"/>
      </w:pPr>
      <w:r>
        <w:t>8 Actividad de despacho e instalación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86937" cy="5029199"/>
            <wp:docPr id="9" name="Picture 9" descr="Despacho e instalación. Fuente base: 10_02_Despacho_e_instalacion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86937" cy="5029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8. Despacho e instalación. Fuente base: 10_02_Despacho_e_instalacion_V2.0.puml.</w:t>
      </w:r>
    </w:p>
    <w:p>
      <w:pPr>
        <w:widowControl/>
      </w:pPr>
      <w:r>
        <w:t>Solo la confirmación válida crea IN y SALIDA_BODEGA_TERRENO con consumo único del origen. UC-24 recibe operativo booleano: true genera INSTALACION_COMPLETADA y estado 13; false genera INSTALACION_FALLIDA y estado 11. Ambos salen de En ruta. Fallar exige retorno y recepción confirmada en Bodega; no habilita stock automáticamente.</w:t>
      </w:r>
    </w:p>
    <w:p>
      <w:pPr>
        <w:pStyle w:val="Ttulo1"/>
        <w:pageBreakBefore/>
        <w:spacing w:before="0"/>
      </w:pPr>
      <w:r>
        <w:t>9 Secuencia de la funcionalidad principal</w:t>
      </w:r>
    </w:p>
    <w:p>
      <w:pPr>
        <w:widowControl/>
      </w:pPr>
      <w:r>
        <w:t>La confirmación de despacho integra evidencia, stock, orden y evento. La secuencia expresa la unidad transaccional sin atribuir primitivas de bloqueo no comprobadas.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10405" cy="5212080"/>
            <wp:docPr id="10" name="Picture 10" descr="Secuencia UML de despacho con rechazo, rollback y reintento, conservada del Diseño V2.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10405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9. Secuencia UML de despacho con rechazo, rollback y reintento, conservada del Diseño V2.0.</w:t>
      </w:r>
    </w:p>
    <w:p>
      <w:pPr>
        <w:widowControl/>
      </w:pPr>
      <w:r>
        <w:t>Las comprobaciones de integración deben probar falla parcial, origen ya consumido y reintento concurrente. La API evita una IN o una salida duplicadas; un fallo de red exige consultar resultado antes de confirmar nuevamente.</w:t>
      </w:r>
    </w:p>
    <w:p>
      <w:pPr>
        <w:widowControl/>
      </w:pPr>
      <w:r>
        <w:t>Fuentes locales: SRS/matriz V2.0; 03_Backend/pmp-api; shared; 06_ModelosIA; DDL de 05_BaseDatos. Figuras base editables en Documentacion Capstone/Artefactos Metodologia Cascada/Diagramas_PlantUML. Las figuras UML suministradas sin fuente editable externa se conservan en el Word.</w:t>
      </w:r>
    </w:p>
    <w:sectPr w:rsidR="007371EA">
      <w:headerReference w:type="default" r:id="rId50"/>
      <w:footerReference w:type="default" r:id="rId5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25F9C" w14:textId="77777777" w:rsidR="00056009" w:rsidRDefault="00056009">
      <w:pPr>
        <w:spacing w:after="0" w:line="240" w:lineRule="auto"/>
      </w:pPr>
      <w:r>
        <w:separator/>
      </w:r>
    </w:p>
  </w:endnote>
  <w:endnote w:type="continuationSeparator" w:id="0">
    <w:p w14:paraId="655C0045" w14:textId="77777777" w:rsidR="00056009" w:rsidRDefault="00056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36829" w14:textId="77777777" w:rsidR="007371EA" w:rsidRDefault="004801A0">
    <w:pPr>
      <w:pStyle w:val="Piedepgina"/>
      <w:jc w:val="right"/>
    </w:pPr>
    <w:r>
      <w:rPr>
        <w:rFonts w:eastAsia="Calibri"/>
        <w:color w:val="5F6B76"/>
        <w:sz w:val="17"/>
      </w:rPr>
      <w:t xml:space="preserve">Duoc UC · Ingeniería en Informática    |    Página </w:t>
    </w:r>
    <w:r>
      <w:rPr>
        <w:rFonts w:eastAsia="Calibri"/>
        <w:color w:val="5F6B76"/>
        <w:sz w:val="17"/>
      </w:rPr>
      <w:fldChar w:fldCharType="begin"/>
    </w:r>
    <w:r>
      <w:rPr>
        <w:rFonts w:eastAsia="Calibri"/>
        <w:color w:val="5F6B76"/>
        <w:sz w:val="17"/>
      </w:rPr>
      <w:instrText xml:space="preserve"> PAGE </w:instrText>
    </w:r>
    <w:r>
      <w:rPr>
        <w:rFonts w:eastAsia="Calibri"/>
        <w:color w:val="5F6B76"/>
        <w:sz w:val="17"/>
      </w:rPr>
      <w:fldChar w:fldCharType="separate"/>
    </w:r>
    <w:r w:rsidR="00A5517D">
      <w:rPr>
        <w:rFonts w:eastAsia="Calibri"/>
        <w:noProof/>
        <w:color w:val="5F6B76"/>
        <w:sz w:val="17"/>
      </w:rPr>
      <w:t>1</w:t>
    </w:r>
    <w:r>
      <w:rPr>
        <w:rFonts w:eastAsia="Calibri"/>
        <w:color w:val="5F6B76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9AB7EE7" w14:textId="77777777" w:rsidR="00A635C9" w:rsidRDefault="00163BDE">
    <w:pPr>
      <w:pStyle w:val="Piedepgina"/>
      <w:jc w:val="right"/>
    </w:pPr>
    <w:r>
      <w:rPr>
        <w:rFonts w:eastAsia="Calibri"/>
        <w:color w:val="5F6B76"/>
        <w:sz w:val="17"/>
      </w:rPr>
      <w:t xml:space="preserve">Duoc UC · Ingeniería en Informática    |    Página </w:t>
    </w:r>
    <w:r>
      <w:rPr>
        <w:rFonts w:eastAsia="Calibri"/>
        <w:color w:val="5F6B76"/>
        <w:sz w:val="17"/>
      </w:rPr>
      <w:fldChar w:fldCharType="begin"/>
    </w:r>
    <w:r>
      <w:rPr>
        <w:rFonts w:eastAsia="Calibri"/>
        <w:color w:val="5F6B76"/>
        <w:sz w:val="17"/>
      </w:rPr>
      <w:instrText xml:space="preserve"> PAGE </w:instrText>
    </w:r>
    <w:r>
      <w:rPr>
        <w:rFonts w:eastAsia="Calibri"/>
        <w:color w:val="5F6B76"/>
        <w:sz w:val="17"/>
      </w:rPr>
      <w:fldChar w:fldCharType="separate"/>
    </w:r>
    <w:r w:rsidR="002C6F8B">
      <w:rPr>
        <w:rFonts w:eastAsia="Calibri"/>
        <w:noProof/>
        <w:color w:val="5F6B76"/>
        <w:sz w:val="17"/>
      </w:rPr>
      <w:t>1</w:t>
    </w:r>
    <w:r>
      <w:rPr>
        <w:rFonts w:eastAsia="Calibri"/>
        <w:color w:val="5F6B7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A0415" w14:textId="77777777" w:rsidR="00056009" w:rsidRDefault="00056009">
      <w:pPr>
        <w:spacing w:after="0" w:line="240" w:lineRule="auto"/>
      </w:pPr>
      <w:r>
        <w:separator/>
      </w:r>
    </w:p>
  </w:footnote>
  <w:footnote w:type="continuationSeparator" w:id="0">
    <w:p w14:paraId="4B0E7021" w14:textId="77777777" w:rsidR="00056009" w:rsidRDefault="00056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8B85D" w14:textId="77777777" w:rsidR="007371EA" w:rsidRDefault="004801A0">
    <w:pPr>
      <w:pStyle w:val="Encabezado"/>
    </w:pPr>
    <w:r>
      <w:rPr>
        <w:rFonts w:eastAsia="Calibri"/>
        <w:b/>
        <w:color w:val="5F6B76"/>
        <w:sz w:val="17"/>
      </w:rPr>
      <w:t>PMP SUITE  |  CAPSTONE</w:t>
    </w:r>
    <w:r>
      <w:rPr>
        <w:rFonts w:eastAsia="Calibri"/>
        <w:color w:val="5F6B76"/>
        <w:sz w:val="17"/>
      </w:rPr>
      <w:t xml:space="preserve">     Documento de Diseño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3308557D" w14:textId="77777777" w:rsidR="00A635C9" w:rsidRDefault="00163BDE">
    <w:pPr>
      <w:pStyle w:val="Encabezado"/>
    </w:pPr>
    <w:r>
      <w:rPr>
        <w:rFonts w:eastAsia="Calibri"/>
        <w:b/>
        <w:color w:val="5F6B76"/>
        <w:sz w:val="17"/>
      </w:rPr>
      <w:t>PMP SUITE  |  CAPSTONE</w:t>
    </w:r>
    <w:r>
      <w:rPr>
        <w:rFonts w:eastAsia="Calibri"/>
        <w:color w:val="5F6B76"/>
        <w:sz w:val="17"/>
      </w:rPr>
      <w:t xml:space="preserve">     Diseño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092640">
    <w:abstractNumId w:val="8"/>
  </w:num>
  <w:num w:numId="2" w16cid:durableId="1744792103">
    <w:abstractNumId w:val="6"/>
  </w:num>
  <w:num w:numId="3" w16cid:durableId="641157820">
    <w:abstractNumId w:val="5"/>
  </w:num>
  <w:num w:numId="4" w16cid:durableId="134222829">
    <w:abstractNumId w:val="4"/>
  </w:num>
  <w:num w:numId="5" w16cid:durableId="2082868268">
    <w:abstractNumId w:val="7"/>
  </w:num>
  <w:num w:numId="6" w16cid:durableId="1231844628">
    <w:abstractNumId w:val="3"/>
  </w:num>
  <w:num w:numId="7" w16cid:durableId="930965083">
    <w:abstractNumId w:val="2"/>
  </w:num>
  <w:num w:numId="8" w16cid:durableId="463277361">
    <w:abstractNumId w:val="1"/>
  </w:num>
  <w:num w:numId="9" w16cid:durableId="33400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009"/>
    <w:rsid w:val="0006063C"/>
    <w:rsid w:val="0015074B"/>
    <w:rsid w:val="0029639D"/>
    <w:rsid w:val="002B4508"/>
    <w:rsid w:val="00326F90"/>
    <w:rsid w:val="00332E77"/>
    <w:rsid w:val="004801A0"/>
    <w:rsid w:val="007371EA"/>
    <w:rsid w:val="00795FA6"/>
    <w:rsid w:val="00875D58"/>
    <w:rsid w:val="00A5517D"/>
    <w:rsid w:val="00AA1D8D"/>
    <w:rsid w:val="00B47730"/>
    <w:rsid w:val="00BC4B9F"/>
    <w:rsid w:val="00CB0664"/>
    <w:rsid w:val="00FA20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9F933B"/>
  <w14:defaultImageDpi w14:val="300"/>
  <w15:docId w15:val="{FFC3CEE0-F48D-4943-BEDA-7E1E0AEE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17212B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/>
      <w:b/>
      <w:bCs/>
      <w:color w:val="0D1B2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7E7A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MP">
    <w:name w:val="Code PMP"/>
    <w:basedOn w:val="Normal"/>
    <w:pPr>
      <w:spacing w:after="60"/>
    </w:pPr>
    <w:rPr>
      <w:rFonts w:ascii="Consolas" w:hAnsi="Consolas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A5517D"/>
    <w:pPr>
      <w:spacing w:after="0" w:line="252" w:lineRule="auto"/>
    </w:pPr>
    <w:rPr>
      <w:sz w:val="21"/>
    </w:rPr>
  </w:style>
  <w:style w:type="character" w:styleId="Hipervnculo">
    <w:name w:val="Hyperlink"/>
    <w:basedOn w:val="Fuentedeprrafopredeter"/>
    <w:uiPriority w:val="99"/>
    <w:unhideWhenUsed/>
    <w:rsid w:val="00A551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39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header" Target="header2.xml"/><Relationship Id="rId51" Type="http://schemas.openxmlformats.org/officeDocument/2006/relationships/footer" Target="footer2.xml"/><Relationship Id="rId52" Type="http://schemas.openxmlformats.org/officeDocument/2006/relationships/image" Target="media/image39.png"/><Relationship Id="rId53" Type="http://schemas.openxmlformats.org/officeDocument/2006/relationships/image" Target="media/editable_er_ordenes.svg"/><Relationship Id="rId54" Type="http://schemas.openxmlformats.org/officeDocument/2006/relationships/hyperlink" Target="07_Modelo_Base_Datos_PMP_Suite_V2.0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SharedDoc>false</SharedDoc>
  <HyperlinkBase/>
  <HyperlinksChanged>false</HyperlinksChanged>
  <AppVersion>16.0000</AppVersion>
  <Pages>10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Diseño</dc:title>
  <dc:subject>PMP Suite V2.0 · Metodología en cascada</dc:subject>
  <dc:creator>Rafael Oteiza · Matías Garrido · Luis Arenas</dc:creator>
  <cp:keywords>PMP Suite, Capstone, Cascada, Duoc UC</cp:keywords>
  <dc:description/>
  <cp:lastModifiedBy>Equipo PMP Suite</cp:lastModifiedBy>
  <cp:revision>6</cp:revision>
  <dcterms:modified xsi:type="dcterms:W3CDTF">2026-10-19T15:16:45Z</dcterms:modified>
  <cp:category/>
  <cp:version>2.0</cp:version>
</cp:coreProperties>
</file>