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3773" w14:textId="77777777" w:rsidR="00721FEF" w:rsidRDefault="00721FEF">
      <w:pPr>
        <w:spacing w:after="560"/>
      </w:pPr>
    </w:p>
    <w:p w14:paraId="47A50108" w14:textId="77777777" w:rsidR="00721FEF" w:rsidRDefault="00A91853">
      <w:pPr>
        <w:spacing w:after="600"/>
        <w:jc w:val="center"/>
      </w:pPr>
      <w:r>
        <w:rPr>
          <w:noProof/>
        </w:rPr>
        <w:drawing>
          <wp:inline distT="0" distB="0" distL="0" distR="0" wp14:anchorId="5DE44689" wp14:editId="1972ECE8">
            <wp:extent cx="3337560" cy="925651"/>
            <wp:effectExtent l="0" t="0" r="0" b="0"/>
            <wp:docPr id="1" name="Picture 1" descr="Logotipo horizontal oficial de PMP Suite" title="Logotipo horizontal oficial de PMP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P_Suite_Logo_Horizontal_Color_1024.png"/>
                    <pic:cNvPicPr/>
                  </pic:nvPicPr>
                  <pic:blipFill>
                    <a:blip r:embed="rId8"/>
                    <a:stretch>
                      <a:fillRect/>
                    </a:stretch>
                  </pic:blipFill>
                  <pic:spPr>
                    <a:xfrm>
                      <a:off x="0" y="0"/>
                      <a:ext cx="3337560" cy="925651"/>
                    </a:xfrm>
                    <a:prstGeom prst="rect">
                      <a:avLst/>
                    </a:prstGeom>
                  </pic:spPr>
                </pic:pic>
              </a:graphicData>
            </a:graphic>
          </wp:inline>
        </w:drawing>
      </w:r>
    </w:p>
    <w:p w14:paraId="202569F9" w14:textId="77777777" w:rsidR="00721FEF" w:rsidRDefault="00A91853">
      <w:pPr>
        <w:spacing w:after="280"/>
        <w:jc w:val="center"/>
      </w:pPr>
      <w:r>
        <w:rPr>
          <w:rFonts w:eastAsia="Calibri"/>
          <w:b/>
          <w:color w:val="007E7A"/>
          <w:sz w:val="20"/>
        </w:rPr>
        <w:t>METODOLOGÍA TRADICIONAL · CASCADA</w:t>
      </w:r>
    </w:p>
    <w:p w14:paraId="565F35AB" w14:textId="77777777" w:rsidR="00721FEF" w:rsidRDefault="00A91853">
      <w:pPr>
        <w:pStyle w:val="Ttulo"/>
        <w:spacing w:after="160"/>
        <w:jc w:val="center"/>
      </w:pPr>
      <w:r>
        <w:rPr>
          <w:rFonts w:ascii="Calibri" w:hAnsi="Calibri"/>
          <w:b/>
          <w:color w:val="000000"/>
          <w:sz w:val="50"/>
        </w:rPr>
        <w:t>Plan de Pruebas y Evidencias</w:t>
      </w:r>
    </w:p>
    <w:p w14:paraId="1D9AD483" w14:textId="77777777" w:rsidR="00721FEF" w:rsidRDefault="00A91853">
      <w:pPr>
        <w:spacing w:after="680"/>
        <w:jc w:val="center"/>
      </w:pPr>
      <w:r>
        <w:t>Casos, criterios, resultados y control de evidencia</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2700"/>
        <w:gridCol w:w="6660"/>
      </w:tblGrid>
      <w:tr w:rsidR="00721FEF" w14:paraId="51ABE78C" w14:textId="77777777">
        <w:tc>
          <w:tcPr>
            <w:tcW w:w="2700" w:type="dxa"/>
            <w:shd w:val="clear" w:color="auto" w:fill="EAF2FB"/>
            <w:tcMar>
              <w:top w:w="80" w:type="dxa"/>
              <w:left w:w="120" w:type="dxa"/>
              <w:bottom w:w="80" w:type="dxa"/>
              <w:right w:w="120" w:type="dxa"/>
            </w:tcMar>
            <w:vAlign w:val="center"/>
          </w:tcPr>
          <w:p w14:paraId="57D774F0" w14:textId="77777777" w:rsidR="00721FEF" w:rsidRDefault="00A91853">
            <w:pPr>
              <w:spacing w:after="0"/>
            </w:pPr>
            <w:r>
              <w:rPr>
                <w:b/>
                <w:color w:val="0D1B2A"/>
                <w:sz w:val="19"/>
              </w:rPr>
              <w:t>Documento</w:t>
            </w:r>
          </w:p>
        </w:tc>
        <w:tc>
          <w:tcPr>
            <w:tcW w:w="6660" w:type="dxa"/>
            <w:tcMar>
              <w:top w:w="80" w:type="dxa"/>
              <w:left w:w="120" w:type="dxa"/>
              <w:bottom w:w="80" w:type="dxa"/>
              <w:right w:w="120" w:type="dxa"/>
            </w:tcMar>
            <w:vAlign w:val="center"/>
          </w:tcPr>
          <w:p w14:paraId="7FAE02BC" w14:textId="77777777" w:rsidR="00721FEF" w:rsidRDefault="00A91853">
            <w:pPr>
              <w:spacing w:after="0"/>
            </w:pPr>
            <w:r>
              <w:rPr>
                <w:sz w:val="20"/>
              </w:rPr>
              <w:t>Plan de Pruebas y Evidencias</w:t>
            </w:r>
          </w:p>
        </w:tc>
      </w:tr>
      <w:tr w:rsidR="00721FEF" w14:paraId="528F88D4" w14:textId="77777777">
        <w:tc>
          <w:tcPr>
            <w:tcW w:w="2700" w:type="dxa"/>
            <w:shd w:val="clear" w:color="auto" w:fill="EAF2FB"/>
            <w:tcMar>
              <w:top w:w="80" w:type="dxa"/>
              <w:left w:w="120" w:type="dxa"/>
              <w:bottom w:w="80" w:type="dxa"/>
              <w:right w:w="120" w:type="dxa"/>
            </w:tcMar>
            <w:vAlign w:val="center"/>
          </w:tcPr>
          <w:p w14:paraId="4ADECC70" w14:textId="77777777" w:rsidR="00721FEF" w:rsidRDefault="00A91853">
            <w:pPr>
              <w:spacing w:after="0"/>
            </w:pPr>
            <w:r>
              <w:rPr>
                <w:b/>
                <w:color w:val="0D1B2A"/>
                <w:sz w:val="19"/>
              </w:rPr>
              <w:t>Versión</w:t>
            </w:r>
          </w:p>
        </w:tc>
        <w:tc>
          <w:tcPr>
            <w:tcW w:w="6660" w:type="dxa"/>
            <w:tcMar>
              <w:top w:w="80" w:type="dxa"/>
              <w:left w:w="120" w:type="dxa"/>
              <w:bottom w:w="80" w:type="dxa"/>
              <w:right w:w="120" w:type="dxa"/>
            </w:tcMar>
            <w:vAlign w:val="center"/>
          </w:tcPr>
          <w:p w14:paraId="6055B1B6" w14:textId="77777777" w:rsidR="00721FEF" w:rsidRDefault="00A91853">
            <w:pPr>
              <w:spacing w:after="0"/>
            </w:pPr>
            <w:r>
              <w:rPr>
                <w:sz w:val="20"/>
              </w:rPr>
              <w:t>V2.0 · Metodología en cascada</w:t>
            </w:r>
          </w:p>
        </w:tc>
      </w:tr>
      <w:tr w:rsidR="00721FEF" w14:paraId="75CBF5C7" w14:textId="77777777">
        <w:tc>
          <w:tcPr>
            <w:tcW w:w="2700" w:type="dxa"/>
            <w:shd w:val="clear" w:color="auto" w:fill="EAF2FB"/>
            <w:tcMar>
              <w:top w:w="80" w:type="dxa"/>
              <w:left w:w="120" w:type="dxa"/>
              <w:bottom w:w="80" w:type="dxa"/>
              <w:right w:w="120" w:type="dxa"/>
            </w:tcMar>
            <w:vAlign w:val="center"/>
          </w:tcPr>
          <w:p w14:paraId="6F1BCAFB" w14:textId="77777777" w:rsidR="00721FEF" w:rsidRDefault="00A91853">
            <w:pPr>
              <w:spacing w:after="0"/>
            </w:pPr>
            <w:r>
              <w:rPr>
                <w:b/>
                <w:color w:val="0D1B2A"/>
                <w:sz w:val="19"/>
              </w:rPr>
              <w:t>Equipo</w:t>
            </w:r>
          </w:p>
        </w:tc>
        <w:tc>
          <w:tcPr>
            <w:tcW w:w="6660" w:type="dxa"/>
            <w:tcMar>
              <w:top w:w="80" w:type="dxa"/>
              <w:left w:w="120" w:type="dxa"/>
              <w:bottom w:w="80" w:type="dxa"/>
              <w:right w:w="120" w:type="dxa"/>
            </w:tcMar>
            <w:vAlign w:val="center"/>
          </w:tcPr>
          <w:p w14:paraId="1846F905" w14:textId="77777777" w:rsidR="00721FEF" w:rsidRDefault="00A91853">
            <w:pPr>
              <w:spacing w:after="0"/>
            </w:pPr>
            <w:r>
              <w:rPr>
                <w:sz w:val="20"/>
              </w:rPr>
              <w:t>Rafael Oteiza · Matías Garrido · Luis Arenas</w:t>
            </w:r>
          </w:p>
        </w:tc>
      </w:tr>
      <w:tr w:rsidR="00721FEF" w14:paraId="3C22814E" w14:textId="77777777">
        <w:tc>
          <w:tcPr>
            <w:tcW w:w="2700" w:type="dxa"/>
            <w:shd w:val="clear" w:color="auto" w:fill="EAF2FB"/>
            <w:tcMar>
              <w:top w:w="80" w:type="dxa"/>
              <w:left w:w="120" w:type="dxa"/>
              <w:bottom w:w="80" w:type="dxa"/>
              <w:right w:w="120" w:type="dxa"/>
            </w:tcMar>
            <w:vAlign w:val="center"/>
          </w:tcPr>
          <w:p w14:paraId="2CA0BFA4" w14:textId="77777777" w:rsidR="00721FEF" w:rsidRDefault="00A91853">
            <w:pPr>
              <w:spacing w:after="0"/>
            </w:pPr>
            <w:r>
              <w:rPr>
                <w:b/>
                <w:color w:val="0D1B2A"/>
                <w:sz w:val="19"/>
              </w:rPr>
              <w:t>Estado</w:t>
            </w:r>
          </w:p>
        </w:tc>
        <w:tc>
          <w:tcPr>
            <w:tcW w:w="6660" w:type="dxa"/>
            <w:tcMar>
              <w:top w:w="80" w:type="dxa"/>
              <w:left w:w="120" w:type="dxa"/>
              <w:bottom w:w="80" w:type="dxa"/>
              <w:right w:w="120" w:type="dxa"/>
            </w:tcMar>
            <w:vAlign w:val="center"/>
          </w:tcPr>
          <w:p>
            <w:r>
              <w:t xml:space="preserve">Revisión documental · V2.0</w:t>
              <w:br/>
              <w:t xml:space="preserve">Aceptación académica y operacional pendiente</w:t>
            </w:r>
          </w:p>
        </w:tc>
      </w:tr>
    </w:tbl>
    <w:p w14:paraId="12C76322" w14:textId="77777777" w:rsidR="00721FEF" w:rsidRDefault="00721FEF">
      <w:pPr>
        <w:spacing w:after="440"/>
      </w:pPr>
    </w:p>
    <w:p w14:paraId="0632C202" w14:textId="77777777" w:rsidR="00721FEF" w:rsidRDefault="00A91853">
      <w:pPr>
        <w:jc w:val="center"/>
      </w:pPr>
      <w:r>
        <w:rPr>
          <w:rFonts w:eastAsia="Calibri"/>
          <w:i/>
          <w:color w:val="5F6B76"/>
          <w:sz w:val="19"/>
        </w:rPr>
        <w:t>PMP Suite · Tecnología que mantiene tu operación en movimiento</w:t>
      </w:r>
    </w:p>
    <w:p>
      <w:pPr>
        <w:pStyle w:val="Ttulo2"/>
      </w:pPr>
      <w:r>
        <w:t>Propósito y alcance de la evidencia</w:t>
      </w:r>
    </w:p>
    <w:p>
      <w:pPr>
        <w:widowControl/>
      </w:pPr>
      <w:r>
        <w:t>El plan define cómo comprobar identidad, permisos, custodia, integridad y uso real del MVP. Separa pruebas automatizadas, simulación integrada y aceptación en dispositivos. Los resultados se conservan con fecha, origen y límites; este trabajo documental no reejecuta las suites ni confirma movimientos.</w:t>
      </w:r>
    </w:p>
    <w:p>
      <w:pPr>
        <w:widowControl/>
      </w:pPr>
      <w:r>
        <w:t>Los casos de las páginas siguientes permanecen pendientes salvo la regresión aislada identificada expresamente. Su ejecución requiere recursos autorizados. La copia sigue conectada a servicios compartidos y no constituye un entorno de pruebas independiente.</w:t>
      </w:r>
    </w:p>
    <w:p>
      <w:pPr>
        <w:widowControl/>
      </w:pPr>
      <w:r>
        <w:t>Contenido: resultados reportados; seguridad e ingreso; Lab, QA y despacho; reportes y dispositivos; rendimiento y recuperación; evidencia visual y cierre.</w:t>
      </w:r>
    </w:p>
    <w:p>
      <w:pPr>
        <w:pStyle w:val="Ttulo1"/>
        <w:pageBreakBefore/>
        <w:spacing w:before="0"/>
      </w:pPr>
      <w:r>
        <w:t>1 Resultados reportados y reproducción</w:t>
      </w:r>
    </w:p>
    <w:p>
      <w:pPr>
        <w:widowControl/>
      </w:pPr>
      <w:r>
        <w:t xml:space="preserve">Corte consolidado: resultados reportados del 18 de octubre de 2026 para la copia V2.0, paquetes 1.0.0, contrastados documentalmente con los scripts vigentes. No se ejecutaron suites durante esta actualización ni la auditoría precedente. Los soportes de consola originales no se adjuntan; los totales son antecedentes reportados, no nueva evidencia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88"/>
        <w:gridCol w:w="4968"/>
      </w:tblGrid>
      <w:tr>
        <w:trPr>
          <w:cantSplit/>
          <w:tblHeader/>
        </w:trPr>
        <w:tc>
          <w:tcPr>
            <w:tcW w:type="dxa" w:w="2304"/>
            <w:vAlign w:val="center"/>
            <w:shd w:fill="17365D"/>
            <w:tcMar>
              <w:top w:w="70" w:type="dxa"/>
              <w:left w:w="70" w:type="dxa"/>
              <w:bottom w:w="70" w:type="dxa"/>
              <w:right w:w="70" w:type="dxa"/>
            </w:tcMar>
          </w:tcPr>
          <w:p>
            <w:pPr>
              <w:spacing w:after="60" w:before="40" w:line="240" w:lineRule="auto"/>
            </w:pPr>
            <w:r>
              <w:rPr>
                <w:rFonts w:ascii="Calibri" w:hAnsi="Calibri"/>
                <w:b/>
                <w:color w:val="FFFFFF"/>
                <w:sz w:val="20"/>
              </w:rPr>
              <w:t>Comprobación</w:t>
            </w:r>
          </w:p>
        </w:tc>
        <w:tc>
          <w:tcPr>
            <w:tcW w:type="dxa" w:w="2088"/>
            <w:vAlign w:val="center"/>
            <w:shd w:fill="17365D"/>
            <w:tcMar>
              <w:top w:w="70" w:type="dxa"/>
              <w:left w:w="70" w:type="dxa"/>
              <w:bottom w:w="70" w:type="dxa"/>
              <w:right w:w="70" w:type="dxa"/>
            </w:tcMar>
          </w:tcPr>
          <w:p>
            <w:pPr>
              <w:spacing w:after="60" w:before="40" w:line="240" w:lineRule="auto"/>
            </w:pPr>
            <w:r>
              <w:rPr>
                <w:rFonts w:ascii="Calibri" w:hAnsi="Calibri"/>
                <w:b/>
                <w:color w:val="FFFFFF"/>
                <w:sz w:val="20"/>
              </w:rPr>
              <w:t>Resultado reportado</w:t>
            </w:r>
          </w:p>
        </w:tc>
        <w:tc>
          <w:tcPr>
            <w:tcW w:type="dxa" w:w="4968"/>
            <w:vAlign w:val="center"/>
            <w:shd w:fill="17365D"/>
            <w:tcMar>
              <w:top w:w="70" w:type="dxa"/>
              <w:left w:w="70" w:type="dxa"/>
              <w:bottom w:w="70" w:type="dxa"/>
              <w:right w:w="70" w:type="dxa"/>
            </w:tcMar>
          </w:tcPr>
          <w:p>
            <w:pPr>
              <w:spacing w:after="60" w:before="40" w:line="240" w:lineRule="auto"/>
            </w:pPr>
            <w:r>
              <w:rPr>
                <w:rFonts w:ascii="Calibri" w:hAnsi="Calibri"/>
                <w:b/>
                <w:color w:val="FFFFFF"/>
                <w:sz w:val="20"/>
              </w:rPr>
              <w:t>Límite</w:t>
            </w:r>
          </w:p>
        </w:tc>
      </w:tr>
      <w:tr>
        <w:trPr>
          <w:cantSplit/>
        </w:trPr>
        <w:tc>
          <w:tcPr>
            <w:tcW w:type="dxa" w:w="2304"/>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Backend</w:t>
            </w:r>
          </w:p>
        </w:tc>
        <w:tc>
          <w:tcPr>
            <w:tcW w:type="dxa" w:w="208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125/125 aprobadas</w:t>
              <w:br/>
              <w:t xml:space="preserve">0 fallidas · 0 omitidas</w:t>
            </w:r>
          </w:p>
        </w:tc>
        <w:tc>
          <w:tcPr>
            <w:tcW w:type="dxa" w:w="49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15 archivos declarados; PostgreSQL y Firebase aislados con mocks.</w:t>
            </w:r>
          </w:p>
        </w:tc>
      </w:tr>
      <w:tr>
        <w:trPr>
          <w:cantSplit/>
        </w:trPr>
        <w:tc>
          <w:tcPr>
            <w:tcW w:type="dxa" w:w="2304"/>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Web</w:t>
            </w:r>
          </w:p>
        </w:tc>
        <w:tc>
          <w:tcPr>
            <w:tcW w:type="dxa" w:w="208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285/285 aprobadas</w:t>
              <w:br/>
              <w:t xml:space="preserve">0 fallidas · 0 omitidas</w:t>
            </w:r>
          </w:p>
        </w:tc>
        <w:tc>
          <w:tcPr>
            <w:tcW w:type="dxa" w:w="49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16 archivos declarados; incluye casos compartidos con Mobile.</w:t>
            </w:r>
          </w:p>
        </w:tc>
      </w:tr>
      <w:tr>
        <w:trPr>
          <w:cantSplit/>
        </w:trPr>
        <w:tc>
          <w:tcPr>
            <w:tcW w:type="dxa" w:w="2304"/>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Mobile</w:t>
            </w:r>
          </w:p>
        </w:tc>
        <w:tc>
          <w:tcPr>
            <w:tcW w:type="dxa" w:w="208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210/210 aprobadas</w:t>
              <w:br/>
              <w:t xml:space="preserve">0 fallidas · 0 omitidas</w:t>
            </w:r>
          </w:p>
        </w:tc>
        <w:tc>
          <w:tcPr>
            <w:tcW w:type="dxa" w:w="49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3 archivos declarados; renderizados/mocks, sin hardware real.</w:t>
            </w:r>
          </w:p>
        </w:tc>
      </w:tr>
      <w:tr>
        <w:trPr>
          <w:cantSplit/>
        </w:trPr>
        <w:tc>
          <w:tcPr>
            <w:tcW w:type="dxa" w:w="2304"/>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Build Web</w:t>
            </w:r>
          </w:p>
        </w:tc>
        <w:tc>
          <w:tcPr>
            <w:tcW w:type="dxa" w:w="208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Correcto</w:t>
            </w:r>
          </w:p>
        </w:tc>
        <w:tc>
          <w:tcPr>
            <w:tcW w:type="dxa" w:w="49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TypeScript y Vite con configuración ficticia.</w:t>
            </w:r>
          </w:p>
        </w:tc>
      </w:tr>
      <w:tr>
        <w:trPr>
          <w:cantSplit/>
        </w:trPr>
        <w:tc>
          <w:tcPr>
            <w:tcW w:type="dxa" w:w="2304"/>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Export Expo Android/iOS</w:t>
            </w:r>
          </w:p>
        </w:tc>
        <w:tc>
          <w:tcPr>
            <w:tcW w:type="dxa" w:w="208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Ambas plataformas</w:t>
            </w:r>
          </w:p>
        </w:tc>
        <w:tc>
          <w:tcPr>
            <w:tcW w:type="dxa" w:w="49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 xml:space="preserve">Exportación offline, API ficticia y sin cargar configuración privada. Bundles Hermes; no compilación ni instalación nativa.</w:t>
            </w:r>
          </w:p>
        </w:tc>
      </w:tr>
      <w:tr>
        <w:trPr>
          <w:cantSplit/>
        </w:trPr>
        <w:tc>
          <w:tcPr>
            <w:tcW w:type="dxa" w:w="2304"/>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Python pip check</w:t>
              <w:br/>
              <w:t xml:space="preserve">Antecedente 14-10-2026</w:t>
            </w:r>
          </w:p>
        </w:tc>
        <w:tc>
          <w:tcPr>
            <w:tcW w:type="dxa" w:w="208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Correcto, según registro anterior</w:t>
            </w:r>
          </w:p>
        </w:tc>
        <w:tc>
          <w:tcPr>
            <w:tcW w:type="dxa" w:w="49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No se repitió en el corte del 18-10 ni en esta actualización; no ejecuta analítica sobre BD.</w:t>
            </w:r>
          </w:p>
        </w:tc>
      </w:tr>
    </w:tbl>
    <w:p>
      <w:pPr>
        <w:widowControl/>
        <w:spacing w:after="0"/>
      </w:pPr>
    </w:p>
    <w:p>
      <w:pPr>
        <w:widowControl/>
      </w:pPr>
      <w:r>
        <w:t xml:space="preserve">No sumar suites como cobertura única. Mobile incluye 136 + 39 + 35 = 210 casos en operational-regression, settings y ui. El registro anterior de 172 entradas contenía 171 aprobadas y una entrada de archivo fallida por usersReport: al registrarse los 39 casos pendientes y desaparecer esa entrada fallida, el total es 210. No faltan archivos del comando vigente. Los mocks de usersReport y useAuth ya reflejan sus interfaces reales; no se volvieron a corregir en este trabajo.</w:t>
      </w:r>
    </w:p>
    <w:p>
      <w:pPr>
        <w:widowControl/>
      </w:pPr>
      <w:r>
        <w:t xml:space="preserve">Los comandos actuales incluyen 15 archivos Backend, 16 Web y 3 Mobile. Las 285 pruebas Web sustituyen el total reportado de 284 del corte anterior; no prueban por sí solas cada combinación de rol, ruta y dispositivo. No se ejecutaron en este corte documental escenarios browser, verification, carga o hardware.</w:t>
      </w:r>
    </w:p>
    <w:p>
      <w:pPr>
        <w:pStyle w:val="Ttulo2"/>
      </w:pPr>
      <w:r>
        <w:t>Reproducción de automatización aislada</w:t>
      </w:r>
    </w:p>
    <w:p>
      <w:pPr>
        <w:widowControl/>
        <w:spacing w:after="120" w:line="240" w:lineRule="auto"/>
      </w:pPr>
      <w:r>
        <w:rPr>
          <w:rFonts w:ascii="Consolas" w:hAnsi="Consolas"/>
          <w:sz w:val="17"/>
        </w:rPr>
        <w:t xml:space="preserve"># Terminal PowerShell dedicada desde la raíz</w:t>
        <w:br/>
        <w:t xml:space="preserve">$env:DATABASE_URL='postgresql://isolated:isolated@127.0.0.1:1/isolated'</w:t>
        <w:br/>
        <w:t xml:space="preserve">$env:FIREBASE_AUTH_EMULATOR_HOST='127.0.0.1:1'</w:t>
        <w:br/>
        <w:t xml:space="preserve">npm.cmd --prefix 03_Backend/pmp-api test</w:t>
        <w:br/>
        <w:t xml:space="preserve">npm.cmd --prefix 04_Frontend test</w:t>
        <w:br/>
        <w:t xml:space="preserve">npm.cmd --prefix 07_Mobile test</w:t>
      </w:r>
    </w:p>
    <w:p>
      <w:pPr>
        <w:widowControl/>
      </w:pPr>
      <w:r>
        <w:t>Usar dependencias de lockfiles, incluidos Web y Mobile. Cerrar la terminal al finalizar. Estos destinos ficticios refuerzan el aislamiento de las suites con mocks; no ejecutar verification/*.mjs o ciclos browser sin revisar sus efectos y destino.</w:t>
      </w:r>
    </w:p>
    <w:p>
      <w:pPr>
        <w:widowControl/>
      </w:pPr>
      <w:hyperlink r:id="rId16">
        <w:r>
          <w:rPr>
            <w:color w:val="1565C0"/>
          </w:rPr>
          <w:t>Condiciones de cierre y pendientes · Cierre e Innovación</w:t>
        </w:r>
      </w:hyperlink>
    </w:p>
    <w:p>
      <w:pPr>
        <w:pStyle w:val="Ttulo1"/>
        <w:pageBreakBefore/>
        <w:spacing w:before="0"/>
      </w:pPr>
      <w:r>
        <w:t>2 Seguridad e ingreso</w:t>
      </w:r>
    </w:p>
    <w:p>
      <w:pPr>
        <w:widowControl/>
      </w:pPr>
      <w:r>
        <w:t>Estado de los casos de esta página: pendiente. Responsable: Por asignar. Soporte mínimo: caso, requisito, fecha, versión, entorno aislado, rol, fixture, esperado/observado y una respuesta o captura depurada localizable.</w:t>
      </w:r>
    </w:p>
    <w:p>
      <w:pPr>
        <w:pStyle w:val="Ttulo2"/>
      </w:pPr>
      <w:r>
        <w:t>CP SEC 01 Identidad y denegación</w:t>
      </w:r>
    </w:p>
    <w:p>
      <w:pPr>
        <w:widowControl/>
      </w:pPr>
      <w:r>
        <w:t>Requisitos: RNF-SEC-001, 002 y 005. Precondición: API aislada; usuarios activo/inactivo y tokens válido, ausente y revocado.</w:t>
      </w:r>
    </w:p>
    <w:p>
      <w:pPr>
        <w:widowControl/>
      </w:pPr>
      <w:r>
        <w:t>Procedimiento: Consultar recurso protegido con cada token. Repetir con cuenta inactiva. Intentar mutación como Gerente y Admin sin permiso específico.</w:t>
      </w:r>
    </w:p>
    <w:p>
      <w:pPr>
        <w:widowControl/>
      </w:pPr>
      <w:r>
        <w:t>Esperado: Rechazo de sesión inválida; 403 para acción no concedida. Admin no tiene permiso operacional universal.</w:t>
      </w:r>
    </w:p>
    <w:p>
      <w:pPr>
        <w:pStyle w:val="Ttulo2"/>
      </w:pPr>
      <w:r>
        <w:t>CP SEC 02 Alcance y exposición</w:t>
      </w:r>
    </w:p>
    <w:p>
      <w:pPr>
        <w:widowControl/>
      </w:pPr>
      <w:r>
        <w:t>Requisitos: RN-14; RF-TRZ-005; RNF-SEC-003 y 007. Precondición: OS propias y ajenas, historia administrativa ficticia.</w:t>
      </w:r>
    </w:p>
    <w:p>
      <w:pPr>
        <w:widowControl/>
      </w:pPr>
      <w:r>
        <w:t>Procedimiento: Pedir OS ajena y manipular rol en payload. Consultar historia como Terreno/Jefe Lab y enviar foto sin permiso.</w:t>
      </w:r>
    </w:p>
    <w:p>
      <w:pPr>
        <w:widowControl/>
      </w:pPr>
      <w:r>
        <w:t>Esperado: Denegar recurso ajeno; excluir datos restringidos antes de JSON; no procesar foto sin autorización ni revelar secretos en logs.</w:t>
      </w:r>
    </w:p>
    <w:p>
      <w:pPr>
        <w:pStyle w:val="Ttulo2"/>
      </w:pPr>
      <w:r>
        <w:t>CP INT 01 Alta y recepción inicial</w:t>
      </w:r>
    </w:p>
    <w:p>
      <w:pPr>
        <w:widowControl/>
      </w:pPr>
      <w:r>
        <w:t>Requisitos: RF-ACT-008 a 015; RN-06 a 08. Precondición: Activo registrado sin OS/circuito y evidencia nueva. Rol Logística.</w:t>
      </w:r>
    </w:p>
    <w:p>
      <w:pPr>
        <w:widowControl/>
      </w:pPr>
      <w:r>
        <w:t>Procedimiento: Consultar disponibilidad; validar sin confirmar; intentar serie distinta; confirmar recepción válida.</w:t>
      </w:r>
    </w:p>
    <w:p>
      <w:pPr>
        <w:widowControl/>
      </w:pPr>
      <w:r>
        <w:t>Esperado: Alta/lectura no crean disponibilidad; recepción genera evento y habilitación sin OS ficticia. Identidad errónea no mueve datos.</w:t>
      </w:r>
    </w:p>
    <w:p>
      <w:pPr>
        <w:widowControl/>
      </w:pPr>
      <w:r>
        <w:t>Los casos negativos de seguridad prueban controles funcionales. No acreditan pentest, revisión exhaustiva de dependencias ni auditoría de producción.</w:t>
      </w:r>
    </w:p>
    <w:p>
      <w:pPr>
        <w:pStyle w:val="Ttulo1"/>
        <w:pageBreakBefore/>
        <w:spacing w:before="0"/>
      </w:pPr>
      <w:r>
        <w:t>3 Integración del ciclo técnico</w:t>
      </w:r>
    </w:p>
    <w:p>
      <w:pPr>
        <w:widowControl/>
      </w:pPr>
      <w:r>
        <w:t>Preparar PostgreSQL descartable y Firebase simulado para integración; registrar fixture e integridad inicial/final. Los cuatro casos siguen pendientes de ejecución integrada actual y soporte. Responsable: Por asignar.</w:t>
      </w:r>
    </w:p>
    <w:p>
      <w:pPr>
        <w:pStyle w:val="Ttulo2"/>
      </w:pPr>
      <w:r>
        <w:t>CP INT 02 Recepción Lab</w:t>
      </w:r>
    </w:p>
    <w:p>
      <w:pPr>
        <w:widowControl/>
      </w:pPr>
      <w:r>
        <w:t>Requisitos: RF-LAB-004; RF-LTW-001 y 002. Precondición: OS en tránsito a Lab; Jefe Lab y dos técnicos.</w:t>
      </w:r>
    </w:p>
    <w:p>
      <w:pPr>
        <w:widowControl/>
      </w:pPr>
      <w:r>
        <w:t>Procedimiento: Intentar asignar/iniciar antes de recibir; confirmar recepción; asignar; probar técnico propio y ajeno.</w:t>
      </w:r>
    </w:p>
    <w:p>
      <w:pPr>
        <w:widowControl/>
      </w:pPr>
      <w:r>
        <w:t>Esperado: SLA desde recepción; sin trabajo durante tránsito; solo técnico autorizado.</w:t>
      </w:r>
    </w:p>
    <w:p>
      <w:pPr>
        <w:pStyle w:val="Ttulo2"/>
      </w:pPr>
      <w:r>
        <w:t>CP INT 03 Rechazo QA</w:t>
      </w:r>
    </w:p>
    <w:p>
      <w:pPr>
        <w:widowControl/>
      </w:pPr>
      <w:r>
        <w:t>Requisitos: RF-QA-010 a 017; RF-LTW-021; RN-19. Precondición: OS recibida en QA con pruebas del ciclo.</w:t>
      </w:r>
    </w:p>
    <w:p>
      <w:pPr>
        <w:widowControl/>
      </w:pPr>
      <w:r>
        <w:t>Procedimiento: Rechazar con motivo; comprobar custodia; confirmar salida QA y recepción Bodega; nuevo despacho y recepción Lab; reutilizar evidencia vieja.</w:t>
      </w:r>
    </w:p>
    <w:p>
      <w:pPr>
        <w:widowControl/>
      </w:pPr>
      <w:r>
        <w:t>Esperado: Dictamen no mueve equipo; retorno continuo por Bodega; nuevo ciclo/SLA en recepción Lab; evidencia anterior rechazada.</w:t>
      </w:r>
    </w:p>
    <w:p>
      <w:pPr>
        <w:pStyle w:val="Ttulo2"/>
      </w:pPr>
      <w:r>
        <w:t>CP INT 04 Repuestos y concurrencia</w:t>
      </w:r>
    </w:p>
    <w:p>
      <w:pPr>
        <w:widowControl/>
      </w:pPr>
      <w:r>
        <w:t>Requisitos: RF-LTW-005 y 017 a 020; RF-REP-003 a 008. Precondición: OS PoD recibida, saldo conocido y dos sesiones con igual revisión.</w:t>
      </w:r>
    </w:p>
    <w:p>
      <w:pPr>
        <w:widowControl/>
      </w:pPr>
      <w:r>
        <w:t>Procedimiento: Solicitar repuesto; confirmar entrega y reintentar; guardar avances concurrentes.</w:t>
      </w:r>
    </w:p>
    <w:p>
      <w:pPr>
        <w:widowControl/>
      </w:pPr>
      <w:r>
        <w:t>Esperado: Descuento único en entrega logística; cierre bloqueado si pendiente; conflicto ante revisión obsoleta.</w:t>
      </w:r>
    </w:p>
    <w:p>
      <w:pPr>
        <w:pStyle w:val="Ttulo2"/>
      </w:pPr>
      <w:r>
        <w:t>CP INT 05 Despacho e instalación</w:t>
      </w:r>
    </w:p>
    <w:p>
      <w:pPr>
        <w:widowControl/>
      </w:pPr>
      <w:r>
        <w:t>Requisitos: RF-INV-009 a 012; RF-TER-011 y 012. Precondición: Stock elegible, evidencia vigente y Terreno asignado.</w:t>
      </w:r>
    </w:p>
    <w:p>
      <w:pPr>
        <w:widowControl/>
      </w:pPr>
      <w:r>
        <w:t>Procedimiento: Validar sin confirmar; despachar y reintentar; completar con éxito. Repetir fixture limpio con fallo y recepción de retorno.</w:t>
      </w:r>
    </w:p>
    <w:p>
      <w:pPr>
        <w:widowControl/>
      </w:pPr>
      <w:r>
        <w:t>Esperado: Una IN y consumo atómico; éxito operativo; fallo fuera de En ruta y pendiente de recepción Bodega, sin stock automático.</w:t>
      </w:r>
    </w:p>
    <w:p>
      <w:pPr>
        <w:pStyle w:val="Ttulo1"/>
        <w:pageBreakBefore/>
        <w:spacing w:before="0"/>
      </w:pPr>
      <w:r>
        <w:t>4 Consultas y validación por dispositivos</w:t>
      </w:r>
    </w:p>
    <w:p>
      <w:pPr>
        <w:pStyle w:val="Ttulo2"/>
      </w:pPr>
      <w:r>
        <w:t>CP FUN 01 Reportes y analítica</w:t>
      </w:r>
    </w:p>
    <w:p>
      <w:pPr>
        <w:widowControl/>
      </w:pPr>
      <w:r>
        <w:t>Requisitos: RF-DASH-009; RF-IA-004. Precondición: Datos ficticios paginados, series con ceros e historia suficiente/insuficiente.</w:t>
      </w:r>
    </w:p>
    <w:p>
      <w:pPr>
        <w:widowControl/>
      </w:pPr>
      <w:r>
        <w:t xml:space="preserve">Filtrar/exportar con todas las páginas, interrumpir una página y acceder con roles denegados. Consultar IA y exportar el historial como Jefe Lab usando una respuesta técnica con intervenciones, sin campos administrativos.</w:t>
      </w:r>
    </w:p>
    <w:p>
      <w:pPr>
        <w:widowControl/>
      </w:pPr>
      <w:r>
        <w:t xml:space="preserve">Exportación completa y series como texto; abortar parcial; ai.read solo Admin, Gerente, Jefe Lab y Logística. El exportador de historial de Jefatura presenta una incompatibilidad de contrato pendiente; el resultado esperado aún debe verificarse tras su corrección.</w:t>
      </w:r>
    </w:p>
    <w:p>
      <w:pPr>
        <w:pStyle w:val="Ttulo2"/>
      </w:pPr>
      <w:r>
        <w:t>CP DIS 01 Recorrido real Web y Mobile</w:t>
      </w:r>
    </w:p>
    <w:p>
      <w:pPr>
        <w:widowControl/>
      </w:pPr>
      <w:r>
        <w:t>Prerrequisito: entorno de BD/Firebase separado comprobado, cuentas/datos autorizados y dispositivos identificados. Recorrer los siete roles: Admin, Gerente, Logística, Jefe Lab, Técnico Lab, QA y Técnico Terreno. Registrar navegador/resolución o modelo/SO/versión de app.</w:t>
      </w:r>
    </w:p>
    <w:p>
      <w:pPr>
        <w:widowControl/>
      </w:pPr>
      <w:r>
        <w:t>Pasos: login y logout, acceso permitido/denegado, foco/teclado, QR correcto/erróneo, cámara y denegación/cancelación de permisos, PoD, desconexión y retorno, recepción/salida, rechazo QA e instalación exitosa/fallida. Esperado: identidad correcta, errores recuperables, acciones visibles y ausencia de doble confirmación. Estado: pendiente; no sustituible por mocks o exportaciones.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7365D"/>
            <w:tcMar>
              <w:top w:w="70" w:type="dxa"/>
              <w:left w:w="70" w:type="dxa"/>
              <w:bottom w:w="70" w:type="dxa"/>
              <w:right w:w="70" w:type="dxa"/>
            </w:tcMar>
          </w:tcPr>
          <w:p>
            <w:pPr>
              <w:spacing w:after="60" w:before="40" w:line="240" w:lineRule="auto"/>
            </w:pPr>
            <w:r>
              <w:rPr>
                <w:rFonts w:ascii="Calibri" w:hAnsi="Calibri"/>
                <w:b/>
                <w:color w:val="FFFFFF"/>
                <w:sz w:val="20"/>
              </w:rPr>
              <w:t>Caso complementario</w:t>
            </w:r>
          </w:p>
        </w:tc>
        <w:tc>
          <w:tcPr>
            <w:tcW w:type="dxa" w:w="6768"/>
            <w:vAlign w:val="center"/>
            <w:shd w:fill="17365D"/>
            <w:tcMar>
              <w:top w:w="70" w:type="dxa"/>
              <w:left w:w="70" w:type="dxa"/>
              <w:bottom w:w="70" w:type="dxa"/>
              <w:right w:w="70" w:type="dxa"/>
            </w:tcMar>
          </w:tcPr>
          <w:p>
            <w:pPr>
              <w:spacing w:after="60" w:before="40" w:line="240" w:lineRule="auto"/>
            </w:pPr>
            <w:r>
              <w:rPr>
                <w:rFonts w:ascii="Calibri" w:hAnsi="Calibri"/>
                <w:b/>
                <w:color w:val="FFFFFF"/>
                <w:sz w:val="20"/>
              </w:rPr>
              <w:t>Comprobación pendiente</w:t>
            </w:r>
          </w:p>
        </w:tc>
      </w:tr>
      <w:tr>
        <w:trPr>
          <w:cantSplit/>
        </w:trPr>
        <w:tc>
          <w:tcPr>
            <w:tcW w:type="dxa" w:w="2592"/>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CP DOM 01 Identidad</w:t>
            </w:r>
          </w:p>
        </w:tc>
        <w:tc>
          <w:tcPr>
            <w:tcW w:type="dxa" w:w="67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Familias 72, 74/75, consola y prefijo/AMID inválidos.</w:t>
            </w:r>
          </w:p>
        </w:tc>
      </w:tr>
      <w:tr>
        <w:trPr>
          <w:cantSplit/>
        </w:trPr>
        <w:tc>
          <w:tcPr>
            <w:tcW w:type="dxa" w:w="2592"/>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CP DOM 02 Usuarios</w:t>
            </w:r>
          </w:p>
        </w:tc>
        <w:tc>
          <w:tcPr>
            <w:tcW w:type="dxa" w:w="67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Rol no oficial, autodesactivación y último Admin; fallos parciales Firebase/PostgreSQL, edición sin alta implícita y política de contraseña uniforme.</w:t>
            </w:r>
          </w:p>
        </w:tc>
      </w:tr>
      <w:tr>
        <w:trPr>
          <w:cantSplit/>
        </w:trPr>
        <w:tc>
          <w:tcPr>
            <w:tcW w:type="dxa" w:w="2592"/>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CP DOM 03 Casos</w:t>
            </w:r>
          </w:p>
        </w:tc>
        <w:tc>
          <w:tcPr>
            <w:tcW w:type="dxa" w:w="67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Contexto incompatible, referencia duplicada y rollback.</w:t>
            </w:r>
          </w:p>
        </w:tc>
      </w:tr>
      <w:tr>
        <w:trPr>
          <w:cantSplit/>
        </w:trPr>
        <w:tc>
          <w:tcPr>
            <w:tcW w:type="dxa" w:w="2592"/>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CP DOM 04 Trabajo Lab</w:t>
            </w:r>
          </w:p>
        </w:tc>
        <w:tc>
          <w:tcPr>
            <w:tcW w:type="dxa" w:w="67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Cierre con prueba fallida o repuesto pendiente bloqueado.</w:t>
            </w:r>
          </w:p>
        </w:tc>
      </w:tr>
      <w:tr>
        <w:trPr>
          <w:cantSplit/>
        </w:trPr>
        <w:tc>
          <w:tcPr>
            <w:tcW w:type="dxa" w:w="2592"/>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CP DOM 05 Evidencia</w:t>
            </w:r>
          </w:p>
        </w:tc>
        <w:tc>
          <w:tcPr>
            <w:tcW w:type="dxa" w:w="67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Estación/propósito/ciclo ajenos y reintento duplicado.</w:t>
            </w:r>
          </w:p>
        </w:tc>
      </w:tr>
      <w:tr>
        <w:trPr>
          <w:cantSplit/>
        </w:trPr>
        <w:tc>
          <w:tcPr>
            <w:tcW w:type="dxa" w:w="2592"/>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CP DOM 06 Bridge</w:t>
            </w:r>
          </w:p>
        </w:tc>
        <w:tc>
          <w:tcPr>
            <w:tcW w:type="dxa" w:w="67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Correlación inmutable sin efectos en OS o stock.</w:t>
            </w:r>
          </w:p>
        </w:tc>
      </w:tr>
      <w:tr>
        <w:trPr>
          <w:cantSplit/>
        </w:trPr>
        <w:tc>
          <w:tcPr>
            <w:tcW w:type="dxa" w:w="2592"/>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CP DOM 07 KPI</w:t>
            </w:r>
          </w:p>
        </w:tc>
        <w:tc>
          <w:tcPr>
            <w:tcW w:type="dxa" w:w="6768"/>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0"/>
              </w:rPr>
              <w:t>Parque único, custodia/tránsito y error distinto de cero.</w:t>
            </w:r>
          </w:p>
        </w:tc>
      </w:tr>
      <w:tr>
        <w:trPr>
          <w:cantSplit/>
        </w:trPr>
        <w:tc>
          <w:tcPr>
            <w:tcW w:type="dxa" w:w="2592"/>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CP DOM 08 Interfaz</w:t>
            </w:r>
          </w:p>
        </w:tc>
        <w:tc>
          <w:tcPr>
            <w:tcW w:type="dxa" w:w="6768"/>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0"/>
              </w:rPr>
              <w:t xml:space="preserve">Temas, loading/vacío/error, foco, rutas y teclado; persistencia Firebase, Safe Area superior y texto de retorno pendiente de recepción.</w:t>
            </w:r>
          </w:p>
        </w:tc>
      </w:tr>
    </w:tbl>
    <w:p>
      <w:pPr>
        <w:widowControl/>
        <w:spacing w:after="0"/>
      </w:pPr>
    </w:p>
    <w:p>
      <w:pPr>
        <w:widowControl/>
      </w:pPr>
      <w:r>
        <w:t>CP FUN 01 y CP DOM 01–08: observados no registrados en este corte; responsables Por asignar. Trazar el escenario a la matriz y al ejecutor antes de aprobarlo.</w:t>
      </w:r>
    </w:p>
    <w:p>
      <w:pPr>
        <w:pStyle w:val="Ttulo1"/>
        <w:pageBreakBefore/>
        <w:spacing w:before="0"/>
      </w:pPr>
      <w:r>
        <w:t>5 Rendimiento disponibilidad y recuperación</w:t>
      </w:r>
    </w:p>
    <w:p>
      <w:pPr>
        <w:pStyle w:val="Ttulo2"/>
      </w:pPr>
      <w:r>
        <w:t>CP PER 01 Medición aislada</w:t>
      </w:r>
    </w:p>
    <w:p>
      <w:pPr>
        <w:widowControl/>
      </w:pPr>
      <w:r>
        <w:t>RNF-PER-001 a 004. Registrar hardware, versiones, índices y datos sintéticos: 10 000 activos y 100 000 eventos. Preparar lecturas de listado, serie y detalle. Calentar dos minutos y medir quince minutos a 20 y 40 usuarios; repetir tres veces. Analítica y exportación requieren volumen aparte. Revisar el ejecutor antes de usarlo: su existencia no garantiza que ya implemente este escenario.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416"/>
      </w:tblGrid>
      <w:tr>
        <w:trPr>
          <w:cantSplit/>
          <w:tblHeader/>
        </w:trPr>
        <w:tc>
          <w:tcPr>
            <w:tcW w:type="dxa" w:w="1944"/>
            <w:vAlign w:val="center"/>
            <w:shd w:fill="17365D"/>
            <w:tcMar>
              <w:top w:w="70" w:type="dxa"/>
              <w:left w:w="70" w:type="dxa"/>
              <w:bottom w:w="70" w:type="dxa"/>
              <w:right w:w="70" w:type="dxa"/>
            </w:tcMar>
          </w:tcPr>
          <w:p>
            <w:pPr>
              <w:spacing w:after="60" w:before="40" w:line="240" w:lineRule="auto"/>
            </w:pPr>
            <w:r>
              <w:rPr>
                <w:rFonts w:ascii="Calibri" w:hAnsi="Calibri"/>
                <w:b/>
                <w:color w:val="FFFFFF"/>
                <w:sz w:val="21"/>
              </w:rPr>
              <w:t>Medición propuesta</w:t>
            </w:r>
          </w:p>
        </w:tc>
        <w:tc>
          <w:tcPr>
            <w:tcW w:type="dxa" w:w="7416"/>
            <w:vAlign w:val="center"/>
            <w:shd w:fill="17365D"/>
            <w:tcMar>
              <w:top w:w="70" w:type="dxa"/>
              <w:left w:w="70" w:type="dxa"/>
              <w:bottom w:w="70" w:type="dxa"/>
              <w:right w:w="70" w:type="dxa"/>
            </w:tcMar>
          </w:tcPr>
          <w:p>
            <w:pPr>
              <w:spacing w:after="60" w:before="40" w:line="240" w:lineRule="auto"/>
            </w:pPr>
            <w:r>
              <w:rPr>
                <w:rFonts w:ascii="Calibri" w:hAnsi="Calibri"/>
                <w:b/>
                <w:color w:val="FFFFFF"/>
                <w:sz w:val="21"/>
              </w:rPr>
              <w:t>Umbral por acordar</w:t>
            </w:r>
          </w:p>
        </w:tc>
      </w:tr>
      <w:tr>
        <w:trPr>
          <w:cantSplit/>
        </w:trPr>
        <w:tc>
          <w:tcPr>
            <w:tcW w:type="dxa" w:w="1944"/>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1"/>
              </w:rPr>
              <w:t>Rendimiento</w:t>
            </w:r>
          </w:p>
        </w:tc>
        <w:tc>
          <w:tcPr>
            <w:tcW w:type="dxa" w:w="7416"/>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1"/>
              </w:rPr>
              <w:t>p95 ≤ 2 s a 20 usuarios; ≤ 3 s a 40. Errores inesperados &lt; 1 %; cero duplicaciones/inconsistencias.</w:t>
            </w:r>
          </w:p>
        </w:tc>
      </w:tr>
      <w:tr>
        <w:trPr>
          <w:cantSplit/>
        </w:trPr>
        <w:tc>
          <w:tcPr>
            <w:tcW w:type="dxa" w:w="1944"/>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1"/>
              </w:rPr>
              <w:t>Disponibilidad</w:t>
            </w:r>
          </w:p>
        </w:tc>
        <w:tc>
          <w:tcPr>
            <w:tcW w:type="dxa" w:w="7416"/>
            <w:vAlign w:val="center"/>
            <w:shd w:fill="FFFFFF"/>
            <w:tcMar>
              <w:top w:w="70" w:type="dxa"/>
              <w:left w:w="70" w:type="dxa"/>
              <w:bottom w:w="70" w:type="dxa"/>
              <w:right w:w="70" w:type="dxa"/>
            </w:tcMar>
          </w:tcPr>
          <w:p>
            <w:pPr>
              <w:spacing w:after="60" w:before="40" w:line="240" w:lineRule="auto"/>
            </w:pPr>
            <w:r>
              <w:rPr>
                <w:rFonts w:ascii="Calibri" w:hAnsi="Calibri"/>
                <w:b w:val="0"/>
                <w:color w:val="17212B"/>
                <w:sz w:val="21"/>
              </w:rPr>
              <w:t>≥ 99 % en siete días; sondeo cada minuto a health y lectura autenticada. Registrar observaciones perdidas y mantenimiento.</w:t>
            </w:r>
          </w:p>
        </w:tc>
      </w:tr>
      <w:tr>
        <w:trPr>
          <w:cantSplit/>
        </w:trPr>
        <w:tc>
          <w:tcPr>
            <w:tcW w:type="dxa" w:w="1944"/>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1"/>
              </w:rPr>
              <w:t>Recuperación</w:t>
            </w:r>
          </w:p>
        </w:tc>
        <w:tc>
          <w:tcPr>
            <w:tcW w:type="dxa" w:w="7416"/>
            <w:vAlign w:val="center"/>
            <w:shd w:fill="F2F6FA"/>
            <w:tcMar>
              <w:top w:w="70" w:type="dxa"/>
              <w:left w:w="70" w:type="dxa"/>
              <w:bottom w:w="70" w:type="dxa"/>
              <w:right w:w="70" w:type="dxa"/>
            </w:tcMar>
          </w:tcPr>
          <w:p>
            <w:pPr>
              <w:spacing w:after="60" w:before="40" w:line="240" w:lineRule="auto"/>
            </w:pPr>
            <w:r>
              <w:rPr>
                <w:rFonts w:ascii="Calibri" w:hAnsi="Calibri"/>
                <w:b w:val="0"/>
                <w:color w:val="17212B"/>
                <w:sz w:val="21"/>
              </w:rPr>
              <w:t>≤ 60 minutos en destino separado. RPO vinculado al intervalo de respaldo aún no acordado.</w:t>
            </w:r>
          </w:p>
        </w:tc>
      </w:tr>
    </w:tbl>
    <w:p>
      <w:pPr>
        <w:widowControl/>
        <w:spacing w:after="0"/>
      </w:pPr>
    </w:p>
    <w:p>
      <w:pPr>
        <w:widowControl/>
      </w:pPr>
      <w:r>
        <w:t>Son metas propuestas, sin aprobación ni medición. Conservar p50/p95/máximo, errores, solicitudes/s, CPU, memoria, conexiones y planes de consulta. El SRS y este plan usan el mismo escenario. Ni build ni mocks acreditan rendimiento, escalabilidad o disponibilidad.</w:t>
      </w:r>
    </w:p>
    <w:p>
      <w:pPr>
        <w:pStyle w:val="Ttulo2"/>
      </w:pPr>
      <w:r>
        <w:t>CP REC 01 Recuperación</w:t>
      </w:r>
    </w:p>
    <w:p>
      <w:pPr>
        <w:widowControl/>
      </w:pPr>
      <w:r>
        <w:t>Restaurar un respaldo autorizado solo en una base nueva aislada; verificar tablas, restricciones, catálogos, conteos acordados, permisos y acceso. Medir duración y pérdida respecto del punto de respaldo. No sustituir producción ni redirigir clientes. Esperado: recuperación íntegra; observado: no ejecutado; estado: pendiente; responsable: Por asignar.</w:t>
      </w:r>
    </w:p>
    <w:p>
      <w:pPr>
        <w:pStyle w:val="Ttulo2"/>
      </w:pPr>
      <w:r>
        <w:t>Registro y criterios de salida</w:t>
      </w:r>
    </w:p>
    <w:p>
      <w:pPr>
        <w:widowControl/>
      </w:pPr>
      <w:r>
        <w:t>Cada ejecución identifica caso/requisito, responsable, fecha con zona, versión, entorno, rol, dispositivo, fixture, pasos, esperado, observado, estado y soporte localizable. Un bloqueo de infraestructura no es una aprobación. Resolver defectos críticos, repetir regresión afectada y revisar evidencia en equipo antes de solicitar aceptación.</w:t>
      </w:r>
    </w:p>
    <w:p>
      <w:pPr>
        <w:widowControl/>
      </w:pPr>
      <w:r>
        <w:t xml:space="preserve">Quedan pendientes simulación integrada actual, siete roles/dispositivos, rendimiento, instalación independiente, recuperación y aceptación académica. Los ejecutores browser/verification y pruebas físicas no integran los totales automatizados anteriores. No se ejecutan ciclos ni cargas en servicios compartidos para completar fichas.</w:t>
      </w:r>
    </w:p>
    <w:p>
      <w:pPr>
        <w:pStyle w:val="Ttulo2"/>
        <w:keepNext/>
      </w:pPr>
      <w:r>
        <w:t xml:space="preserve">Brechas verificadas por lectura de código y pendientes de corrección</w:t>
      </w:r>
    </w:p>
    <w:p>
      <w:pPr>
        <w:widowControl/>
        <w:keepNext/>
      </w:pPr>
      <w:r>
        <w:t xml:space="preserve">Reportes y Mobile: adaptar la exportación del historial técnico de Jefatura a intervenciones; integrar persistencia Firebase; verificar el borde superior de Safe Area y corregir el mensaje que presenta como recibido un equipo aún en retorno. Esperado y observado deben registrarse tras una corrección técnica separada.</w:t>
      </w:r>
    </w:p>
    <w:p>
      <w:pPr>
        <w:widowControl/>
        <w:keepNext/>
      </w:pPr>
      <w:r>
        <w:t xml:space="preserve">Cuentas y seguridad: unificar edición sin creación implícita, tratar fallos parciales Firebase/PostgreSQL y usar una validación de contraseña coherente. Depurar objetos Axios y mensajes internos en logs/respuestas; revisar privilegios de conexión. Son riesgos estáticos, no incidentes ni cambios de cuentas acreditados.</w:t>
      </w:r>
    </w:p>
    <w:p>
      <w:pPr>
        <w:widowControl/>
      </w:pPr>
      <w:r>
        <w:t xml:space="preserve">Otros límites: revisar consultas sin límites uniformes y planificar actualización de xlsx 0.18.5; la exportación observada no demuestra exposición al escenario de lectura de archivos maliciosos. Antes de compartir la guía y el ZIP de 10_Pruebas deben sanearse las contraseñas en claro. Ese material no fue modificado y no constituye evidencia aprobada.</w:t>
      </w:r>
    </w:p>
    <w:p>
      <w:pPr>
        <w:pStyle w:val="Ttulo1"/>
        <w:pageBreakBefore/>
        <w:spacing w:before="0"/>
      </w:pPr>
      <w:r>
        <w:t>6 Evidencia visual y estado de la corrección</w:t>
      </w:r>
    </w:p>
    <w:p>
      <w:pPr>
        <w:widowControl/>
      </w:pPr>
      <w:r>
        <w:t xml:space="preserve">EV UI 01 conserva la captura histórica de la OS MV-000210, serie 7490004, sesión Logística. Documenta la discrepancia previa de navegación y no acredita recepción física. Contiene nombres y referencias operacionales: su difusión externa exige revisión y depuración autorizada.</w:t>
      </w:r>
    </w:p>
    <w:p>
      <w:pPr>
        <w:keepNext/>
        <w:spacing w:after="60"/>
        <w:jc w:val="center"/>
      </w:pPr>
      <w:r>
        <w:drawing>
          <wp:inline xmlns:a="http://schemas.openxmlformats.org/drawingml/2006/main" xmlns:pic="http://schemas.openxmlformats.org/drawingml/2006/picture">
            <wp:extent cx="5943600" cy="2657475"/>
            <wp:docPr id="2" name="Picture 2" descr="Captura anterior a la corrección aportada por el usuario; evidencia de observación, no de recepción física."/>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657475"/>
                    </a:xfrm>
                    <a:prstGeom prst="rect"/>
                  </pic:spPr>
                </pic:pic>
              </a:graphicData>
            </a:graphic>
          </wp:inline>
        </w:drawing>
      </w:r>
    </w:p>
    <w:p>
      <w:pPr>
        <w:pStyle w:val="Descripcin"/>
        <w:widowControl/>
      </w:pPr>
      <w:r>
        <w:t>Figura 1. Captura anterior a la corrección aportada por el usuario; evidencia de observación, no de recepción física.</w:t>
      </w:r>
    </w:p>
    <w:p>
      <w:pPr>
        <w:pStyle w:val="Ttulo2"/>
      </w:pPr>
      <w:r>
        <w:t>CP UI 01 Contexto de recepción</w:t>
      </w:r>
    </w:p>
    <w:p>
      <w:pPr>
        <w:widowControl/>
      </w:pPr>
      <w:r>
        <w:t>La corrección previa al corte documental reutilizó el contexto existente en TopBar.tsx y WarehouseOperationPage.tsx. La navegación refleja Terreno, Laboratorio o QA; mientras carga o falta origen, muestra Recepción en Bodega. Los títulos correctos del banner y formulario se conservaron.</w:t>
      </w:r>
    </w:p>
    <w:p>
      <w:pPr>
        <w:widowControl/>
      </w:pPr>
      <w:r>
        <w:t>Regresión aislada reportada: 145/145 aprobadas en navigation-kpi.frontend.test.mjs y requirements.frontend.test.mjs; TypeScript/build Web correctos. Fixtures cubrieron tres orígenes, QA aprobado/rechazado, carga, ausencia, error y cambio de ruta. No se suman estos 145 al total Web ni se acredita visita real de la OS.</w:t>
      </w:r>
    </w:p>
    <w:p>
      <w:pPr>
        <w:widowControl/>
      </w:pPr>
      <w:r>
        <w:t xml:space="preserve">Estado: corrección de texto y regresión aislada reportadas en una intervención anterior; repetición visual real pendiente. Abrir la recepción en entorno separado autorizado y contrastar barra, banner y formulario para los tres orígenes, sin confirmar movimientos. Responsable: Por asignar.</w:t>
      </w:r>
    </w:p>
    <w:p>
      <w:pPr>
        <w:widowControl/>
      </w:pPr>
      <w:hyperlink r:id="rId17">
        <w:r>
          <w:rPr>
            <w:color w:val="1565C0"/>
          </w:rPr>
          <w:t>Matriz de requisitos y aceptación pendiente</w:t>
        </w:r>
      </w:hyperlink>
    </w:p>
    <w:p>
      <w:pPr>
        <w:widowControl/>
      </w:pPr>
      <w:hyperlink r:id="rId18">
        <w:r>
          <w:rPr>
            <w:color w:val="1565C0"/>
          </w:rPr>
          <w:t>Ejecutores y aceptación por requisito · Matriz V2.0</w:t>
        </w:r>
      </w:hyperlink>
    </w:p>
    <w:sectPr w:rsidR="00721FEF" w:rsidSect="00034616">
      <w:headerReference w:type="default" r:id="rId9"/>
      <w:footerReference w:type="default" r:id="rId10"/>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8E74D" w14:textId="77777777" w:rsidR="00F30718" w:rsidRDefault="00F30718">
      <w:pPr>
        <w:spacing w:after="0" w:line="240" w:lineRule="auto"/>
      </w:pPr>
      <w:r>
        <w:separator/>
      </w:r>
    </w:p>
  </w:endnote>
  <w:endnote w:type="continuationSeparator" w:id="0">
    <w:p w14:paraId="7461756E" w14:textId="77777777" w:rsidR="00F30718" w:rsidRDefault="00F30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2875" w14:textId="77777777" w:rsidR="00721FEF" w:rsidRDefault="00A91853">
    <w:pPr>
      <w:pStyle w:val="Piedepgina"/>
      <w:jc w:val="right"/>
    </w:pPr>
    <w:r>
      <w:rPr>
        <w:rFonts w:eastAsia="Calibri"/>
        <w:color w:val="5F6B76"/>
        <w:sz w:val="17"/>
      </w:rPr>
      <w:t xml:space="preserve">Duoc UC · Ingeniería en Informática    |    Página </w:t>
    </w:r>
    <w:r>
      <w:rPr>
        <w:rFonts w:eastAsia="Calibri"/>
        <w:color w:val="5F6B76"/>
        <w:sz w:val="17"/>
      </w:rPr>
      <w:fldChar w:fldCharType="begin"/>
    </w:r>
    <w:r>
      <w:rPr>
        <w:rFonts w:eastAsia="Calibri"/>
        <w:color w:val="5F6B76"/>
        <w:sz w:val="17"/>
      </w:rPr>
      <w:instrText xml:space="preserve"> PAGE </w:instrText>
    </w:r>
    <w:r>
      <w:rPr>
        <w:rFonts w:eastAsia="Calibri"/>
        <w:color w:val="5F6B76"/>
        <w:sz w:val="17"/>
      </w:rPr>
      <w:fldChar w:fldCharType="separate"/>
    </w:r>
    <w:r w:rsidR="00A9681C">
      <w:rPr>
        <w:rFonts w:eastAsia="Calibri"/>
        <w:noProof/>
        <w:color w:val="5F6B76"/>
        <w:sz w:val="17"/>
      </w:rPr>
      <w:t>1</w:t>
    </w:r>
    <w:r>
      <w:rPr>
        <w:rFonts w:eastAsia="Calibri"/>
        <w:color w:val="5F6B76"/>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D061E" w14:textId="77777777" w:rsidR="00F30718" w:rsidRDefault="00F30718">
      <w:pPr>
        <w:spacing w:after="0" w:line="240" w:lineRule="auto"/>
      </w:pPr>
      <w:r>
        <w:separator/>
      </w:r>
    </w:p>
  </w:footnote>
  <w:footnote w:type="continuationSeparator" w:id="0">
    <w:p w14:paraId="15277B42" w14:textId="77777777" w:rsidR="00F30718" w:rsidRDefault="00F30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7A49" w14:textId="77777777" w:rsidR="00721FEF" w:rsidRDefault="00A91853">
    <w:pPr>
      <w:pStyle w:val="Encabezado"/>
    </w:pPr>
    <w:r>
      <w:rPr>
        <w:rFonts w:eastAsia="Calibri"/>
        <w:b/>
        <w:color w:val="5F6B76"/>
        <w:sz w:val="17"/>
      </w:rPr>
      <w:t>PMP SUITE  |  CAPSTONE     Plan de Pruebas</w:t>
    </w:r>
    <w:r>
      <w:rPr>
        <w:rFonts w:eastAsia="Calibri"/>
        <w:color w:val="5F6B76"/>
        <w:sz w:val="17"/>
      </w:rPr>
      <w:t xml:space="preserv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3435708">
    <w:abstractNumId w:val="8"/>
  </w:num>
  <w:num w:numId="2" w16cid:durableId="1112019478">
    <w:abstractNumId w:val="6"/>
  </w:num>
  <w:num w:numId="3" w16cid:durableId="911889149">
    <w:abstractNumId w:val="5"/>
  </w:num>
  <w:num w:numId="4" w16cid:durableId="1278290847">
    <w:abstractNumId w:val="4"/>
  </w:num>
  <w:num w:numId="5" w16cid:durableId="1230262726">
    <w:abstractNumId w:val="7"/>
  </w:num>
  <w:num w:numId="6" w16cid:durableId="191457470">
    <w:abstractNumId w:val="3"/>
  </w:num>
  <w:num w:numId="7" w16cid:durableId="418217408">
    <w:abstractNumId w:val="2"/>
  </w:num>
  <w:num w:numId="8" w16cid:durableId="907765014">
    <w:abstractNumId w:val="1"/>
  </w:num>
  <w:num w:numId="9" w16cid:durableId="167249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508"/>
    <w:rsid w:val="00326F90"/>
    <w:rsid w:val="007134FE"/>
    <w:rsid w:val="00721FEF"/>
    <w:rsid w:val="0078359B"/>
    <w:rsid w:val="00795FA6"/>
    <w:rsid w:val="00A91853"/>
    <w:rsid w:val="00A9681C"/>
    <w:rsid w:val="00AA1D8D"/>
    <w:rsid w:val="00B47730"/>
    <w:rsid w:val="00BB5E49"/>
    <w:rsid w:val="00BC4B9F"/>
    <w:rsid w:val="00CB0664"/>
    <w:rsid w:val="00F30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A29D1"/>
  <w14:defaultImageDpi w14:val="300"/>
  <w15:docId w15:val="{FFC3CEE0-F48D-4943-BEDA-7E1E0AEE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17212B"/>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0D1B2A"/>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565C0"/>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7E7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6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6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MP">
    <w:name w:val="Code PMP"/>
    <w:basedOn w:val="Normal"/>
    <w:pPr>
      <w:spacing w:after="60"/>
    </w:pPr>
    <w:rPr>
      <w:rFonts w:ascii="Consolas" w:hAnsi="Consolas"/>
      <w:sz w:val="18"/>
    </w:rPr>
  </w:style>
  <w:style w:type="paragraph" w:styleId="TDC1">
    <w:name w:val="toc 1"/>
    <w:basedOn w:val="Normal"/>
    <w:next w:val="Normal"/>
    <w:autoRedefine/>
    <w:uiPriority w:val="39"/>
    <w:unhideWhenUsed/>
    <w:rsid w:val="00A9681C"/>
    <w:pPr>
      <w:spacing w:after="0" w:line="252" w:lineRule="auto"/>
    </w:pPr>
    <w:rPr>
      <w:sz w:val="21"/>
    </w:rPr>
  </w:style>
  <w:style w:type="character" w:styleId="Hipervnculo">
    <w:name w:val="Hyperlink"/>
    <w:basedOn w:val="Fuentedeprrafopredeter"/>
    <w:uiPriority w:val="99"/>
    <w:unhideWhenUsed/>
    <w:rsid w:val="00A968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05_Cierre_Innovacion_PMP_Suite_V2.0.docx" TargetMode="External"/><Relationship Id="rId17" Type="http://schemas.openxmlformats.org/officeDocument/2006/relationships/hyperlink" Target="Matriz_Requerimientos_PMP_Suite.xlsx" TargetMode="External"/><Relationship Id="rId18" Type="http://schemas.openxmlformats.org/officeDocument/2006/relationships/hyperlink" Target="Matriz_Requerimientos_PMP_Suit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16.0000</AppVersion>
  <Pages>8</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y Evidencias</dc:title>
  <dc:subject>PMP Suite V2.0 · Metodología en cascada</dc:subject>
  <dc:creator>Rafael Oteiza · Matías Garrido · Luis Arenas</dc:creator>
  <cp:keywords>PMP Suite, Capstone, Cascada, Duoc UC</cp:keywords>
  <dc:description/>
  <cp:lastModifiedBy>Equipo PMP Suite</cp:lastModifiedBy>
  <cp:revision>5</cp:revision>
  <dcterms:modified xsi:type="dcterms:W3CDTF">2026-10-19T14:53:11Z</dcterms:modified>
  <cp:category/>
  <cp:version>2.0</cp:version>
</cp:coreProperties>
</file>