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after="600"/>
        <w:jc w:val="center"/>
      </w:pPr>
      <w:r>
        <w:drawing>
          <wp:inline xmlns:a="http://schemas.openxmlformats.org/drawingml/2006/main" xmlns:pic="http://schemas.openxmlformats.org/drawingml/2006/picture">
            <wp:extent cx="3337560" cy="925651"/>
            <wp:docPr id="1" name="Picture 1" descr="Logotipo horizontal oficial de PMP Suite" title="Logotipo horizontal oficial de PMP Sui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P_Suite_Logo_Horizontal_Color_10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925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rFonts w:ascii="Calibri" w:hAnsi="Calibri" w:eastAsia="Calibri"/>
          <w:b/>
          <w:color w:val="007E7A"/>
          <w:sz w:val="20"/>
        </w:rPr>
        <w:t>METODOLOGÍA TRADICIONAL · CASCADA</w:t>
      </w:r>
    </w:p>
    <w:p>
      <w:pPr>
        <w:spacing w:after="160"/>
        <w:jc w:val="center"/>
      </w:pPr>
      <w:r>
        <w:rPr>
          <w:rFonts w:ascii="Calibri" w:hAnsi="Calibri" w:eastAsia="Calibri"/>
          <w:b/>
          <w:color w:val="0D1B2A"/>
          <w:sz w:val="56"/>
        </w:rPr>
        <w:t>Documento de Diseño</w:t>
      </w:r>
    </w:p>
    <w:p>
      <w:pPr>
        <w:spacing w:after="680"/>
        <w:jc w:val="center"/>
      </w:pPr>
      <w:r>
        <w:rPr>
          <w:rFonts w:ascii="Calibri" w:hAnsi="Calibri" w:eastAsia="Calibri"/>
          <w:color w:val="5F6B76"/>
          <w:sz w:val="27"/>
        </w:rPr>
        <w:t>Arquitectura, datos, UML, seguridad y despliegue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Diseño de la Solución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Versión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1.0 · Base documental Cascada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Fecha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16 de agosto de 2026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Equipo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Rafael Oteiza · Matías Garrido · Luis Arenas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D1B2A"/>
                <w:sz w:val="19"/>
              </w:rPr>
              <w:t>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19"/>
              </w:rPr>
              <w:t>Diseño consolidado y ejecución local documentada</w:t>
            </w:r>
          </w:p>
        </w:tc>
      </w:tr>
    </w:tbl>
    <w:p>
      <w:pPr>
        <w:spacing w:after="440"/>
      </w:pPr>
    </w:p>
    <w:p>
      <w:pPr>
        <w:jc w:val="center"/>
      </w:pPr>
      <w:r>
        <w:rPr>
          <w:rFonts w:ascii="Calibri" w:hAnsi="Calibri" w:eastAsia="Calibri"/>
          <w:i/>
          <w:color w:val="5F6B76"/>
          <w:sz w:val="19"/>
        </w:rPr>
        <w:t>PMP Suite · Tecnología que mantiene tu operación en movimiento</w:t>
      </w:r>
    </w:p>
    <w:p>
      <w:r>
        <w:br w:type="page"/>
      </w:r>
    </w:p>
    <w:p>
      <w:pPr>
        <w:pStyle w:val="Heading1"/>
        <w:keepNext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65C0"/>
          <w:left w:val="single" w:sz="8" w:space="0" w:color="1565C0"/>
          <w:bottom w:val="single" w:sz="8" w:space="0" w:color="1565C0"/>
          <w:right w:val="single" w:sz="8" w:space="0" w:color="1565C0"/>
          <w:insideH w:val="single" w:sz="8" w:space="0" w:color="1565C0"/>
          <w:insideV w:val="single" w:sz="8" w:space="0" w:color="1565C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565C0"/>
                <w:sz w:val="21"/>
              </w:rPr>
              <w:t>Estructura del documento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El contenido está organizado según los artefactos exigidos para un proyecto APT con metodología tradicional.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Calibri" w:hAnsi="Calibri" w:eastAsia="Calibri"/>
          <w:color w:val="17212B"/>
        </w:rPr>
        <w:t>Principios y decisiones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Arquitectura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Componentes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Comunicación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Diseño por aplicación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Modelo de datos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Diagramas UML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Seguridad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Concurrencia y trazabilidad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Ejecución local</w:t>
      </w:r>
    </w:p>
    <w:p>
      <w:pPr>
        <w:pStyle w:val="ListNumber"/>
      </w:pPr>
      <w:r>
        <w:rPr>
          <w:rFonts w:ascii="Calibri" w:hAnsi="Calibri" w:eastAsia="Calibri"/>
          <w:color w:val="17212B"/>
        </w:rPr>
        <w:t>Limitaciones</w:t>
      </w:r>
    </w:p>
    <w:p>
      <w:r>
        <w:br w:type="page"/>
      </w:r>
    </w:p>
    <w:p>
      <w:pPr>
        <w:pStyle w:val="Heading1"/>
        <w:keepNext/>
      </w:pPr>
      <w:r>
        <w:t>1. Principios y decisiones de diseño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PMP Suite utiliza una arquitectura cliente-servidor con una API REST central. El backend concentra autorización, reglas de negocio y acceso a datos; las interfaces presentan capacidades conforme al rol, pero no constituyen la frontera de seguridad.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000"/>
        <w:gridCol w:w="2900"/>
        <w:gridCol w:w="5460"/>
      </w:tblGrid>
      <w:tr>
        <w:trPr>
          <w:tblHeader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ID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Decisión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Justificación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Backend modular sobre Express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Mantiene un único despliegue y separa dominios mediante rutas y servicios.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AD-02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PostgreSQL como autoridad del rol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Evita que un Custom Claim desactualizado conceda permisos.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AD-03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Firebase para autenticación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Delegación de identidad, recuperación y verificación de token.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AD-04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Acciones semánticas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El cliente no envía estados arbitrarios; solicita acciones de negocio.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AD-05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Historial append-only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Eventos, instalaciones e inspecciones conservan evidencia.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IA como proceso Python aislado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Reutiliza modelos existentes sin acoplar librerías Python al runtime Node.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AD-07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Ejecución local comprobada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Permite reproducir el sistema con comandos, versiones y variables documentadas.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Arquitectura de la solución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520440"/>
            <wp:docPr id="2" name="Picture 2" descr="Figura 1. Arquitectura lógica vigente de PMP Suite." title="Figura 1. Arquitectura lógica vigente de PMP Sui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log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1. Arquitectura lógica vigente de PMP Suite.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frontend web y la aplicación móvil obtienen un ID token desde Firebase Client SDK. La API valida el token con Firebase Admin SDK y luego consulta pmp.usuarios para construir la identidad efectiva. Las operaciones se autorizan por rol y, cuando corresponde, por asignación. PostgreSQL almacena la operación; el analizador Python consulta información histórica y entrega JSON al backend.</w:t>
      </w:r>
    </w:p>
    <w:p>
      <w:pPr>
        <w:pStyle w:val="Heading1"/>
        <w:keepNext/>
      </w:pPr>
      <w:r>
        <w:t>3. Componentes y responsabilidades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3" name="Picture 3" descr="Figura 2. Diagrama UML de componentes principales." title="Figura 2. Diagrama UML de componentes principa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2. Diagrama UML de componentes principales.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000"/>
        <w:gridCol w:w="2200"/>
        <w:gridCol w:w="51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Componente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Tecnología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Responsabilidad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Frontend web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React, TypeScript, Vite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Dashboard, navegación, formularios y vistas por capacidad.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Aplicación móvil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React Native, Expo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Intervención de terreno, creación y consulta de órdenes.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API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Node.js, Express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HTTP, autorización, reglas, transacciones y manejo de errores.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Autenticación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Firebase Client/Admin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Identidad, token, recuperación y validación de sesión.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Base de datos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PostgreSQL 16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Persistencia, integridad, relaciones, eventos y roles efectivos.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Motor IA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Python, Scikit-learn, Psycopg2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Análisis de historial y reporte predictivo de lectura.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Comunicación entre servicios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300"/>
        <w:gridCol w:w="1700"/>
        <w:gridCol w:w="2760"/>
        <w:gridCol w:w="26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Origen/destino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Canal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Entrada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Salida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Web/Mobile → Firebase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SDK/HTTPS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Credenciales del usuario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ID token o error controlado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Web/Mobile → API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HTTPS/JSON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Bearer token y payload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JSON y códigos HTTP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API → Firebase Admin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SDK/HTTPS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ID token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Identidad verificada/revocada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API → PostgreSQL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SQL/TCP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Consultas parametrizadas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Filas y transacciones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API → 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Proceso local/JSON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Ejecución analyzer.py --json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Reporte predictivo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IA → PostgreSQL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Psycopg2/SQL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Consulta histórica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Dataset de análisis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5. Diseño de aplicaciones</w:t>
      </w:r>
    </w:p>
    <w:p>
      <w:pPr>
        <w:pStyle w:val="Heading2"/>
        <w:keepNext/>
      </w:pPr>
      <w:r>
        <w:t>5.1 Backend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API se organiza en módulos auth, os, users, admin/users, dashboard, lab, qa, bodega, admin, master, badges, ai y bridge. Cada router protegido instala la cadena de middleware antes de su autorización específica.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8864B"/>
          <w:left w:val="single" w:sz="8" w:space="0" w:color="18864B"/>
          <w:bottom w:val="single" w:sz="8" w:space="0" w:color="18864B"/>
          <w:right w:val="single" w:sz="8" w:space="0" w:color="18864B"/>
          <w:insideH w:val="single" w:sz="8" w:space="0" w:color="18864B"/>
          <w:insideV w:val="single" w:sz="8" w:space="0" w:color="18864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18864B"/>
                <w:sz w:val="21"/>
              </w:rPr>
              <w:t>Cadena de seguridad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firebaseAuth → ensureUser → enforceReadOnlyRole → autorización por rol → handler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 w:eastAsia="Calibri"/>
          <w:color w:val="17212B"/>
        </w:rPr>
        <w:t>firebaseAuth valida el ID token con revisión de revocación.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ensureUser consulta el usuario PostgreSQL y verifica existencia y actividad.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enforceReadOnlyRole bloquea escritura operacional para gerente.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requireAnyRole o requireRole aplica el permiso específico.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El handler valida datos y ejecuta consultas parametrizadas o transacciones.</w:t>
      </w:r>
    </w:p>
    <w:p>
      <w:pPr>
        <w:pStyle w:val="Heading2"/>
        <w:keepNext/>
      </w:pPr>
      <w:r>
        <w:t>5.2 Frontend web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SPA utiliza SessionContext, rutas protegidas, permisos canónicos y navegación derivada de capacidades. El frontend oculta o deshabilita acciones no autorizadas para mejorar la experiencia, mientras el backend conserva la decisión final.</w:t>
      </w:r>
    </w:p>
    <w:p>
      <w:pPr>
        <w:pStyle w:val="Heading2"/>
        <w:keepNext/>
      </w:pPr>
      <w:r>
        <w:t>5.3 Aplicación móvil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La aplicación Expo dispone de Login, Inicio, Nueva Orden y Mis Órdenes. Consume la API con Axios y Firebase Client. Antes del despliegue reproducible debe externalizarse la URL actualmente configurada para red local y verificarse el manejo seguro de sesión en dispositivos.</w:t>
      </w:r>
    </w:p>
    <w:p>
      <w:pPr>
        <w:pStyle w:val="Heading2"/>
        <w:keepNext/>
      </w:pPr>
      <w:r>
        <w:t>5.4 Motor de IA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endpoint GET /api/ai/predictive-report está disponible para admin y gerente. La API ejecuta 06_ModelosIA/.venv/Scripts/python.exe en Windows, o su equivalente Unix, con analyzer.py --json. Ante ausencia del runtime, error o respuesta inválida, retorna 502/503 sin exponer detalles sensibles.</w:t>
      </w:r>
    </w:p>
    <w:p>
      <w:pPr>
        <w:pStyle w:val="Heading1"/>
        <w:keepNext/>
      </w:pPr>
      <w:r>
        <w:t>6. Modelo de datos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modelo relacional utiliza el esquema pmp. Las entidades centrales relacionan usuarios, equipos, órdenes, estados, ubicaciones, eventos, reparaciones, repuestos, guías, Bridge, instalaciones e inspecciones QA. Las claves foráneas conservan integridad y los triggers protegen registros históricos.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20026"/>
            <wp:docPr id="4" name="Picture 4" descr="Figura 3. ERD simplificado de las entidades críticas." title="Figura 3. ERD simplificado de las entidades crític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simplific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2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3. ERD simplificado de las entidades críticas.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Entidad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Responsabilidad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usuarios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Identidad operacional, correo, rol, activo y firebase_uid.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ordenes_servicio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Entidad principal de mantenimiento y estado actual.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bridges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Intervención de preparación, asignación y terreno.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bridge_mantenimiento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Relación uno a uno entre Bridge y OS.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os_eventos / flujo_eventos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Trazabilidad por usuario, rol, fecha y metadata.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registro_reparaciones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Diagnóstico, acción, prueba y resultado técnico.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repuestos / solicitudes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Inventario, solicitudes, detalle y entrega.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qa_inspecciones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Resultado, comentario, certificación y fecha.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instalaciones_equipos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Evidencia del equipo retirado/instalado y ubicación.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7. Diagramas UML</w:t>
      </w:r>
    </w:p>
    <w:p>
      <w:pPr>
        <w:pStyle w:val="Heading2"/>
        <w:keepNext/>
      </w:pPr>
      <w:r>
        <w:t>7.1 Casos de uso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464560"/>
            <wp:docPr id="5" name="Picture 5" descr="Figura 4. Casos de uso por actor." title="Figura 4. Casos de uso por ac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_us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4. Casos de uso por actor.</w:t>
      </w:r>
    </w:p>
    <w:p>
      <w:pPr>
        <w:pStyle w:val="Heading2"/>
        <w:keepNext/>
      </w:pPr>
      <w:r>
        <w:t>7.2 Clases conceptuales</w:t>
      </w:r>
    </w:p>
    <w:p>
      <w:pPr>
        <w:spacing w:after="120"/>
        <w:jc w:val="left"/>
      </w:pPr>
      <w:r>
        <w:rPr>
          <w:rFonts w:ascii="Calibri" w:hAnsi="Calibri" w:eastAsia="Calibri"/>
          <w:i w:val="0"/>
          <w:color w:val="17212B"/>
        </w:rPr>
        <w:t>El backend no utiliza un modelo orientado a objetos tradicional para todas las entidades; este diagrama representa el dominio conceptual y sus relaciones, no clases ejecutables uno a uno.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622040"/>
            <wp:docPr id="6" name="Picture 6" descr="Figura 5. Clases conceptuales del dominio de mantenimiento." title="Figura 5. Clases conceptuales del dominio de mantenimi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_domin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2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5. Clases conceptuales del dominio de mantenimiento.</w:t>
      </w:r>
    </w:p>
    <w:p>
      <w:pPr>
        <w:pStyle w:val="Heading2"/>
        <w:keepNext/>
      </w:pPr>
      <w:r>
        <w:t>7.3 Secuencia de la funcionalidad principal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4396339"/>
            <wp:docPr id="7" name="Picture 7" descr="Figura 6. Secuencia Bridge → terreno → mantenimiento → laboratorio → QA." title="Figura 6. Secuencia Bridge → terreno → mantenimiento → laboratorio → Q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_brid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6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6. Secuencia Bridge → terreno → mantenimiento → laboratorio → QA.</w:t>
      </w:r>
    </w:p>
    <w:p>
      <w:pPr>
        <w:pStyle w:val="Heading1"/>
        <w:keepNext/>
      </w:pPr>
      <w:r>
        <w:t>8. Diseño de seguridad y RBAC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Control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8F7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Diseño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Identidad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Firebase verifica credenciales; la API valida token y revocación.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Usuario efectivo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PostgreSQL exige existencia, actividad y rol canónico.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Autorización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Permiso por rol, dominio y asignación; falla cerrada.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Gerente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Lectura global; escritura operacional bloqueada en middleware central.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Admin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Administración y asignación global; no suplanta acciones técnicas asignadas.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Secretos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Variables locales y credencial fuera del repositorio.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Auditoría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Intentos rechazados sin token/body y eventos históricos con usuario.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Concurrencia, integridad y trazabilidad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Las operaciones críticas agrupan validación y escritura en transacciones.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identificadores únicos y restricciones impiden duplicados activos.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 relación Bridge–OS es uno a uno.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Registros de instalación, QA y eventos son append-only.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Las consultas utilizan parámetros y no concatenan entradas del usuario.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Las acciones semánticas impiden saltos arbitrarios de la máquina de estados.</w:t>
      </w:r>
    </w:p>
    <w:p>
      <w:r>
        <w:br w:type="page"/>
      </w:r>
    </w:p>
    <w:p>
      <w:pPr>
        <w:pStyle w:val="Heading1"/>
        <w:keepNext/>
      </w:pPr>
      <w:r>
        <w:t>10. Ejecución local y despliegue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520440"/>
            <wp:docPr id="8" name="Picture 8" descr="Figura 7. Diseño objetivo de despliegue mediante Docker Compose." title="Figura 7. Diseño objetivo de despliegue mediante Docker Compo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_dock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Calibri"/>
          <w:i/>
          <w:color w:val="5F6B76"/>
          <w:sz w:val="18"/>
        </w:rPr>
        <w:t>Figura 7. Ejecución local de los componentes de PMP Suite.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500"/>
        <w:gridCol w:w="2600"/>
        <w:gridCol w:w="13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Servicio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Componente/función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Puerto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B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6"/>
              </w:rPr>
              <w:t>Configuración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frontend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Servidor Vite y build estático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5173 en desarrollo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VITE_* mediante archivo local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backend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Node.js 20 y API Express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4000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DATABASE_URL, PORT y ruta segura Firebase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postgres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PostgreSQL 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5432 local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Servicio local y credenciales seguras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6"/>
              </w:rPr>
              <w:t>Motor IA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Python 3.10+ y requirements.txt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Proceso invocado por API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6"/>
              </w:rPr>
              <w:t>Lectura PostgreSQL mediante variables locales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12B2B"/>
          <w:left w:val="single" w:sz="8" w:space="0" w:color="A12B2B"/>
          <w:bottom w:val="single" w:sz="8" w:space="0" w:color="A12B2B"/>
          <w:right w:val="single" w:sz="8" w:space="0" w:color="A12B2B"/>
          <w:insideH w:val="single" w:sz="8" w:space="0" w:color="A12B2B"/>
          <w:insideV w:val="single" w:sz="8" w:space="0" w:color="A12B2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EE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A12B2B"/>
                <w:sz w:val="21"/>
              </w:rPr>
              <w:t>Estado real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7212B"/>
                <w:sz w:val="20"/>
              </w:rPr>
              <w:t>La línea base se ejecuta localmente con PostgreSQL, la API Node.js, el entorno Python, el frontend Vite y la aplicación Expo.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Disponibilidad y observabilidad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GET /api/health permite verificar que la API está levantada.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El motor IA devuelve fallas controladas distintas del estado general de la API.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logs deben utilizar códigos operacionales y omitir secretos.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La evidencia final debe registrar el health check del backend y la conectividad controlada con PostgreSQL.</w:t>
      </w:r>
    </w:p>
    <w:p>
      <w:pPr>
        <w:pStyle w:val="ListBullet"/>
      </w:pPr>
      <w:r>
        <w:rPr>
          <w:rFonts w:ascii="Calibri" w:hAnsi="Calibri" w:eastAsia="Calibri"/>
          <w:color w:val="17212B"/>
        </w:rPr>
        <w:t>Los respaldos y restauraciones deben probarse antes de una entrega final.</w:t>
      </w:r>
    </w:p>
    <w:p>
      <w:pPr>
        <w:pStyle w:val="Heading1"/>
        <w:keepNext/>
      </w:pPr>
      <w:r>
        <w:t>12. Limitaciones y trabajo pendiente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B"/>
          <w:left w:val="single" w:sz="6" w:space="0" w:color="C9D2DB"/>
          <w:bottom w:val="single" w:sz="6" w:space="0" w:color="C9D2DB"/>
          <w:right w:val="single" w:sz="6" w:space="0" w:color="C9D2DB"/>
          <w:insideH w:val="single" w:sz="6" w:space="0" w:color="C9D2DB"/>
          <w:insideV w:val="single" w:sz="6" w:space="0" w:color="C9D2DB"/>
        </w:tblBorders>
      </w:tblPr>
      <w:tblGrid>
        <w:gridCol w:w="1900"/>
        <w:gridCol w:w="1500"/>
        <w:gridCol w:w="5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Área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Estado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F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/>
                <w:color w:val="0D1B2A"/>
                <w:sz w:val="17"/>
              </w:rPr>
              <w:t>Acción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Ejecución local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Validación final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Repetir los comandos documentados en una instalación limpia y capturar evidencia.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Mobile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Parcial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Externalizar URL de API y validar build/dispositivo.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Diagramas fuente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Parcial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Sincronizar PlantUML histórico con roles y flujo vigentes.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Rendimiento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Pendiente final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Repetir medición en base aislada y adjuntar evidencia.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Calibri"/>
                <w:color w:val="17212B"/>
                <w:sz w:val="17"/>
              </w:rPr>
              <w:t>Producción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Fuera de alcance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color w:val="17212B"/>
                <w:sz w:val="17"/>
              </w:rPr>
              <w:t>TLS, dominio, monitoreo y alta disponibilidad futura.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6"/>
        <w:sz w:val="17"/>
      </w:rPr>
      <w:t xml:space="preserve">Duoc UC · Ingeniería en Informática    |    Página </w:t>
    </w:r>
    <w:r>
      <w:rPr>
        <w:rFonts w:ascii="Calibri" w:hAnsi="Calibri" w:eastAsia="Calibri"/>
        <w:color w:val="5F6B76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6"/>
        <w:sz w:val="17"/>
      </w:rPr>
      <w:t>PMP SUITE  |  CAPSTONE 2026</w:t>
    </w:r>
    <w:r>
      <w:rPr>
        <w:rFonts w:ascii="Calibri" w:hAnsi="Calibri" w:eastAsia="Calibri"/>
        <w:color w:val="5F6B76"/>
        <w:sz w:val="17"/>
      </w:rPr>
      <w:t xml:space="preserve">     Documento de Diseño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D1B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E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PMP Suite - Documento de Diseño</dc:title>
  <dc:subject>Proyecto APT Capstone - Metodología Cascada</dc:subject>
  <dc:creator>Rafael Oteiza; Matías Garrido; Luis Arenas</dc:creator>
  <cp:keywords>PMP Suite, Capstone, Cascada, Duoc UC</cp:keywords>
  <dc:description>Documento académico generado desde fuentes vigentes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