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Documento de Diseño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Arquitectura, datos, UML, seguridad y despliegue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Diseño de la Solución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2.0 · Línea base final Capstone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23 de septiembre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Diseño final alineado con la implementación vigente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Principios y decisiones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Arquitectura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Componentes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Comunicación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Diseño por aplicación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Modelo de datos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Diagramas UML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Seguridad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Concurrencia y trazabilidad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Ejecución local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Limitaciones</w:t>
      </w:r>
    </w:p>
    <w:p>
      <w:r>
        <w:br w:type="page"/>
      </w:r>
    </w:p>
    <w:p>
      <w:pPr>
        <w:pStyle w:val="Heading1"/>
        <w:keepNext/>
      </w:pPr>
      <w:r>
        <w:t>1. Principios y decisiones de diseño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PMP Suite utiliza una arquitectura cliente-servidor con una API REST central. El backend concentra autorización, reglas de negocio y acceso a datos; las interfaces presentan capacidades conforme al rol, pero no constituyen la frontera de seguridad.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000"/>
        <w:gridCol w:w="2900"/>
        <w:gridCol w:w="54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Decisión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Justificación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Backend modular sobre Express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Separa dominios mediante rutas y servicios sobre una API central.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PostgreSQL como autoridad del rol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Evita que un Custom Claim desactualizado conceda permisos.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Firebase para autenticación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Delegación de identidad, recuperación y verificación de token.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Acciones semánticas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El cliente solicita acciones de negocio; no envía estados arbitrarios.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Historial append-only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Eventos, escaneos, instalaciones e inspecciones conservan evidencia.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IA como proceso Python aislado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Reutiliza modelos sin acoplar librerías Python al runtime Node.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Caso, OS, activo y referencia separados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La serie identifica al activo; el caso agrupa una necesidad; cada OS es independiente; Bridge solo correlaciona.</w:t>
            </w:r>
          </w:p>
        </w:tc>
      </w:tr>
      <w:tr>
        <w:tc>
          <w:tcPr>
            <w:tcW w:type="dxa" w:w="1000"/>
          </w:tcPr>
          <w:p>
            <w:r>
              <w:t>AD-08</w:t>
            </w:r>
          </w:p>
        </w:tc>
        <w:tc>
          <w:tcPr>
            <w:tcW w:type="dxa" w:w="2900"/>
          </w:tcPr>
          <w:p>
            <w:r>
              <w:t>Physical-first en Bodega</w:t>
            </w:r>
          </w:p>
        </w:tc>
        <w:tc>
          <w:tcPr>
            <w:tcW w:type="dxa" w:w="5460"/>
          </w:tcPr>
          <w:p>
            <w:r>
              <w:t>La lectura física identifica el activo a despachar y la confirmación crea la IN.</w:t>
            </w:r>
          </w:p>
        </w:tc>
      </w:tr>
      <w:tr>
        <w:tc>
          <w:tcPr>
            <w:tcW w:type="dxa" w:w="1000"/>
          </w:tcPr>
          <w:p>
            <w:r>
              <w:t>AD-09</w:t>
            </w:r>
          </w:p>
        </w:tc>
        <w:tc>
          <w:tcPr>
            <w:tcW w:type="dxa" w:w="2900"/>
          </w:tcPr>
          <w:p>
            <w:r>
              <w:t>Recepción inicial sin OS</w:t>
            </w:r>
          </w:p>
        </w:tc>
        <w:tc>
          <w:tcPr>
            <w:tcW w:type="dxa" w:w="5460"/>
          </w:tcPr>
          <w:p>
            <w:r>
              <w:t>Un activo nuevo se habilita por eventos y evidencia física; la primera OS nace en un despacho real.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Arquitectura de la solución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2" name="Picture 2" descr="Figura 1. Arquitectura lógica vigente de PMP Suite." title="Figura 1. Arquitectura lógica vigente de PMP Sui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log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1. Arquitectura lógica vigente de PMP Suite.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frontend web y la aplicación móvil obtienen un ID token desde Firebase Client SDK. La API valida el token con Firebase Admin SDK y luego consulta pmp.usuarios para construir la identidad efectiva. Las operaciones se autorizan por rol y, cuando corresponde, por asignación. PostgreSQL almacena la operación; el analizador Python consulta información histórica y entrega JSON al backend.</w:t>
      </w:r>
    </w:p>
    <w:p>
      <w:pPr>
        <w:pStyle w:val="Heading1"/>
        <w:keepNext/>
      </w:pPr>
      <w:r>
        <w:t>3. Componentes y responsabilidades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 descr="Figura 2. Diagrama UML de componentes principales." title="Figura 2. Diagrama UML de componentes princip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2. Diagrama UML de componentes principales.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000"/>
        <w:gridCol w:w="2200"/>
        <w:gridCol w:w="51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Componente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Tecnología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Responsabilidad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Frontend web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React, TypeScript, Vite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Dashboard, navegación, formularios y vistas por capacidad.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Aplicación móvil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React Native, Expo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Intervención de terreno, creación y consulta de órdenes.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API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Node.js, Express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HTTP, autorización, reglas, transacciones y manejo de errores.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Autenticación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Client/Admin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Identidad, token, recuperación y validación de sesión.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Base de datos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16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Persistencia, integridad, relaciones, eventos y roles efectivos.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Motor 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Python, Scikit-learn, Psycopg2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Análisis de historial y reporte predictivo de lectura.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Comunicación entre servicios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300"/>
        <w:gridCol w:w="1700"/>
        <w:gridCol w:w="2760"/>
        <w:gridCol w:w="26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Origen/destino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Canal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Entrada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Salida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Web/Mobile → Firebase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SDK/HTTPS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Credenciales del usuario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 token o error controlado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Web/Mobile →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HTTPS/JSON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Bearer token y payload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JSON y códigos HTTP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API → Firebase Admin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SDK/HTTPS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 token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Identidad verificada/revocada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API → PostgreSQL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SQL/TCP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Consultas parametrizadas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Filas y transacciones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API → 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Proceso local/JSON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Ejecución analyzer.py --json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Reporte predictivo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IA → PostgreSQL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Psycopg2/SQL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 histórica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Dataset de análisis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Diseño de aplicaciones</w:t>
      </w:r>
    </w:p>
    <w:p>
      <w:pPr>
        <w:pStyle w:val="Heading2"/>
        <w:keepNext/>
      </w:pPr>
      <w:r>
        <w:t>5.1 Backend</w:t>
      </w: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La API se organiza en módulos auth, os, users, dashboard, lab, qa, bodega, activos, requerimientos, bridge, ai y servicios de dominio. Los routers protegidos instalan autenticación, usuario efectivo, restricciones de solo lectura y autorización específica antes de ejecutar handlers y transacciones.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8864B"/>
          <w:left w:val="single" w:sz="8" w:space="0" w:color="18864B"/>
          <w:bottom w:val="single" w:sz="8" w:space="0" w:color="18864B"/>
          <w:right w:val="single" w:sz="8" w:space="0" w:color="18864B"/>
          <w:insideH w:val="single" w:sz="8" w:space="0" w:color="18864B"/>
          <w:insideV w:val="single" w:sz="8" w:space="0" w:color="1886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8864B"/>
                <w:sz w:val="21"/>
              </w:rPr>
              <w:t>Cadena de seguridad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firebaseAuth → ensureUser → enforceReadOnlyRole → autorización por rol → handler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Calibri"/>
          <w:color w:val="17212B"/>
        </w:rPr>
        <w:t>firebaseAuth valida el ID token con revisión de revocación.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ensureUser consulta el usuario PostgreSQL y verifica existencia y actividad.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enforceReadOnlyRole bloquea escritura operacional para gerente.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requireAnyRole o requireRole aplica el permiso específico.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handler valida datos y ejecuta consultas parametrizadas o transacciones.</w:t>
      </w:r>
    </w:p>
    <w:p>
      <w:pPr>
        <w:pStyle w:val="Heading2"/>
        <w:keepNext/>
      </w:pPr>
      <w:r>
        <w:t>5.2 Frontend web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SPA utiliza SessionContext, rutas protegidas, permisos canónicos y navegación derivada de capacidades. El frontend oculta o deshabilita acciones no autorizadas para mejorar la experiencia, mientras el backend conserva la decisión final.</w:t>
      </w:r>
    </w:p>
    <w:p>
      <w:pPr>
        <w:pStyle w:val="Heading2"/>
        <w:keepNext/>
      </w:pPr>
      <w:r>
        <w:t>5.3 Aplicación móvil</w:t>
      </w: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La aplicación Expo dispone de Login, Inicio, reporte de fallas sobre activos existentes, Mis Órdenes e historial. Las IN asignadas muestran el equipo seleccionado por Logística y permiten completar la instalación; el rol de terreno no administra el maestro de activos.</w:t>
      </w:r>
    </w:p>
    <w:p>
      <w:pPr>
        <w:pStyle w:val="Heading2"/>
        <w:keepNext/>
      </w:pPr>
      <w:r>
        <w:t>5.4 Motor de IA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endpoint GET /api/ai/predictive-report está disponible para admin y gerente. La API ejecuta 06_ModelosIA/.venv/Scripts/python.exe en Windows, o su equivalente Unix, con analyzer.py --json. Ante ausencia del runtime, error o respuesta inválida, retorna 502/503 sin exponer detalles sensibles.</w:t>
      </w:r>
    </w:p>
    <w:p>
      <w:pPr>
        <w:pStyle w:val="Heading1"/>
        <w:keepNext/>
      </w:pPr>
      <w:r>
        <w:t>6. Modelo de datos</w:t>
      </w: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El modelo relacional utiliza el esquema pmp. Las entidades centrales separan maestro de activos, casos operacionales, OS independientes, referencias Bridge, escaneos, eventos, reparaciones, repuestos, instalaciones e inspecciones QA. Los eventos iniciales de un activo pueden existir sin OS; las claves foráneas y restricciones preservan la identidad tipo + serie y la integridad histórica.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13130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3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5F6B76"/>
          <w:sz w:val="18"/>
        </w:rPr>
        <w:t>Figura 3. ERD simplificado del modelo vigente: activos, casos, OS, Bridge, eventos y evidencias.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Entidad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Responsabilidad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validadores / consolas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Maestro de activos por tipo + serie; origen y datos técnicos conocidos.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casos_operacionales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Origen y contexto de una necesidad; agrupa OS relacionadas sin definir su identidad.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ordenes_servicio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Intervenciones MV/MC/PDV/PDC/IN con identidad de activo inmutable.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bridge_referencias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Correlación sistema/referencia externa ↔ OS PMP; sin acciones operacionales.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flujo_eventos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Auditoría append-only; admite eventos iniciales asociados directamente al activo.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escaneos_equipos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Evidencia física contextual de Bodega/terreno y origen de captura.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registro_reparaciones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Diagnóstico, acción, prueba y resultado técnico.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repuestos / solicitudes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Inventario, solicitudes, detalle y entrega.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qa_inspecciones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Resultado, comentario, certificación y fecha.</w:t>
            </w:r>
          </w:p>
        </w:tc>
      </w:tr>
      <w:tr>
        <w:tc>
          <w:tcPr>
            <w:tcW w:type="dxa" w:w="2600"/>
          </w:tcPr>
          <w:p>
            <w:r>
              <w:t>instalaciones_equipos</w:t>
            </w:r>
          </w:p>
        </w:tc>
        <w:tc>
          <w:tcPr>
            <w:tcW w:type="dxa" w:w="6760"/>
          </w:tcPr>
          <w:p>
            <w:r>
              <w:t>Evidencia de instalación y relación del activo con el bus.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Diagramas UML</w:t>
      </w:r>
    </w:p>
    <w:p>
      <w:pPr>
        <w:pStyle w:val="Heading2"/>
        <w:keepNext/>
      </w:pPr>
      <w:r>
        <w:t>7.1 Casos de uso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9202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_compa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2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5F6B76"/>
          <w:sz w:val="18"/>
        </w:rPr>
        <w:t>Figura 4. Casos de uso por actor sobre el flujo vigente.</w:t>
      </w:r>
    </w:p>
    <w:p>
      <w:pPr>
        <w:pStyle w:val="Heading2"/>
        <w:keepNext/>
      </w:pPr>
      <w:r>
        <w:t>7.2 Clases conceptuales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no utiliza un modelo orientado a objetos tradicional para todas las entidades; este diagrama representa el dominio conceptual y sus relaciones, no clases ejecutables uno a uno.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240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v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5F6B76"/>
          <w:sz w:val="18"/>
        </w:rPr>
        <w:t>Figura 5. Clases conceptuales: activo, caso, OS, referencia, evento y escaneo.</w:t>
      </w:r>
    </w:p>
    <w:p>
      <w:pPr>
        <w:pStyle w:val="Heading2"/>
        <w:keepNext/>
      </w:pPr>
      <w:r>
        <w:t>7.3 Secuencia de la funcionalidad principal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13211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low_compa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2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5F6B76"/>
          <w:sz w:val="18"/>
        </w:rPr>
        <w:t>Figura 6. Secuencia funcional vigente: requerimiento, mantenimiento, stock, despacho por escaneo e instalación.</w:t>
      </w:r>
    </w:p>
    <w:p>
      <w:pPr>
        <w:pStyle w:val="Heading1"/>
        <w:keepNext/>
      </w:pPr>
      <w:r>
        <w:t>8. Diseño de seguridad y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Control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Diseño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Identidad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verifica credenciales; la API valida token y revocación.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Usuario efectivo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exige existencia, actividad y rol canónico.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Autorización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Permiso por rol, dominio y asignación; falla cerrada.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Gerente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 global; escritura operacional bloqueada en middleware central.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Admin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Administración y asignación global; no suplanta acciones técnicas asignadas.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Secretos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Variables locales y credencial fuera del repositorio.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Auditoría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Intentos rechazados sin token/body y eventos históricos con usuario.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Concurrencia, integridad y trazabilidad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operaciones críticas agrupan validación y escritura en transacciones.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identificadores únicos y restricciones impiden duplicados activos.</w:t>
      </w:r>
    </w:p>
    <w:p>
      <w:pPr>
        <w:pStyle w:val="ListBullet"/>
      </w:pPr>
      <w:r>
        <w:rPr>
          <w:rFonts w:ascii="Calibri" w:hAnsi="Calibri"/>
          <w:color w:val="17212B"/>
        </w:rPr>
        <w:t>Una referencia externa puede correlacionarse explícitamente con varias OS relacionadas; el vínculo exacto no se duplica y Bridge no ejecuta operaciones.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Registros de instalación, QA y eventos son append-only.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consultas utilizan parámetros y no concatenan entradas del usuario.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acciones semánticas impiden saltos arbitrarios de la máquina de estados.</w:t>
      </w:r>
    </w:p>
    <w:p>
      <w:r>
        <w:br w:type="page"/>
      </w:r>
    </w:p>
    <w:p>
      <w:pPr>
        <w:pStyle w:val="Heading1"/>
        <w:keepNext/>
      </w:pPr>
      <w:r>
        <w:t>10. Ejecución local y despliegue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8" name="Picture 8" descr="Figura 7. Diseño objetivo de despliegue mediante Docker Compose." title="Figura 7. Diseño objetivo de despliegue mediante Docker Com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_do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7. Ejecución local de los componentes de PMP Suite.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500"/>
        <w:gridCol w:w="2600"/>
        <w:gridCol w:w="13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Servicio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Componente/función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Puerto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Configuración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frontend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Servidor Vite y build estático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5173 en desarrollo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VITE_* mediante archivo local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backend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Node.js 20 y API Express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4000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DATABASE_URL, PORT y ruta segura Firebase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postgres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PostgreSQL 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5432 local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Servicio local y credenciales seguras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Motor IA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Python 3.10+ y requirements.txt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Proceso invocado por API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Lectura PostgreSQL mediante variables locales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12B2B"/>
          <w:left w:val="single" w:sz="8" w:space="0" w:color="A12B2B"/>
          <w:bottom w:val="single" w:sz="8" w:space="0" w:color="A12B2B"/>
          <w:right w:val="single" w:sz="8" w:space="0" w:color="A12B2B"/>
          <w:insideH w:val="single" w:sz="8" w:space="0" w:color="A12B2B"/>
          <w:insideV w:val="single" w:sz="8" w:space="0" w:color="A12B2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A12B2B"/>
                <w:sz w:val="21"/>
              </w:rPr>
              <w:t>Estado real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La línea base se ejecuta localmente con PostgreSQL, la API Node.js, el entorno Python, el frontend Vite y la aplicación Expo.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Disponibilidad y observabilidad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GET /api/health permite verificar que la API está levantada.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motor IA devuelve fallas controladas distintas del estado general de la API.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logs deben utilizar códigos operacionales y omitir secretos.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 evidencia final debe registrar el health check del backend y la conectividad controlada con PostgreSQL.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respaldos y restauraciones deben probarse antes de una entrega final.</w:t>
      </w:r>
    </w:p>
    <w:p>
      <w:pPr>
        <w:pStyle w:val="Heading1"/>
        <w:keepNext/>
      </w:pPr>
      <w:r>
        <w:t>12. Limitaciones y trabajo pendiente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Área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Estado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Acción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Ejecución local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Validada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Mantener comandos, variables y migraciones reproducibles.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Mobile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Exportación aprobada; prueba física pendiente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Ejecutar recorrido final con Expo SDK 57 y dispositivo/lector real.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Diagramas fuente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Actualizados en esta línea base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Mantener sincronía con futuros cambios controlados.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Rendimiento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Evidencia automatizada disponible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Repetir solo si la pauta final exige medición formal adicional.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Integración Aranda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Fuera de alcance Capstone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Proyección futura por API/Web Service/webhook/ETL; hoy ingreso asistido.</w:t>
            </w:r>
          </w:p>
        </w:tc>
      </w:tr>
      <w:tr>
        <w:tc>
          <w:tcPr>
            <w:tcW w:type="dxa" w:w="1900"/>
          </w:tcPr>
          <w:p>
            <w:r>
              <w:t>Producción</w:t>
            </w:r>
          </w:p>
        </w:tc>
        <w:tc>
          <w:tcPr>
            <w:tcW w:type="dxa" w:w="1500"/>
          </w:tcPr>
          <w:p>
            <w:r>
              <w:t>Fuera de alcance</w:t>
            </w:r>
          </w:p>
        </w:tc>
        <w:tc>
          <w:tcPr>
            <w:tcW w:type="dxa" w:w="5960"/>
          </w:tcPr>
          <w:p>
            <w:r>
              <w:t>TLS, dominio, monitoreo y alta disponibilidad futura.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Documento de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Documento de Diseño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