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Manual Técnico y de Despliegue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Instalación, configuración, ejecución y verificación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Manual Técnico / Despliegue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2.0 · Línea base final Capstone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23 de septiembre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9"/>
              </w:rPr>
              <w:t>Ejecución local y migraciones vigentes documentadas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1. Arquitectura de ejecución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En desarrollo local, PMP Suite se ejecuta mediante procesos separados: PostgreSQL, backend Node/Express, frontend Vite, aplicación móvil Expo y un entorno Python para IA. El backend escucha por defecto en el puerto 4000 y el frontend en el 5173.</w:t>
      </w:r>
    </w:p>
    <w:p>
      <w:pPr>
        <w:pStyle w:val="Heading1"/>
        <w:keepNext/>
      </w:pPr>
      <w:r>
        <w:t>2. Requisitos previos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Componente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Versión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1B2A"/>
                <w:sz w:val="18"/>
              </w:rPr>
              <w:t>Uso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Node.js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Versión compatible con el proyecto y lockfiles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Backend, frontend y herramientas Expo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npm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Compatible con Node instalado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Instalación y scripts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PostgreSQL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16 o superior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Base de datos pmp_suite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Python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3.10 o superior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Motor IA en .venv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Git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Opcional para ejecución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Control de versiones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7212B"/>
                <w:sz w:val="18"/>
              </w:rPr>
              <w:t>Expo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SDK 57.0.22 en 07_Mobile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7212B"/>
                <w:sz w:val="18"/>
              </w:rPr>
              <w:t>Aplicación móvil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Variables de entorno</w:t>
      </w:r>
    </w:p>
    <w:p>
      <w:pPr>
        <w:pStyle w:val="Heading2"/>
        <w:keepNext/>
      </w:pPr>
      <w:r>
        <w:t>3.1 Backend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3100"/>
        <w:gridCol w:w="1500"/>
        <w:gridCol w:w="47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Variable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Obligatoria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DATABASE_URL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Sí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Cadena PostgreSQL; no registrar el valor.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FIREBASE_SERVICE_ACCOUNT_PATH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Sí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Ruta absoluta a credencial Firebase Admin fuera del repositorio.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PORT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No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Puerto API; valor predeterminado 4000.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Frontend web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Variable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Uso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VITE_API_URL / VITE_CORE_URL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Base URL de la API.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VITE_FB_API_KEY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Clave pública de configuración cliente Firebase.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VITE_FB_AUTH_DOMAIN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Dominio de autenticación.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VITE_FB_PROJECT_ID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 del proyecto Firebase.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VITE_FB_STORAGE_BUCKET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Bucket configurado.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VITE_FB_MESSAGING_SENDER_ID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Identificador de mensajería.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VITE_FB_APP_ID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Identificador de la aplicación web.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Seguridad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No copiar valores reales a este documento. La credencial Admin y las contraseñas nunca deben incluirse en frontend ni en el repositorio.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Preparación de base de datos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archivo 05_BaseDatos/pmp_backup.sql corresponde a un respaldo PostgreSQL en formato personalizado, aunque conserve extensión .sql. Debe restaurarse con pg_restore, no ejecutarse como texto plano.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createdb pmp_suite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pg_restore --clean --if-exists --no-owner --dbname=pmp_suite 05_BaseDatos/pmp_backup.sql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/>
          <w:i w:val="0"/>
          <w:color w:val="17212B"/>
        </w:rPr>
        <w:t>Las migraciones vigentes incluyen Bridge y la evolución aditiva de requerimientos/activos. En un entorno nuevo deben aplicarse en orden las migraciones 003, 004, 005 y 006 bajo 05_BaseDatos/migraciones/requerimientos, usando primero los verificadores dry-run disponibles. La 006 implementa recepción inicial de activos nuevos sin OS ficticias. Respaldar la base y no ejecutar pruebas destructivas sobre la base principal.</w:t>
      </w:r>
    </w:p>
    <w:p>
      <w:pPr>
        <w:pStyle w:val="Heading1"/>
        <w:keepNext/>
      </w:pPr>
      <w:r>
        <w:t>5. Ejecución del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03_Backend/pmp-api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run dev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Verificaciones disponibles: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http://127.0.0.1:4000/api/health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http://127.0.0.1:4000/docs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backend requiere que DATABASE_URL y FIREBASE_SERVICE_ACCOUNT_PATH estén configuradas antes de iniciar.</w:t>
      </w:r>
    </w:p>
    <w:p>
      <w:pPr>
        <w:pStyle w:val="Heading1"/>
        <w:keepNext/>
      </w:pPr>
      <w:r>
        <w:t>6. Ejecución del frontend web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04_Frontend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run dev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interfaz queda disponible normalmente en http://127.0.0.1:5173. La URL puede variar si Vite selecciona otro puerto.</w:t>
      </w:r>
    </w:p>
    <w:p>
      <w:pPr>
        <w:pStyle w:val="Heading1"/>
        <w:keepNext/>
      </w:pPr>
      <w:r>
        <w:t>7. Preparación del motor 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06_ModelosIA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py -3.10 -m venv .venv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.venv\Scripts\python -m pip install -r requirements.txt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.venv\Scripts\python -c "import psycopg2; print(psycopg2.__version__)"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backend invoca analyzer.py automáticamente cuando un usuario autorizado consulta GET /api/ai/predictive-report. El entorno debe ubicarse exactamente en 06_ModelosIA/.venv.</w:t>
      </w:r>
    </w:p>
    <w:p>
      <w:pPr>
        <w:pStyle w:val="Heading1"/>
        <w:keepNext/>
      </w:pPr>
      <w:r>
        <w:t>8. Ejecución de la aplicación móvil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07_Mobile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start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/>
          <w:i w:val="0"/>
          <w:color w:val="17212B"/>
        </w:rPr>
        <w:t>La aplicación móvil utiliza Expo SDK 57.0.22. Para desarrollo puede iniciarse con npm start / npx expo start y el dispositivo debe alcanzar la URL de la API definida por el proyecto. La exportación de bundles Android/iOS valida compilación, pero no equivale a un APK/IPA firmado ni a una prueba física.</w:t>
      </w:r>
    </w:p>
    <w:p>
      <w:pPr>
        <w:pStyle w:val="Heading1"/>
        <w:keepNext/>
      </w:pPr>
      <w:r>
        <w:t>9. Verificación y pruebas no destructivas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03_Backend/pmp-api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test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cd ../../04_Frontend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test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run build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/>
          <w:i w:val="0"/>
          <w:color w:val="17212B"/>
        </w:rPr>
        <w:t>Resultados vigentes: backend 56/56 y frontend 62/62; build web correcto; exportación Expo Android/iOS SDK 57 completada; E2E de requerimientos/activos/recepción, escaneo, logística y Bridge aprobados. El recorrido final con lector físico y teléfono debe documentarse por separado.</w:t>
      </w:r>
    </w:p>
    <w:p>
      <w:pPr>
        <w:pStyle w:val="Heading1"/>
        <w:keepNext/>
      </w:pPr>
      <w:r>
        <w:t>10. Ejecución local de componentes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ejecución local integra frontend, backend, PostgreSQL y el entorno Python de IA mediante procesos separados. Cada componente utiliza variables locales y rutas de credenciales externas al repositorio.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12B2B"/>
          <w:left w:val="single" w:sz="8" w:space="0" w:color="A12B2B"/>
          <w:bottom w:val="single" w:sz="8" w:space="0" w:color="A12B2B"/>
          <w:right w:val="single" w:sz="8" w:space="0" w:color="A12B2B"/>
          <w:insideH w:val="single" w:sz="8" w:space="0" w:color="A12B2B"/>
          <w:insideV w:val="single" w:sz="8" w:space="0" w:color="A12B2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EEE"/>
          </w:tcPr>
          <w:p>
            <w:pPr>
              <w:spacing w:after="40"/>
            </w:pPr>
            <w:r>
              <w:t>Estado actual</w:t>
              <w:br/>
              <w:t>Ejecución validada con PostgreSQL, API Node/Express, Python, Vite y Expo SDK 57. El modelo vigente separa activos, requerimientos, Bridge como correlación, recepción inicial sin OS y despacho physical-first con IN independiente.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Operación segura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Mantener .env y credenciales fuera del repositorio.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Usar una cuenta y base de prueba para scripts destructivos.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No imprimir tokens, contraseñas, claves privadas ni cadenas de conexión.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Respaldar PostgreSQL antes de migraciones y conservar rollback.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Verificar health, autenticación y /api/auth/me después de cambios de identidad.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No utilizar Custom Claims como autoridad del rol.</w:t>
      </w:r>
    </w:p>
    <w:p>
      <w:pPr>
        <w:pStyle w:val="Heading1"/>
        <w:keepNext/>
      </w:pPr>
      <w:r>
        <w:t>12. Solución de problemas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Síntoma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Acción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Backend no inicia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Revisar variables, credencial Firebase y conexión PostgreSQL.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401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Token ausente, inválido, expirado o revocado.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403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Usuario ausente/inactivo, rol sin permiso o gerente intentando escribir.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IA 503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Verificar 06_ModelosIA/.venv, requirements y conexión PostgreSQL.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Frontend sin datos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Revisar VITE_API_URL/VITE_CORE_URL, CORS y backend 4000.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Mobile sin conexión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Confirmar que dispositivo e API comparten red y que la URL no sea localhost del teléfono.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Restauración falla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Confirmar que el respaldo es formato PGDMP y utilizar pg_restore.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Checklist de despliegue</w:t>
      </w:r>
    </w:p>
    <w:p>
      <w:pPr>
        <w:pStyle w:val="ListBullet"/>
      </w:pPr>
      <w:r>
        <w:rPr>
          <w:rFonts w:ascii="Calibri" w:hAnsi="Calibri"/>
          <w:color w:val="17212B"/>
        </w:rPr>
        <w:t>Base restaurada y migraciones 003–006 validadas/aplicadas en orden.</w:t>
      </w:r>
    </w:p>
    <w:p>
      <w:pPr>
        <w:pStyle w:val="ListBullet"/>
      </w:pPr>
      <w:r>
        <w:rPr>
          <w:rFonts w:ascii="Calibri" w:hAnsi="Calibri"/>
          <w:color w:val="17212B"/>
        </w:rPr>
        <w:t>Variables configuradas sin exponer secretos.</w:t>
      </w:r>
    </w:p>
    <w:p>
      <w:pPr>
        <w:pStyle w:val="ListBullet"/>
      </w:pPr>
      <w:r>
        <w:rPr>
          <w:rFonts w:ascii="Calibri" w:hAnsi="Calibri"/>
          <w:color w:val="17212B"/>
        </w:rPr>
        <w:t>Backend y frontend saludables; /api/health y /api/auth/me verificados.</w:t>
      </w:r>
    </w:p>
    <w:p>
      <w:pPr>
        <w:pStyle w:val="ListBullet"/>
      </w:pPr>
      <w:r>
        <w:rPr>
          <w:rFonts w:ascii="Calibri" w:hAnsi="Calibri"/>
          <w:color w:val="17212B"/>
        </w:rPr>
        <w:t>IA importa psycopg2 y responde de forma controlada.</w:t>
      </w:r>
    </w:p>
    <w:p>
      <w:pPr>
        <w:pStyle w:val="ListBullet"/>
      </w:pPr>
      <w:r>
        <w:rPr>
          <w:rFonts w:ascii="Calibri" w:hAnsi="Calibri"/>
          <w:color w:val="17212B"/>
        </w:rPr>
        <w:t>Pruebas automatizadas 56/56 backend y 62/62 frontend aprobadas; E2E vigentes correctos.</w:t>
      </w:r>
    </w:p>
    <w:p>
      <w:pPr>
        <w:pStyle w:val="ListBullet"/>
      </w:pPr>
      <w:r>
        <w:rPr>
          <w:rFonts w:ascii="Calibri" w:hAnsi="Calibri"/>
          <w:color w:val="17212B"/>
        </w:rPr>
        <w:t>Expo SDK 57 exporta Android/iOS; ejecutar además la validación manual con dispositivo y lector.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Manual Técnico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