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600"/>
        <w:jc w:val="center"/>
      </w:pPr>
      <w:r>
        <w:drawing>
          <wp:inline xmlns:a="http://schemas.openxmlformats.org/drawingml/2006/main" xmlns:pic="http://schemas.openxmlformats.org/drawingml/2006/picture">
            <wp:extent cx="3337560" cy="925651"/>
            <wp:docPr id="1" name="Picture 1" descr="Logotipo horizontal oficial de PMP Suite" title="Logotipo horizontal oficial de PMP Suite"/>
            <wp:cNvGraphicFramePr>
              <a:graphicFrameLocks noChangeAspect="1"/>
            </wp:cNvGraphicFramePr>
            <a:graphic>
              <a:graphicData uri="http://schemas.openxmlformats.org/drawingml/2006/picture">
                <pic:pic>
                  <pic:nvPicPr>
                    <pic:cNvPr id="0" name="PMP_Suite_Logo_Horizontal_Color_1024.png"/>
                    <pic:cNvPicPr/>
                  </pic:nvPicPr>
                  <pic:blipFill>
                    <a:blip r:embed="rId11"/>
                    <a:stretch>
                      <a:fillRect/>
                    </a:stretch>
                  </pic:blipFill>
                  <pic:spPr>
                    <a:xfrm>
                      <a:off x="0" y="0"/>
                      <a:ext cx="3337560" cy="925651"/>
                    </a:xfrm>
                    <a:prstGeom prst="rect"/>
                  </pic:spPr>
                </pic:pic>
              </a:graphicData>
            </a:graphic>
          </wp:inline>
        </w:drawing>
      </w:r>
    </w:p>
    <w:p>
      <w:pPr>
        <w:spacing w:after="280"/>
        <w:jc w:val="center"/>
      </w:pPr>
      <w:r>
        <w:rPr>
          <w:rFonts w:ascii="Calibri" w:hAnsi="Calibri" w:eastAsia="Calibri"/>
          <w:b/>
          <w:color w:val="007E7A"/>
          <w:sz w:val="20"/>
        </w:rPr>
        <w:t>METODOLOGÍA TRADICIONAL · CASCADA</w:t>
      </w:r>
    </w:p>
    <w:p>
      <w:pPr>
        <w:spacing w:after="160"/>
        <w:jc w:val="center"/>
      </w:pPr>
      <w:r>
        <w:rPr>
          <w:rFonts w:ascii="Calibri" w:hAnsi="Calibri" w:eastAsia="Calibri"/>
          <w:b/>
          <w:color w:val="0D1B2A"/>
          <w:sz w:val="56"/>
        </w:rPr>
        <w:t>Documento de Inicio del Proyecto</w:t>
      </w:r>
    </w:p>
    <w:p>
      <w:pPr>
        <w:spacing w:after="680"/>
        <w:jc w:val="center"/>
      </w:pPr>
      <w:r>
        <w:rPr>
          <w:rFonts w:ascii="Calibri" w:hAnsi="Calibri" w:eastAsia="Calibri"/>
          <w:color w:val="5F6B76"/>
          <w:sz w:val="27"/>
        </w:rPr>
        <w:t>Definición, alcance y planificación del Proyecto APT</w:t>
      </w:r>
    </w:p>
    <w:tbl>
      <w:tblPr>
        <w:tblStyle w:val="TableGrid"/>
        <w:tblW w:type="dxa" w:w="9360"/>
        <w:jc w:val="left"/>
        <w:tblLayout w:type="fixed"/>
        <w:tblLook w:firstColumn="1" w:firstRow="1" w:lastColumn="0" w:lastRow="0" w:noHBand="0" w:noVBand="1" w:val="04A0"/>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Pr>
      <w:tblGrid>
        <w:gridCol w:w="2700"/>
        <w:gridCol w:w="6660"/>
      </w:tblGrid>
      <w:tr>
        <w:tc>
          <w:tcPr>
            <w:tcW w:type="dxa" w:w="2700"/>
            <w:tcMar>
              <w:top w:w="80" w:type="dxa"/>
              <w:start w:w="120" w:type="dxa"/>
              <w:bottom w:w="80" w:type="dxa"/>
              <w:end w:w="120" w:type="dxa"/>
            </w:tcMar>
            <w:vAlign w:val="center"/>
            <w:shd w:fill="EAF2FB"/>
          </w:tcPr>
          <w:p>
            <w:pPr>
              <w:spacing w:after="0"/>
            </w:pPr>
            <w:r>
              <w:rPr>
                <w:rFonts w:ascii="Calibri" w:hAnsi="Calibri" w:eastAsia="Calibri"/>
                <w:b/>
                <w:color w:val="0D1B2A"/>
                <w:sz w:val="19"/>
              </w:rPr>
              <w:t>Documento</w:t>
            </w:r>
          </w:p>
        </w:tc>
        <w:tc>
          <w:tcPr>
            <w:tcW w:type="dxa" w:w="6660"/>
            <w:tcMar>
              <w:top w:w="80" w:type="dxa"/>
              <w:start w:w="120" w:type="dxa"/>
              <w:bottom w:w="80" w:type="dxa"/>
              <w:end w:w="120" w:type="dxa"/>
            </w:tcMar>
            <w:vAlign w:val="center"/>
          </w:tcPr>
          <w:p>
            <w:pPr>
              <w:spacing w:after="0"/>
            </w:pPr>
            <w:r>
              <w:rPr>
                <w:rFonts w:ascii="Calibri" w:hAnsi="Calibri" w:eastAsia="Calibri"/>
                <w:color w:val="17212B"/>
                <w:sz w:val="19"/>
              </w:rPr>
              <w:t>Documento de Inicio de Proyecto</w:t>
            </w:r>
          </w:p>
        </w:tc>
      </w:tr>
      <w:tr>
        <w:tc>
          <w:tcPr>
            <w:tcW w:type="dxa" w:w="2700"/>
            <w:tcMar>
              <w:top w:w="80" w:type="dxa"/>
              <w:start w:w="120" w:type="dxa"/>
              <w:bottom w:w="80" w:type="dxa"/>
              <w:end w:w="120" w:type="dxa"/>
            </w:tcMar>
            <w:vAlign w:val="center"/>
            <w:shd w:fill="EAF2FB"/>
          </w:tcPr>
          <w:p>
            <w:pPr>
              <w:spacing w:after="0"/>
            </w:pPr>
            <w:r>
              <w:rPr>
                <w:rFonts w:ascii="Calibri" w:hAnsi="Calibri" w:eastAsia="Calibri"/>
                <w:b/>
                <w:color w:val="0D1B2A"/>
                <w:sz w:val="19"/>
              </w:rPr>
              <w:t>Versión</w:t>
            </w:r>
          </w:p>
        </w:tc>
        <w:tc>
          <w:tcPr>
            <w:tcW w:type="dxa" w:w="6660"/>
            <w:tcMar>
              <w:top w:w="80" w:type="dxa"/>
              <w:start w:w="120" w:type="dxa"/>
              <w:bottom w:w="80" w:type="dxa"/>
              <w:end w:w="120" w:type="dxa"/>
            </w:tcMar>
            <w:vAlign w:val="center"/>
          </w:tcPr>
          <w:p>
            <w:pPr>
              <w:spacing w:after="0"/>
            </w:pPr>
            <w:r>
              <w:rPr>
                <w:rFonts w:ascii="Calibri" w:hAnsi="Calibri" w:eastAsia="Calibri"/>
                <w:color w:val="17212B"/>
                <w:sz w:val="19"/>
              </w:rPr>
              <w:t>1.0 · Base documental Cascada</w:t>
            </w:r>
          </w:p>
        </w:tc>
      </w:tr>
      <w:tr>
        <w:tc>
          <w:tcPr>
            <w:tcW w:type="dxa" w:w="2700"/>
            <w:tcMar>
              <w:top w:w="80" w:type="dxa"/>
              <w:start w:w="120" w:type="dxa"/>
              <w:bottom w:w="80" w:type="dxa"/>
              <w:end w:w="120" w:type="dxa"/>
            </w:tcMar>
            <w:vAlign w:val="center"/>
            <w:shd w:fill="EAF2FB"/>
          </w:tcPr>
          <w:p>
            <w:pPr>
              <w:spacing w:after="0"/>
            </w:pPr>
            <w:r>
              <w:rPr>
                <w:rFonts w:ascii="Calibri" w:hAnsi="Calibri" w:eastAsia="Calibri"/>
                <w:b/>
                <w:color w:val="0D1B2A"/>
                <w:sz w:val="19"/>
              </w:rPr>
              <w:t>Fecha</w:t>
            </w:r>
          </w:p>
        </w:tc>
        <w:tc>
          <w:tcPr>
            <w:tcW w:type="dxa" w:w="6660"/>
            <w:tcMar>
              <w:top w:w="80" w:type="dxa"/>
              <w:start w:w="120" w:type="dxa"/>
              <w:bottom w:w="80" w:type="dxa"/>
              <w:end w:w="120" w:type="dxa"/>
            </w:tcMar>
            <w:vAlign w:val="center"/>
          </w:tcPr>
          <w:p>
            <w:pPr>
              <w:spacing w:after="0"/>
            </w:pPr>
            <w:r>
              <w:rPr>
                <w:rFonts w:ascii="Calibri" w:hAnsi="Calibri" w:eastAsia="Calibri"/>
                <w:color w:val="17212B"/>
                <w:sz w:val="19"/>
              </w:rPr>
              <w:t>16 de agosto de 2026</w:t>
            </w:r>
          </w:p>
        </w:tc>
      </w:tr>
      <w:tr>
        <w:tc>
          <w:tcPr>
            <w:tcW w:type="dxa" w:w="2700"/>
            <w:tcMar>
              <w:top w:w="80" w:type="dxa"/>
              <w:start w:w="120" w:type="dxa"/>
              <w:bottom w:w="80" w:type="dxa"/>
              <w:end w:w="120" w:type="dxa"/>
            </w:tcMar>
            <w:vAlign w:val="center"/>
            <w:shd w:fill="EAF2FB"/>
          </w:tcPr>
          <w:p>
            <w:pPr>
              <w:spacing w:after="0"/>
            </w:pPr>
            <w:r>
              <w:rPr>
                <w:rFonts w:ascii="Calibri" w:hAnsi="Calibri" w:eastAsia="Calibri"/>
                <w:b/>
                <w:color w:val="0D1B2A"/>
                <w:sz w:val="19"/>
              </w:rPr>
              <w:t>Equipo</w:t>
            </w:r>
          </w:p>
        </w:tc>
        <w:tc>
          <w:tcPr>
            <w:tcW w:type="dxa" w:w="6660"/>
            <w:tcMar>
              <w:top w:w="80" w:type="dxa"/>
              <w:start w:w="120" w:type="dxa"/>
              <w:bottom w:w="80" w:type="dxa"/>
              <w:end w:w="120" w:type="dxa"/>
            </w:tcMar>
            <w:vAlign w:val="center"/>
          </w:tcPr>
          <w:p>
            <w:pPr>
              <w:spacing w:after="0"/>
            </w:pPr>
            <w:r>
              <w:rPr>
                <w:rFonts w:ascii="Calibri" w:hAnsi="Calibri" w:eastAsia="Calibri"/>
                <w:color w:val="17212B"/>
                <w:sz w:val="19"/>
              </w:rPr>
              <w:t>Rafael Oteiza · Matías Garrido · Luis Arenas</w:t>
            </w:r>
          </w:p>
        </w:tc>
      </w:tr>
      <w:tr>
        <w:tc>
          <w:tcPr>
            <w:tcW w:type="dxa" w:w="2700"/>
            <w:tcMar>
              <w:top w:w="80" w:type="dxa"/>
              <w:start w:w="120" w:type="dxa"/>
              <w:bottom w:w="80" w:type="dxa"/>
              <w:end w:w="120" w:type="dxa"/>
            </w:tcMar>
            <w:vAlign w:val="center"/>
            <w:shd w:fill="EAF2FB"/>
          </w:tcPr>
          <w:p>
            <w:pPr>
              <w:spacing w:after="0"/>
            </w:pPr>
            <w:r>
              <w:rPr>
                <w:rFonts w:ascii="Calibri" w:hAnsi="Calibri" w:eastAsia="Calibri"/>
                <w:b/>
                <w:color w:val="0D1B2A"/>
                <w:sz w:val="19"/>
              </w:rPr>
              <w:t>Estado</w:t>
            </w:r>
          </w:p>
        </w:tc>
        <w:tc>
          <w:tcPr>
            <w:tcW w:type="dxa" w:w="6660"/>
            <w:tcMar>
              <w:top w:w="80" w:type="dxa"/>
              <w:start w:w="120" w:type="dxa"/>
              <w:bottom w:w="80" w:type="dxa"/>
              <w:end w:w="120" w:type="dxa"/>
            </w:tcMar>
            <w:vAlign w:val="center"/>
          </w:tcPr>
          <w:p>
            <w:pPr>
              <w:spacing w:after="0"/>
            </w:pPr>
            <w:r>
              <w:rPr>
                <w:rFonts w:ascii="Calibri" w:hAnsi="Calibri" w:eastAsia="Calibri"/>
                <w:color w:val="17212B"/>
                <w:sz w:val="19"/>
              </w:rPr>
              <w:t>Base para revisión y validación docente</w:t>
            </w:r>
          </w:p>
        </w:tc>
      </w:tr>
    </w:tbl>
    <w:p>
      <w:pPr>
        <w:spacing w:after="440"/>
      </w:pPr>
    </w:p>
    <w:p>
      <w:pPr>
        <w:jc w:val="center"/>
      </w:pPr>
      <w:r>
        <w:rPr>
          <w:rFonts w:ascii="Calibri" w:hAnsi="Calibri" w:eastAsia="Calibri"/>
          <w:i/>
          <w:color w:val="5F6B76"/>
          <w:sz w:val="19"/>
        </w:rPr>
        <w:t>PMP Suite · Tecnología que mantiene tu operación en movimiento</w:t>
      </w:r>
    </w:p>
    <w:p>
      <w:r>
        <w:br w:type="page"/>
      </w:r>
    </w:p>
    <w:p>
      <w:pPr>
        <w:pStyle w:val="Heading1"/>
        <w:keepNext/>
      </w:pPr>
      <w:r>
        <w:t>Contenido</w:t>
      </w:r>
    </w:p>
    <w:tbl>
      <w:tblPr>
        <w:tblW w:type="dxa" w:w="9360"/>
        <w:jc w:val="left"/>
        <w:tblLayout w:type="fixed"/>
        <w:tblLook w:firstColumn="1" w:firstRow="1" w:lastColumn="0" w:lastRow="0" w:noHBand="0" w:noVBand="1" w:val="04A0"/>
        <w:tblInd w:w="120" w:type="dxa"/>
        <w:tblBorders>
          <w:top w:val="single" w:sz="8" w:space="0" w:color="1565C0"/>
          <w:left w:val="single" w:sz="8" w:space="0" w:color="1565C0"/>
          <w:bottom w:val="single" w:sz="8" w:space="0" w:color="1565C0"/>
          <w:right w:val="single" w:sz="8" w:space="0" w:color="1565C0"/>
          <w:insideH w:val="single" w:sz="8" w:space="0" w:color="1565C0"/>
          <w:insideV w:val="single" w:sz="8" w:space="0" w:color="1565C0"/>
        </w:tblBorders>
      </w:tblPr>
      <w:tblGrid>
        <w:gridCol w:w="9360"/>
      </w:tblGrid>
      <w:tr>
        <w:tc>
          <w:tcPr>
            <w:tcW w:type="dxa" w:w="9360"/>
            <w:tcMar>
              <w:top w:w="80" w:type="dxa"/>
              <w:start w:w="120" w:type="dxa"/>
              <w:bottom w:w="80" w:type="dxa"/>
              <w:end w:w="120" w:type="dxa"/>
            </w:tcMar>
            <w:vAlign w:val="center"/>
            <w:shd w:fill="EAF2FB"/>
          </w:tcPr>
          <w:p>
            <w:pPr>
              <w:spacing w:after="40"/>
            </w:pPr>
            <w:r>
              <w:rPr>
                <w:rFonts w:ascii="Calibri" w:hAnsi="Calibri" w:eastAsia="Calibri"/>
                <w:b/>
                <w:color w:val="1565C0"/>
                <w:sz w:val="21"/>
              </w:rPr>
              <w:t>Estructura del documento</w:t>
            </w:r>
          </w:p>
          <w:p>
            <w:pPr>
              <w:spacing w:after="0"/>
            </w:pPr>
            <w:r>
              <w:rPr>
                <w:rFonts w:ascii="Calibri" w:hAnsi="Calibri" w:eastAsia="Calibri"/>
                <w:color w:val="17212B"/>
                <w:sz w:val="20"/>
              </w:rPr>
              <w:t>El contenido está organizado según los artefactos exigidos para un proyecto APT con metodología tradicional.</w:t>
            </w:r>
          </w:p>
        </w:tc>
      </w:tr>
    </w:tbl>
    <w:p>
      <w:pPr>
        <w:spacing w:after="40"/>
      </w:pPr>
    </w:p>
    <w:p>
      <w:pPr>
        <w:pStyle w:val="ListNumber"/>
      </w:pPr>
      <w:r>
        <w:rPr>
          <w:rFonts w:ascii="Calibri" w:hAnsi="Calibri" w:eastAsia="Calibri"/>
          <w:color w:val="17212B"/>
        </w:rPr>
        <w:t>Resumen ejecutivo</w:t>
      </w:r>
    </w:p>
    <w:p>
      <w:pPr>
        <w:pStyle w:val="ListNumber"/>
      </w:pPr>
      <w:r>
        <w:rPr>
          <w:rFonts w:ascii="Calibri" w:hAnsi="Calibri" w:eastAsia="Calibri"/>
          <w:color w:val="17212B"/>
        </w:rPr>
        <w:t>Problema y oportunidad</w:t>
      </w:r>
    </w:p>
    <w:p>
      <w:pPr>
        <w:pStyle w:val="ListNumber"/>
      </w:pPr>
      <w:r>
        <w:rPr>
          <w:rFonts w:ascii="Calibri" w:hAnsi="Calibri" w:eastAsia="Calibri"/>
          <w:color w:val="17212B"/>
        </w:rPr>
        <w:t>Objetivos</w:t>
      </w:r>
    </w:p>
    <w:p>
      <w:pPr>
        <w:pStyle w:val="ListNumber"/>
      </w:pPr>
      <w:r>
        <w:rPr>
          <w:rFonts w:ascii="Calibri" w:hAnsi="Calibri" w:eastAsia="Calibri"/>
          <w:color w:val="17212B"/>
        </w:rPr>
        <w:t>Usuarios y stakeholders</w:t>
      </w:r>
    </w:p>
    <w:p>
      <w:pPr>
        <w:pStyle w:val="ListNumber"/>
      </w:pPr>
      <w:r>
        <w:rPr>
          <w:rFonts w:ascii="Calibri" w:hAnsi="Calibri" w:eastAsia="Calibri"/>
          <w:color w:val="17212B"/>
        </w:rPr>
        <w:t>Alcance del MVP académico</w:t>
      </w:r>
    </w:p>
    <w:p>
      <w:pPr>
        <w:pStyle w:val="ListNumber"/>
      </w:pPr>
      <w:r>
        <w:rPr>
          <w:rFonts w:ascii="Calibri" w:hAnsi="Calibri" w:eastAsia="Calibri"/>
          <w:color w:val="17212B"/>
        </w:rPr>
        <w:t>Restricciones y supuestos</w:t>
      </w:r>
    </w:p>
    <w:p>
      <w:pPr>
        <w:pStyle w:val="ListNumber"/>
      </w:pPr>
      <w:r>
        <w:rPr>
          <w:rFonts w:ascii="Calibri" w:hAnsi="Calibri" w:eastAsia="Calibri"/>
          <w:color w:val="17212B"/>
        </w:rPr>
        <w:t>Justificación</w:t>
      </w:r>
    </w:p>
    <w:p>
      <w:pPr>
        <w:pStyle w:val="ListNumber"/>
      </w:pPr>
      <w:r>
        <w:rPr>
          <w:rFonts w:ascii="Calibri" w:hAnsi="Calibri" w:eastAsia="Calibri"/>
          <w:color w:val="17212B"/>
        </w:rPr>
        <w:t>Metodología Cascada</w:t>
      </w:r>
    </w:p>
    <w:p>
      <w:pPr>
        <w:pStyle w:val="ListNumber"/>
      </w:pPr>
      <w:r>
        <w:rPr>
          <w:rFonts w:ascii="Calibri" w:hAnsi="Calibri" w:eastAsia="Calibri"/>
          <w:color w:val="17212B"/>
        </w:rPr>
        <w:t>Planificación y riesgos</w:t>
      </w:r>
    </w:p>
    <w:p>
      <w:pPr>
        <w:pStyle w:val="ListNumber"/>
      </w:pPr>
      <w:r>
        <w:rPr>
          <w:rFonts w:ascii="Calibri" w:hAnsi="Calibri" w:eastAsia="Calibri"/>
          <w:color w:val="17212B"/>
        </w:rPr>
        <w:t>Innovación</w:t>
      </w:r>
    </w:p>
    <w:p>
      <w:pPr>
        <w:pStyle w:val="ListNumber"/>
      </w:pPr>
      <w:r>
        <w:rPr>
          <w:rFonts w:ascii="Calibri" w:hAnsi="Calibri" w:eastAsia="Calibri"/>
          <w:color w:val="17212B"/>
        </w:rPr>
        <w:t>Criterios de éxito</w:t>
      </w:r>
    </w:p>
    <w:p>
      <w:r>
        <w:br w:type="page"/>
      </w:r>
    </w:p>
    <w:p>
      <w:pPr>
        <w:pStyle w:val="Heading1"/>
        <w:keepNext/>
      </w:pPr>
      <w:r>
        <w:t>1. Resumen ejecutivo</w:t>
      </w:r>
    </w:p>
    <w:p>
      <w:pPr>
        <w:spacing w:after="120"/>
        <w:jc w:val="left"/>
      </w:pPr>
      <w:r>
        <w:rPr>
          <w:rFonts w:ascii="Calibri" w:hAnsi="Calibri" w:eastAsia="Calibri"/>
          <w:i w:val="0"/>
          <w:color w:val="17212B"/>
        </w:rPr>
        <w:t>PMP Suite es una plataforma integral para gestionar y hacer trazable el ciclo de mantenimiento de validadores y consolas utilizados en el transporte público. El sistema conecta la operación de terreno, la recepción logística, el diagnóstico y reparación en laboratorio, la certificación de calidad, la gestión de repuestos, los despachos y la visualización gerencial.</w:t>
      </w:r>
    </w:p>
    <w:p>
      <w:pPr>
        <w:spacing w:after="120"/>
        <w:jc w:val="left"/>
      </w:pPr>
      <w:r>
        <w:rPr>
          <w:rFonts w:ascii="Calibri" w:hAnsi="Calibri" w:eastAsia="Calibri"/>
          <w:i w:val="0"/>
          <w:color w:val="17212B"/>
        </w:rPr>
        <w:t>El proyecto APT se desarrolla bajo un enfoque tradicional de Cascada, utilizando entregables verificables por etapa. Como existe una base funcional avanzada, el trabajo académico se concentra en formalizar requerimientos, consolidar el diseño, cerrar brechas técnicas, ejecutar pruebas reproducibles y producir documentación de instalación, despliegue y cierre.</w:t>
      </w:r>
    </w:p>
    <w:tbl>
      <w:tblPr>
        <w:tblW w:type="dxa" w:w="9360"/>
        <w:jc w:val="left"/>
        <w:tblLayout w:type="fixed"/>
        <w:tblLook w:firstColumn="1" w:firstRow="1" w:lastColumn="0" w:lastRow="0" w:noHBand="0" w:noVBand="1" w:val="04A0"/>
        <w:tblInd w:w="120" w:type="dxa"/>
        <w:tblBorders>
          <w:top w:val="single" w:sz="8" w:space="0" w:color="18864B"/>
          <w:left w:val="single" w:sz="8" w:space="0" w:color="18864B"/>
          <w:bottom w:val="single" w:sz="8" w:space="0" w:color="18864B"/>
          <w:right w:val="single" w:sz="8" w:space="0" w:color="18864B"/>
          <w:insideH w:val="single" w:sz="8" w:space="0" w:color="18864B"/>
          <w:insideV w:val="single" w:sz="8" w:space="0" w:color="18864B"/>
        </w:tblBorders>
      </w:tblPr>
      <w:tblGrid>
        <w:gridCol w:w="9360"/>
      </w:tblGrid>
      <w:tr>
        <w:tc>
          <w:tcPr>
            <w:tcW w:type="dxa" w:w="9360"/>
            <w:tcMar>
              <w:top w:w="80" w:type="dxa"/>
              <w:start w:w="120" w:type="dxa"/>
              <w:bottom w:w="80" w:type="dxa"/>
              <w:end w:w="120" w:type="dxa"/>
            </w:tcMar>
            <w:vAlign w:val="center"/>
            <w:shd w:fill="EAF8F7"/>
          </w:tcPr>
          <w:p>
            <w:pPr>
              <w:spacing w:after="40"/>
            </w:pPr>
            <w:r>
              <w:rPr>
                <w:rFonts w:ascii="Calibri" w:hAnsi="Calibri" w:eastAsia="Calibri"/>
                <w:b/>
                <w:color w:val="18864B"/>
                <w:sz w:val="21"/>
              </w:rPr>
              <w:t>Propósito del proyecto</w:t>
            </w:r>
          </w:p>
          <w:p>
            <w:pPr>
              <w:spacing w:after="0"/>
            </w:pPr>
            <w:r>
              <w:rPr>
                <w:rFonts w:ascii="Calibri" w:hAnsi="Calibri" w:eastAsia="Calibri"/>
                <w:color w:val="17212B"/>
                <w:sz w:val="20"/>
              </w:rPr>
              <w:t>Convertir un proceso operacional fragmentado en un flujo digital centralizado, auditable y medible, sin presentar como productivas integraciones o capacidades que todavía se encuentren en validación.</w:t>
            </w:r>
          </w:p>
        </w:tc>
      </w:tr>
    </w:tbl>
    <w:p>
      <w:pPr>
        <w:spacing w:after="40"/>
      </w:pPr>
    </w:p>
    <w:p>
      <w:pPr>
        <w:pStyle w:val="Heading1"/>
        <w:keepNext/>
      </w:pPr>
      <w:r>
        <w:t>2. Problema y oportunidad</w:t>
      </w:r>
    </w:p>
    <w:p>
      <w:pPr>
        <w:pStyle w:val="Heading2"/>
        <w:keepNext/>
      </w:pPr>
      <w:r>
        <w:t>2.1 Contexto operacional</w:t>
      </w:r>
    </w:p>
    <w:p>
      <w:pPr>
        <w:spacing w:after="120"/>
        <w:jc w:val="left"/>
      </w:pPr>
      <w:r>
        <w:rPr>
          <w:rFonts w:ascii="Calibri" w:hAnsi="Calibri" w:eastAsia="Calibri"/>
          <w:i w:val="0"/>
          <w:color w:val="17212B"/>
        </w:rPr>
        <w:t>El mantenimiento de activos tecnológicos de transporte público involucra múltiples responsables y ubicaciones. Un equipo puede ser retirado desde un bus, trasladado a bodega, diagnosticado y reparado en laboratorio, certificado por QA y posteriormente reincorporado a stock o instalado nuevamente. La información debe conservar continuidad durante todo el recorrido físico y lógico.</w:t>
      </w:r>
    </w:p>
    <w:p>
      <w:pPr>
        <w:pStyle w:val="Heading2"/>
        <w:keepNext/>
      </w:pPr>
      <w:r>
        <w:t>2.2 Problema identificado</w:t>
      </w:r>
    </w:p>
    <w:p>
      <w:pPr>
        <w:pStyle w:val="ListBullet"/>
      </w:pPr>
      <w:r>
        <w:rPr>
          <w:rFonts w:ascii="Calibri" w:hAnsi="Calibri" w:eastAsia="Calibri"/>
          <w:color w:val="17212B"/>
        </w:rPr>
        <w:t>Pérdida de trazabilidad al separar incidentes, movimientos físicos, reparaciones y decisiones de calidad.</w:t>
      </w:r>
    </w:p>
    <w:p>
      <w:pPr>
        <w:pStyle w:val="ListBullet"/>
      </w:pPr>
      <w:r>
        <w:rPr>
          <w:rFonts w:ascii="Calibri" w:hAnsi="Calibri" w:eastAsia="Calibri"/>
          <w:color w:val="17212B"/>
        </w:rPr>
        <w:t>Estados inconsistentes o transiciones no autorizadas entre terreno, bodega, laboratorio y QA.</w:t>
      </w:r>
    </w:p>
    <w:p>
      <w:pPr>
        <w:pStyle w:val="ListBullet"/>
      </w:pPr>
      <w:r>
        <w:rPr>
          <w:rFonts w:ascii="Calibri" w:hAnsi="Calibri" w:eastAsia="Calibri"/>
          <w:color w:val="17212B"/>
        </w:rPr>
        <w:t>Dificultad para vincular repuestos y diagnósticos con la orden de servicio y el equipo específico.</w:t>
      </w:r>
    </w:p>
    <w:p>
      <w:pPr>
        <w:pStyle w:val="ListBullet"/>
      </w:pPr>
      <w:r>
        <w:rPr>
          <w:rFonts w:ascii="Calibri" w:hAnsi="Calibri" w:eastAsia="Calibri"/>
          <w:color w:val="17212B"/>
        </w:rPr>
        <w:t>Visibilidad gerencial tardía sobre carga operacional, SLA, stock crítico y reincidencia de fallas.</w:t>
      </w:r>
    </w:p>
    <w:p>
      <w:pPr>
        <w:pStyle w:val="ListBullet"/>
      </w:pPr>
      <w:r>
        <w:rPr>
          <w:rFonts w:ascii="Calibri" w:hAnsi="Calibri" w:eastAsia="Calibri"/>
          <w:color w:val="17212B"/>
        </w:rPr>
        <w:t>Dependencia de registros manuales para reconstruir el historial de un activo.</w:t>
      </w:r>
    </w:p>
    <w:p>
      <w:pPr>
        <w:pStyle w:val="Heading2"/>
        <w:keepNext/>
      </w:pPr>
      <w:r>
        <w:t>2.3 Oportunidad</w:t>
      </w:r>
    </w:p>
    <w:p>
      <w:pPr>
        <w:spacing w:after="120"/>
        <w:jc w:val="left"/>
      </w:pPr>
      <w:r>
        <w:rPr>
          <w:rFonts w:ascii="Calibri" w:hAnsi="Calibri" w:eastAsia="Calibri"/>
          <w:i w:val="0"/>
          <w:color w:val="17212B"/>
        </w:rPr>
        <w:t>La oportunidad consiste en centralizar el flujo Bridge a mantenimiento en una única plataforma que aplique reglas de negocio, autorización por roles, historial inmutable y reportes consolidados. La capa predictiva complementa la operación al identificar equipos con patrones de riesgo a partir de datos históricos.</w:t>
      </w:r>
    </w:p>
    <w:p>
      <w:pPr>
        <w:pStyle w:val="Heading1"/>
        <w:keepNext/>
      </w:pPr>
      <w:r>
        <w:t>3. Objetivos</w:t>
      </w:r>
    </w:p>
    <w:p>
      <w:pPr>
        <w:pStyle w:val="Heading2"/>
        <w:keepNext/>
      </w:pPr>
      <w:r>
        <w:t>3.1 Objetivo general</w:t>
      </w:r>
    </w:p>
    <w:p>
      <w:pPr>
        <w:spacing w:after="120"/>
        <w:jc w:val="left"/>
      </w:pPr>
      <w:r>
        <w:rPr>
          <w:rFonts w:ascii="Calibri" w:hAnsi="Calibri" w:eastAsia="Calibri"/>
          <w:i w:val="0"/>
          <w:color w:val="17212B"/>
        </w:rPr>
        <w:t>Desarrollar, integrar y validar PMP Suite como una plataforma funcional que centralice y haga trazable el ciclo de mantenimiento de validadores y consolas del transporte público, apoyando la gestión operacional y la toma de decisiones.</w:t>
      </w:r>
    </w:p>
    <w:p>
      <w:pPr>
        <w:pStyle w:val="Heading2"/>
        <w:keepNext/>
      </w:pPr>
      <w:r>
        <w:t>3.2 Objetivos específicos</w:t>
      </w:r>
    </w:p>
    <w:p>
      <w:pPr>
        <w:spacing w:after="60"/>
        <w:ind w:left="403" w:hanging="317"/>
      </w:pPr>
      <w:r>
        <w:rPr>
          <w:rFonts w:ascii="Calibri" w:hAnsi="Calibri" w:eastAsia="Calibri"/>
          <w:b/>
          <w:color w:val="17212B"/>
        </w:rPr>
        <w:t xml:space="preserve">1.  </w:t>
      </w:r>
      <w:r>
        <w:rPr>
          <w:rFonts w:ascii="Calibri" w:hAnsi="Calibri" w:eastAsia="Calibri"/>
          <w:color w:val="17212B"/>
        </w:rPr>
        <w:t>Analizar y documentar la problemática, los actores, los requisitos y las reglas de negocio de los procesos priorizados.</w:t>
      </w:r>
    </w:p>
    <w:p>
      <w:pPr>
        <w:spacing w:after="60"/>
        <w:ind w:left="403" w:hanging="317"/>
      </w:pPr>
      <w:r>
        <w:rPr>
          <w:rFonts w:ascii="Calibri" w:hAnsi="Calibri" w:eastAsia="Calibri"/>
          <w:b/>
          <w:color w:val="17212B"/>
        </w:rPr>
        <w:t xml:space="preserve">2.  </w:t>
      </w:r>
      <w:r>
        <w:rPr>
          <w:rFonts w:ascii="Calibri" w:hAnsi="Calibri" w:eastAsia="Calibri"/>
          <w:color w:val="17212B"/>
        </w:rPr>
        <w:t>Diseñar la arquitectura de la solución y un modelo de datos relacional que asegure integridad, seguridad y trazabilidad.</w:t>
      </w:r>
    </w:p>
    <w:p>
      <w:pPr>
        <w:spacing w:after="60"/>
        <w:ind w:left="403" w:hanging="317"/>
      </w:pPr>
      <w:r>
        <w:rPr>
          <w:rFonts w:ascii="Calibri" w:hAnsi="Calibri" w:eastAsia="Calibri"/>
          <w:b/>
          <w:color w:val="17212B"/>
        </w:rPr>
        <w:t xml:space="preserve">3.  </w:t>
      </w:r>
      <w:r>
        <w:rPr>
          <w:rFonts w:ascii="Calibri" w:hAnsi="Calibri" w:eastAsia="Calibri"/>
          <w:color w:val="17212B"/>
        </w:rPr>
        <w:t>Consolidar los módulos de usuarios, Bridge, equipos, órdenes de servicio, logística, laboratorio, repuestos, QA, reportes e inteligencia operacional.</w:t>
      </w:r>
    </w:p>
    <w:p>
      <w:pPr>
        <w:spacing w:after="60"/>
        <w:ind w:left="403" w:hanging="317"/>
      </w:pPr>
      <w:r>
        <w:rPr>
          <w:rFonts w:ascii="Calibri" w:hAnsi="Calibri" w:eastAsia="Calibri"/>
          <w:b/>
          <w:color w:val="17212B"/>
        </w:rPr>
        <w:t xml:space="preserve">4.  </w:t>
      </w:r>
      <w:r>
        <w:rPr>
          <w:rFonts w:ascii="Calibri" w:hAnsi="Calibri" w:eastAsia="Calibri"/>
          <w:color w:val="17212B"/>
        </w:rPr>
        <w:t>Validar el sistema mediante pruebas unitarias, de integración, seguridad, roles, reglas de negocio y rendimiento controlado.</w:t>
      </w:r>
    </w:p>
    <w:p>
      <w:pPr>
        <w:spacing w:after="60"/>
        <w:ind w:left="403" w:hanging="317"/>
      </w:pPr>
      <w:r>
        <w:rPr>
          <w:rFonts w:ascii="Calibri" w:hAnsi="Calibri" w:eastAsia="Calibri"/>
          <w:b/>
          <w:color w:val="17212B"/>
        </w:rPr>
        <w:t xml:space="preserve">5.  </w:t>
      </w:r>
      <w:r>
        <w:rPr>
          <w:rFonts w:ascii="Calibri" w:hAnsi="Calibri" w:eastAsia="Calibri"/>
          <w:color w:val="17212B"/>
        </w:rPr>
        <w:t>Documentar el despliegue, los resultados, las limitaciones y las recomendaciones de continuidad.</w:t>
      </w:r>
    </w:p>
    <w:p>
      <w:r>
        <w:br w:type="page"/>
      </w:r>
    </w:p>
    <w:p>
      <w:pPr>
        <w:pStyle w:val="Heading1"/>
        <w:keepNext/>
      </w:pPr>
      <w:r>
        <w:t>4. Usuarios y stakeholders</w:t>
      </w:r>
    </w:p>
    <w:tbl>
      <w:tblPr>
        <w:tblStyle w:val="TableGrid"/>
        <w:tblW w:type="dxa" w:w="9360"/>
        <w:jc w:val="left"/>
        <w:tblLayout w:type="fixed"/>
        <w:tblLook w:firstColumn="1" w:firstRow="1" w:lastColumn="0" w:lastRow="0" w:noHBand="0" w:noVBand="1" w:val="04A0"/>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Pr>
      <w:tblGrid>
        <w:gridCol w:w="900"/>
        <w:gridCol w:w="1900"/>
        <w:gridCol w:w="5360"/>
        <w:gridCol w:w="1200"/>
      </w:tblGrid>
      <w:tr>
        <w:trPr>
          <w:tblHeader w:val="true"/>
        </w:trPr>
        <w:tc>
          <w:tcPr>
            <w:tcW w:type="dxa" w:w="900"/>
            <w:tcMar>
              <w:top w:w="80" w:type="dxa"/>
              <w:start w:w="120" w:type="dxa"/>
              <w:bottom w:w="80" w:type="dxa"/>
              <w:end w:w="120" w:type="dxa"/>
            </w:tcMar>
            <w:vAlign w:val="center"/>
            <w:shd w:fill="EAF2FB"/>
          </w:tcPr>
          <w:p>
            <w:pPr>
              <w:spacing w:after="0"/>
              <w:jc w:val="center"/>
            </w:pPr>
            <w:r>
              <w:rPr>
                <w:rFonts w:ascii="Calibri" w:hAnsi="Calibri" w:eastAsia="Calibri"/>
                <w:b/>
                <w:color w:val="0D1B2A"/>
                <w:sz w:val="17"/>
              </w:rPr>
              <w:t>ID</w:t>
            </w:r>
          </w:p>
        </w:tc>
        <w:tc>
          <w:tcPr>
            <w:tcW w:type="dxa" w:w="1900"/>
            <w:tcMar>
              <w:top w:w="80" w:type="dxa"/>
              <w:start w:w="120" w:type="dxa"/>
              <w:bottom w:w="80" w:type="dxa"/>
              <w:end w:w="120" w:type="dxa"/>
            </w:tcMar>
            <w:vAlign w:val="center"/>
            <w:shd w:fill="EAF2FB"/>
          </w:tcPr>
          <w:p>
            <w:pPr>
              <w:spacing w:after="0"/>
              <w:jc w:val="center"/>
            </w:pPr>
            <w:r>
              <w:rPr>
                <w:rFonts w:ascii="Calibri" w:hAnsi="Calibri" w:eastAsia="Calibri"/>
                <w:b/>
                <w:color w:val="0D1B2A"/>
                <w:sz w:val="17"/>
              </w:rPr>
              <w:t>Stakeholder</w:t>
            </w:r>
          </w:p>
        </w:tc>
        <w:tc>
          <w:tcPr>
            <w:tcW w:type="dxa" w:w="5360"/>
            <w:tcMar>
              <w:top w:w="80" w:type="dxa"/>
              <w:start w:w="120" w:type="dxa"/>
              <w:bottom w:w="80" w:type="dxa"/>
              <w:end w:w="120" w:type="dxa"/>
            </w:tcMar>
            <w:vAlign w:val="center"/>
            <w:shd w:fill="EAF2FB"/>
          </w:tcPr>
          <w:p>
            <w:pPr>
              <w:spacing w:after="0"/>
              <w:jc w:val="center"/>
            </w:pPr>
            <w:r>
              <w:rPr>
                <w:rFonts w:ascii="Calibri" w:hAnsi="Calibri" w:eastAsia="Calibri"/>
                <w:b/>
                <w:color w:val="0D1B2A"/>
                <w:sz w:val="17"/>
              </w:rPr>
              <w:t>Necesidad principal</w:t>
            </w:r>
          </w:p>
        </w:tc>
        <w:tc>
          <w:tcPr>
            <w:tcW w:type="dxa" w:w="1200"/>
            <w:tcMar>
              <w:top w:w="80" w:type="dxa"/>
              <w:start w:w="120" w:type="dxa"/>
              <w:bottom w:w="80" w:type="dxa"/>
              <w:end w:w="120" w:type="dxa"/>
            </w:tcMar>
            <w:vAlign w:val="center"/>
            <w:shd w:fill="EAF2FB"/>
          </w:tcPr>
          <w:p>
            <w:pPr>
              <w:spacing w:after="0"/>
              <w:jc w:val="center"/>
            </w:pPr>
            <w:r>
              <w:rPr>
                <w:rFonts w:ascii="Calibri" w:hAnsi="Calibri" w:eastAsia="Calibri"/>
                <w:b/>
                <w:color w:val="0D1B2A"/>
                <w:sz w:val="17"/>
              </w:rPr>
              <w:t>Influencia</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ST-01</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7212B"/>
                <w:sz w:val="17"/>
              </w:rPr>
              <w:t>Administrador</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17212B"/>
                <w:sz w:val="17"/>
              </w:rPr>
              <w:t>Supervisión global, asignaciones, usuarios y configuración.</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17212B"/>
                <w:sz w:val="17"/>
              </w:rPr>
              <w:t>Alta</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ST-02</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7212B"/>
                <w:sz w:val="17"/>
              </w:rPr>
              <w:t>Gerente</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17212B"/>
                <w:sz w:val="17"/>
              </w:rPr>
              <w:t>Lectura global de indicadores, trazabilidad, reportes e IA.</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17212B"/>
                <w:sz w:val="17"/>
              </w:rPr>
              <w:t>Alta</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ST-03</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7212B"/>
                <w:sz w:val="17"/>
              </w:rPr>
              <w:t>Logística</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17212B"/>
                <w:sz w:val="17"/>
              </w:rPr>
              <w:t>Bridge, recepción, despacho, inventario, repuestos y guías.</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17212B"/>
                <w:sz w:val="17"/>
              </w:rPr>
              <w:t>Alta</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ST-04</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7212B"/>
                <w:sz w:val="17"/>
              </w:rPr>
              <w:t>Técnico de terreno</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17212B"/>
                <w:sz w:val="17"/>
              </w:rPr>
              <w:t>Ejecución de intervenciones y órdenes asignadas desde móvil.</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17212B"/>
                <w:sz w:val="17"/>
              </w:rPr>
              <w:t>Alta</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ST-05</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7212B"/>
                <w:sz w:val="17"/>
              </w:rPr>
              <w:t>Técnico de laboratorio</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17212B"/>
                <w:sz w:val="17"/>
              </w:rPr>
              <w:t>Diagnóstico, reparación, pruebas y solicitudes de repuestos.</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17212B"/>
                <w:sz w:val="17"/>
              </w:rPr>
              <w:t>Alta</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ST-06</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7212B"/>
                <w:sz w:val="17"/>
              </w:rPr>
              <w:t>QA</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17212B"/>
                <w:sz w:val="17"/>
              </w:rPr>
              <w:t>Inspección, aprobación o rechazo de equipos asignados.</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17212B"/>
                <w:sz w:val="17"/>
              </w:rPr>
              <w:t>Alta</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ST-07</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7212B"/>
                <w:sz w:val="17"/>
              </w:rPr>
              <w:t>Docente/comisión</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17212B"/>
                <w:sz w:val="17"/>
              </w:rPr>
              <w:t>Evaluación de competencias, evidencias y demostración.</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17212B"/>
                <w:sz w:val="17"/>
              </w:rPr>
              <w:t>Alta</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ST-08</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7212B"/>
                <w:sz w:val="17"/>
              </w:rPr>
              <w:t>Organización usuaria futura</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17212B"/>
                <w:sz w:val="17"/>
              </w:rPr>
              <w:t>Continuidad operacional y posible adopción posterior.</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17212B"/>
                <w:sz w:val="17"/>
              </w:rPr>
              <w:t>Media</w:t>
            </w:r>
          </w:p>
        </w:tc>
      </w:tr>
    </w:tbl>
    <w:p>
      <w:pPr>
        <w:spacing w:after="20"/>
      </w:pPr>
    </w:p>
    <w:p>
      <w:pPr>
        <w:pStyle w:val="Heading1"/>
        <w:keepNext/>
      </w:pPr>
      <w:r>
        <w:t>5. Alcance del MVP académico</w:t>
      </w:r>
    </w:p>
    <w:p>
      <w:pPr>
        <w:pStyle w:val="Heading2"/>
        <w:keepNext/>
      </w:pPr>
      <w:r>
        <w:t>5.1 Incluido</w:t>
      </w:r>
    </w:p>
    <w:p>
      <w:pPr>
        <w:pStyle w:val="ListBullet"/>
      </w:pPr>
      <w:r>
        <w:rPr>
          <w:rFonts w:ascii="Calibri" w:hAnsi="Calibri" w:eastAsia="Calibri"/>
          <w:color w:val="17212B"/>
        </w:rPr>
        <w:t>Autenticación Firebase y validación del usuario activo y su rol desde PostgreSQL.</w:t>
      </w:r>
    </w:p>
    <w:p>
      <w:pPr>
        <w:pStyle w:val="ListBullet"/>
      </w:pPr>
      <w:r>
        <w:rPr>
          <w:rFonts w:ascii="Calibri" w:hAnsi="Calibri" w:eastAsia="Calibri"/>
          <w:color w:val="17212B"/>
        </w:rPr>
        <w:t>Seis roles oficiales: admin, gerente, logistica, qa, tecnico_laboratorio y tecnico_terreno.</w:t>
      </w:r>
    </w:p>
    <w:p>
      <w:pPr>
        <w:pStyle w:val="ListBullet"/>
      </w:pPr>
      <w:r>
        <w:rPr>
          <w:rFonts w:ascii="Calibri" w:hAnsi="Calibri" w:eastAsia="Calibri"/>
          <w:color w:val="17212B"/>
        </w:rPr>
        <w:t>Flujo Bridge de preparación, asignación, intervención en terreno y creación del mantenimiento.</w:t>
      </w:r>
    </w:p>
    <w:p>
      <w:pPr>
        <w:pStyle w:val="ListBullet"/>
      </w:pPr>
      <w:r>
        <w:rPr>
          <w:rFonts w:ascii="Calibri" w:hAnsi="Calibri" w:eastAsia="Calibri"/>
          <w:color w:val="17212B"/>
        </w:rPr>
        <w:t>Órdenes de servicio, estados, eventos y trazabilidad de validadores y consolas.</w:t>
      </w:r>
    </w:p>
    <w:p>
      <w:pPr>
        <w:pStyle w:val="ListBullet"/>
      </w:pPr>
      <w:r>
        <w:rPr>
          <w:rFonts w:ascii="Calibri" w:hAnsi="Calibri" w:eastAsia="Calibri"/>
          <w:color w:val="17212B"/>
        </w:rPr>
        <w:t>Recepción y despacho de bodega, stock y gestión de repuestos.</w:t>
      </w:r>
    </w:p>
    <w:p>
      <w:pPr>
        <w:pStyle w:val="ListBullet"/>
      </w:pPr>
      <w:r>
        <w:rPr>
          <w:rFonts w:ascii="Calibri" w:hAnsi="Calibri" w:eastAsia="Calibri"/>
          <w:color w:val="17212B"/>
        </w:rPr>
        <w:t>Asignación, diagnóstico, reparación y pruebas en laboratorio.</w:t>
      </w:r>
    </w:p>
    <w:p>
      <w:pPr>
        <w:pStyle w:val="ListBullet"/>
      </w:pPr>
      <w:r>
        <w:rPr>
          <w:rFonts w:ascii="Calibri" w:hAnsi="Calibri" w:eastAsia="Calibri"/>
          <w:color w:val="17212B"/>
        </w:rPr>
        <w:t>Certificación QA, devolución controlada y recepción del resultado.</w:t>
      </w:r>
    </w:p>
    <w:p>
      <w:pPr>
        <w:pStyle w:val="ListBullet"/>
      </w:pPr>
      <w:r>
        <w:rPr>
          <w:rFonts w:ascii="Calibri" w:hAnsi="Calibri" w:eastAsia="Calibri"/>
          <w:color w:val="17212B"/>
        </w:rPr>
        <w:t>Dashboards, indicadores, reportes, búsqueda y consulta de riesgo predictivo.</w:t>
      </w:r>
    </w:p>
    <w:p>
      <w:pPr>
        <w:pStyle w:val="ListBullet"/>
      </w:pPr>
      <w:r>
        <w:rPr>
          <w:rFonts w:ascii="Calibri" w:hAnsi="Calibri" w:eastAsia="Calibri"/>
          <w:color w:val="17212B"/>
        </w:rPr>
        <w:t>Frontend web y aplicación móvil enfocada en trabajo de terreno.</w:t>
      </w:r>
    </w:p>
    <w:p>
      <w:pPr>
        <w:pStyle w:val="Heading2"/>
        <w:keepNext/>
      </w:pPr>
      <w:r>
        <w:t>5.2 Fuera de alcance</w:t>
      </w:r>
    </w:p>
    <w:p>
      <w:pPr>
        <w:pStyle w:val="ListBullet"/>
      </w:pPr>
      <w:r>
        <w:rPr>
          <w:rFonts w:ascii="Calibri" w:hAnsi="Calibri" w:eastAsia="Calibri"/>
          <w:color w:val="17212B"/>
        </w:rPr>
        <w:t>Integración productiva directa con Aranda ITSM u otra plataforma externa; Bridge representa el contrato operacional interno.</w:t>
      </w:r>
    </w:p>
    <w:p>
      <w:pPr>
        <w:pStyle w:val="ListBullet"/>
      </w:pPr>
      <w:r>
        <w:rPr>
          <w:rFonts w:ascii="Calibri" w:hAnsi="Calibri" w:eastAsia="Calibri"/>
          <w:color w:val="17212B"/>
        </w:rPr>
        <w:t>Operación productiva definitiva en infraestructura de una organización real.</w:t>
      </w:r>
    </w:p>
    <w:p>
      <w:pPr>
        <w:pStyle w:val="ListBullet"/>
      </w:pPr>
      <w:r>
        <w:rPr>
          <w:rFonts w:ascii="Calibri" w:hAnsi="Calibri" w:eastAsia="Calibri"/>
          <w:color w:val="17212B"/>
        </w:rPr>
        <w:t>Publicación de la aplicación móvil en tiendas comerciales.</w:t>
      </w:r>
    </w:p>
    <w:p>
      <w:pPr>
        <w:pStyle w:val="ListBullet"/>
      </w:pPr>
      <w:r>
        <w:rPr>
          <w:rFonts w:ascii="Calibri" w:hAnsi="Calibri" w:eastAsia="Calibri"/>
          <w:color w:val="17212B"/>
        </w:rPr>
        <w:t>Reentrenamiento autónomo y continuo del modelo IA en producción.</w:t>
      </w:r>
    </w:p>
    <w:p>
      <w:pPr>
        <w:pStyle w:val="ListBullet"/>
      </w:pPr>
      <w:r>
        <w:rPr>
          <w:rFonts w:ascii="Calibri" w:hAnsi="Calibri" w:eastAsia="Calibri"/>
          <w:color w:val="17212B"/>
        </w:rPr>
        <w:t>Monitoreo empresarial 24/7, alta disponibilidad multirregión y soporte contractual.</w:t>
      </w:r>
    </w:p>
    <w:p>
      <w:pPr>
        <w:pStyle w:val="Heading1"/>
        <w:keepNext/>
      </w:pPr>
      <w:r>
        <w:t>6. Restricciones y supuestos</w:t>
      </w:r>
    </w:p>
    <w:tbl>
      <w:tblPr>
        <w:tblStyle w:val="TableGrid"/>
        <w:tblW w:type="dxa" w:w="9360"/>
        <w:jc w:val="left"/>
        <w:tblLayout w:type="fixed"/>
        <w:tblLook w:firstColumn="1" w:firstRow="1" w:lastColumn="0" w:lastRow="0" w:noHBand="0" w:noVBand="1" w:val="04A0"/>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Pr>
      <w:tblGrid>
        <w:gridCol w:w="1100"/>
        <w:gridCol w:w="1700"/>
        <w:gridCol w:w="6560"/>
      </w:tblGrid>
      <w:tr>
        <w:trPr>
          <w:tblHeader w:val="true"/>
        </w:trPr>
        <w:tc>
          <w:tcPr>
            <w:tcW w:type="dxa" w:w="1100"/>
            <w:tcMar>
              <w:top w:w="80" w:type="dxa"/>
              <w:start w:w="120" w:type="dxa"/>
              <w:bottom w:w="80" w:type="dxa"/>
              <w:end w:w="120" w:type="dxa"/>
            </w:tcMar>
            <w:vAlign w:val="center"/>
            <w:shd w:fill="EAF2FB"/>
          </w:tcPr>
          <w:p>
            <w:pPr>
              <w:spacing w:after="0"/>
              <w:jc w:val="center"/>
            </w:pPr>
            <w:r>
              <w:rPr>
                <w:rFonts w:ascii="Calibri" w:hAnsi="Calibri" w:eastAsia="Calibri"/>
                <w:b/>
                <w:color w:val="0D1B2A"/>
                <w:sz w:val="18"/>
              </w:rPr>
              <w:t>Código</w:t>
            </w:r>
          </w:p>
        </w:tc>
        <w:tc>
          <w:tcPr>
            <w:tcW w:type="dxa" w:w="1700"/>
            <w:tcMar>
              <w:top w:w="80" w:type="dxa"/>
              <w:start w:w="120" w:type="dxa"/>
              <w:bottom w:w="80" w:type="dxa"/>
              <w:end w:w="120" w:type="dxa"/>
            </w:tcMar>
            <w:vAlign w:val="center"/>
            <w:shd w:fill="EAF2FB"/>
          </w:tcPr>
          <w:p>
            <w:pPr>
              <w:spacing w:after="0"/>
              <w:jc w:val="center"/>
            </w:pPr>
            <w:r>
              <w:rPr>
                <w:rFonts w:ascii="Calibri" w:hAnsi="Calibri" w:eastAsia="Calibri"/>
                <w:b/>
                <w:color w:val="0D1B2A"/>
                <w:sz w:val="18"/>
              </w:rPr>
              <w:t>Tipo</w:t>
            </w:r>
          </w:p>
        </w:tc>
        <w:tc>
          <w:tcPr>
            <w:tcW w:type="dxa" w:w="6560"/>
            <w:tcMar>
              <w:top w:w="80" w:type="dxa"/>
              <w:start w:w="120" w:type="dxa"/>
              <w:bottom w:w="80" w:type="dxa"/>
              <w:end w:w="120" w:type="dxa"/>
            </w:tcMar>
            <w:vAlign w:val="center"/>
            <w:shd w:fill="EAF2FB"/>
          </w:tcPr>
          <w:p>
            <w:pPr>
              <w:spacing w:after="0"/>
              <w:jc w:val="center"/>
            </w:pPr>
            <w:r>
              <w:rPr>
                <w:rFonts w:ascii="Calibri" w:hAnsi="Calibri" w:eastAsia="Calibri"/>
                <w:b/>
                <w:color w:val="0D1B2A"/>
                <w:sz w:val="18"/>
              </w:rPr>
              <w:t>Descripción</w:t>
            </w:r>
          </w:p>
        </w:tc>
      </w:tr>
      <w:tr>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8"/>
              </w:rPr>
              <w:t>R-01</w:t>
            </w:r>
          </w:p>
        </w:tc>
        <w:tc>
          <w:tcPr>
            <w:tcW w:type="dxa" w:w="1700"/>
            <w:tcMar>
              <w:top w:w="80" w:type="dxa"/>
              <w:start w:w="120" w:type="dxa"/>
              <w:bottom w:w="80" w:type="dxa"/>
              <w:end w:w="120" w:type="dxa"/>
            </w:tcMar>
            <w:vAlign w:val="center"/>
          </w:tcPr>
          <w:p>
            <w:pPr>
              <w:spacing w:after="0" w:line="252" w:lineRule="auto"/>
            </w:pPr>
            <w:r>
              <w:rPr>
                <w:rFonts w:ascii="Calibri" w:hAnsi="Calibri" w:eastAsia="Calibri"/>
                <w:color w:val="17212B"/>
                <w:sz w:val="18"/>
              </w:rPr>
              <w:t>Tiempo</w:t>
            </w:r>
          </w:p>
        </w:tc>
        <w:tc>
          <w:tcPr>
            <w:tcW w:type="dxa" w:w="6560"/>
            <w:tcMar>
              <w:top w:w="80" w:type="dxa"/>
              <w:start w:w="120" w:type="dxa"/>
              <w:bottom w:w="80" w:type="dxa"/>
              <w:end w:w="120" w:type="dxa"/>
            </w:tcMar>
            <w:vAlign w:val="center"/>
          </w:tcPr>
          <w:p>
            <w:pPr>
              <w:spacing w:after="0" w:line="252" w:lineRule="auto"/>
            </w:pPr>
            <w:r>
              <w:rPr>
                <w:rFonts w:ascii="Calibri" w:hAnsi="Calibri" w:eastAsia="Calibri"/>
                <w:color w:val="17212B"/>
                <w:sz w:val="18"/>
              </w:rPr>
              <w:t>El trabajo debe completarse dentro de 18 semanas académicas.</w:t>
            </w:r>
          </w:p>
        </w:tc>
      </w:tr>
      <w:tr>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8"/>
              </w:rPr>
              <w:t>R-02</w:t>
            </w:r>
          </w:p>
        </w:tc>
        <w:tc>
          <w:tcPr>
            <w:tcW w:type="dxa" w:w="1700"/>
            <w:tcMar>
              <w:top w:w="80" w:type="dxa"/>
              <w:start w:w="120" w:type="dxa"/>
              <w:bottom w:w="80" w:type="dxa"/>
              <w:end w:w="120" w:type="dxa"/>
            </w:tcMar>
            <w:vAlign w:val="center"/>
          </w:tcPr>
          <w:p>
            <w:pPr>
              <w:spacing w:after="0" w:line="252" w:lineRule="auto"/>
            </w:pPr>
            <w:r>
              <w:rPr>
                <w:rFonts w:ascii="Calibri" w:hAnsi="Calibri" w:eastAsia="Calibri"/>
                <w:color w:val="17212B"/>
                <w:sz w:val="18"/>
              </w:rPr>
              <w:t>Equipo</w:t>
            </w:r>
          </w:p>
        </w:tc>
        <w:tc>
          <w:tcPr>
            <w:tcW w:type="dxa" w:w="6560"/>
            <w:tcMar>
              <w:top w:w="80" w:type="dxa"/>
              <w:start w:w="120" w:type="dxa"/>
              <w:bottom w:w="80" w:type="dxa"/>
              <w:end w:w="120" w:type="dxa"/>
            </w:tcMar>
            <w:vAlign w:val="center"/>
          </w:tcPr>
          <w:p>
            <w:pPr>
              <w:spacing w:after="0" w:line="252" w:lineRule="auto"/>
            </w:pPr>
            <w:r>
              <w:rPr>
                <w:rFonts w:ascii="Calibri" w:hAnsi="Calibri" w:eastAsia="Calibri"/>
                <w:color w:val="17212B"/>
                <w:sz w:val="18"/>
              </w:rPr>
              <w:t>Tres integrantes con responsabilidades principales diferenciadas.</w:t>
            </w:r>
          </w:p>
        </w:tc>
      </w:tr>
      <w:tr>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8"/>
              </w:rPr>
              <w:t>R-03</w:t>
            </w:r>
          </w:p>
        </w:tc>
        <w:tc>
          <w:tcPr>
            <w:tcW w:type="dxa" w:w="1700"/>
            <w:tcMar>
              <w:top w:w="80" w:type="dxa"/>
              <w:start w:w="120" w:type="dxa"/>
              <w:bottom w:w="80" w:type="dxa"/>
              <w:end w:w="120" w:type="dxa"/>
            </w:tcMar>
            <w:vAlign w:val="center"/>
          </w:tcPr>
          <w:p>
            <w:pPr>
              <w:spacing w:after="0" w:line="252" w:lineRule="auto"/>
            </w:pPr>
            <w:r>
              <w:rPr>
                <w:rFonts w:ascii="Calibri" w:hAnsi="Calibri" w:eastAsia="Calibri"/>
                <w:color w:val="17212B"/>
                <w:sz w:val="18"/>
              </w:rPr>
              <w:t>Datos</w:t>
            </w:r>
          </w:p>
        </w:tc>
        <w:tc>
          <w:tcPr>
            <w:tcW w:type="dxa" w:w="6560"/>
            <w:tcMar>
              <w:top w:w="80" w:type="dxa"/>
              <w:start w:w="120" w:type="dxa"/>
              <w:bottom w:w="80" w:type="dxa"/>
              <w:end w:w="120" w:type="dxa"/>
            </w:tcMar>
            <w:vAlign w:val="center"/>
          </w:tcPr>
          <w:p>
            <w:pPr>
              <w:spacing w:after="0" w:line="252" w:lineRule="auto"/>
            </w:pPr>
            <w:r>
              <w:rPr>
                <w:rFonts w:ascii="Calibri" w:hAnsi="Calibri" w:eastAsia="Calibri"/>
                <w:color w:val="17212B"/>
                <w:sz w:val="18"/>
              </w:rPr>
              <w:t>Uso de datos controlados, ficticios o anonimizados para pruebas.</w:t>
            </w:r>
          </w:p>
        </w:tc>
      </w:tr>
      <w:tr>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8"/>
              </w:rPr>
              <w:t>R-04</w:t>
            </w:r>
          </w:p>
        </w:tc>
        <w:tc>
          <w:tcPr>
            <w:tcW w:type="dxa" w:w="1700"/>
            <w:tcMar>
              <w:top w:w="80" w:type="dxa"/>
              <w:start w:w="120" w:type="dxa"/>
              <w:bottom w:w="80" w:type="dxa"/>
              <w:end w:w="120" w:type="dxa"/>
            </w:tcMar>
            <w:vAlign w:val="center"/>
          </w:tcPr>
          <w:p>
            <w:pPr>
              <w:spacing w:after="0" w:line="252" w:lineRule="auto"/>
            </w:pPr>
            <w:r>
              <w:rPr>
                <w:rFonts w:ascii="Calibri" w:hAnsi="Calibri" w:eastAsia="Calibri"/>
                <w:color w:val="17212B"/>
                <w:sz w:val="18"/>
              </w:rPr>
              <w:t>Infraestructura</w:t>
            </w:r>
          </w:p>
        </w:tc>
        <w:tc>
          <w:tcPr>
            <w:tcW w:type="dxa" w:w="6560"/>
            <w:tcMar>
              <w:top w:w="80" w:type="dxa"/>
              <w:start w:w="120" w:type="dxa"/>
              <w:bottom w:w="80" w:type="dxa"/>
              <w:end w:w="120" w:type="dxa"/>
            </w:tcMar>
            <w:vAlign w:val="center"/>
          </w:tcPr>
          <w:p>
            <w:pPr>
              <w:spacing w:after="0" w:line="252" w:lineRule="auto"/>
            </w:pPr>
            <w:r>
              <w:rPr>
                <w:rFonts w:ascii="Calibri" w:hAnsi="Calibri" w:eastAsia="Calibri"/>
                <w:color w:val="17212B"/>
                <w:sz w:val="18"/>
              </w:rPr>
              <w:t>Entorno local de desarrollo; despliegue productivo no incluido.</w:t>
            </w:r>
          </w:p>
        </w:tc>
      </w:tr>
      <w:tr>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8"/>
              </w:rPr>
              <w:t>R-05</w:t>
            </w:r>
          </w:p>
        </w:tc>
        <w:tc>
          <w:tcPr>
            <w:tcW w:type="dxa" w:w="1700"/>
            <w:tcMar>
              <w:top w:w="80" w:type="dxa"/>
              <w:start w:w="120" w:type="dxa"/>
              <w:bottom w:w="80" w:type="dxa"/>
              <w:end w:w="120" w:type="dxa"/>
            </w:tcMar>
            <w:vAlign w:val="center"/>
          </w:tcPr>
          <w:p>
            <w:pPr>
              <w:spacing w:after="0" w:line="252" w:lineRule="auto"/>
            </w:pPr>
            <w:r>
              <w:rPr>
                <w:rFonts w:ascii="Calibri" w:hAnsi="Calibri" w:eastAsia="Calibri"/>
                <w:color w:val="17212B"/>
                <w:sz w:val="18"/>
              </w:rPr>
              <w:t>Servicios externos</w:t>
            </w:r>
          </w:p>
        </w:tc>
        <w:tc>
          <w:tcPr>
            <w:tcW w:type="dxa" w:w="6560"/>
            <w:tcMar>
              <w:top w:w="80" w:type="dxa"/>
              <w:start w:w="120" w:type="dxa"/>
              <w:bottom w:w="80" w:type="dxa"/>
              <w:end w:w="120" w:type="dxa"/>
            </w:tcMar>
            <w:vAlign w:val="center"/>
          </w:tcPr>
          <w:p>
            <w:pPr>
              <w:spacing w:after="0" w:line="252" w:lineRule="auto"/>
            </w:pPr>
            <w:r>
              <w:rPr>
                <w:rFonts w:ascii="Calibri" w:hAnsi="Calibri" w:eastAsia="Calibri"/>
                <w:color w:val="17212B"/>
                <w:sz w:val="18"/>
              </w:rPr>
              <w:t>Firebase depende de conectividad y credenciales válidas.</w:t>
            </w:r>
          </w:p>
        </w:tc>
      </w:tr>
      <w:tr>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8"/>
              </w:rPr>
              <w:t>R-06</w:t>
            </w:r>
          </w:p>
        </w:tc>
        <w:tc>
          <w:tcPr>
            <w:tcW w:type="dxa" w:w="1700"/>
            <w:tcMar>
              <w:top w:w="80" w:type="dxa"/>
              <w:start w:w="120" w:type="dxa"/>
              <w:bottom w:w="80" w:type="dxa"/>
              <w:end w:w="120" w:type="dxa"/>
            </w:tcMar>
            <w:vAlign w:val="center"/>
          </w:tcPr>
          <w:p>
            <w:pPr>
              <w:spacing w:after="0" w:line="252" w:lineRule="auto"/>
            </w:pPr>
            <w:r>
              <w:rPr>
                <w:rFonts w:ascii="Calibri" w:hAnsi="Calibri" w:eastAsia="Calibri"/>
                <w:color w:val="17212B"/>
                <w:sz w:val="18"/>
              </w:rPr>
              <w:t>Docker</w:t>
            </w:r>
          </w:p>
        </w:tc>
        <w:tc>
          <w:tcPr>
            <w:tcW w:type="dxa" w:w="6560"/>
            <w:tcMar>
              <w:top w:w="80" w:type="dxa"/>
              <w:start w:w="120" w:type="dxa"/>
              <w:bottom w:w="80" w:type="dxa"/>
              <w:end w:w="120" w:type="dxa"/>
            </w:tcMar>
            <w:vAlign w:val="center"/>
          </w:tcPr>
          <w:p>
            <w:pPr>
              <w:spacing w:after="0" w:line="252" w:lineRule="auto"/>
            </w:pPr>
            <w:r>
              <w:rPr>
                <w:rFonts w:ascii="Calibri" w:hAnsi="Calibri" w:eastAsia="Calibri"/>
                <w:color w:val="17212B"/>
                <w:sz w:val="18"/>
              </w:rPr>
              <w:t>El diseño está definido, pero los artefactos ejecutables aún deben implementarse y validarse.</w:t>
            </w:r>
          </w:p>
        </w:tc>
      </w:tr>
    </w:tbl>
    <w:p>
      <w:pPr>
        <w:spacing w:after="20"/>
      </w:pPr>
    </w:p>
    <w:p>
      <w:pPr>
        <w:pStyle w:val="Heading1"/>
        <w:keepNext/>
      </w:pPr>
      <w:r>
        <w:t>7. Justificación de la solución</w:t>
      </w:r>
    </w:p>
    <w:p>
      <w:pPr>
        <w:spacing w:after="120"/>
        <w:jc w:val="left"/>
      </w:pPr>
      <w:r>
        <w:rPr>
          <w:rFonts w:ascii="Calibri" w:hAnsi="Calibri" w:eastAsia="Calibri"/>
          <w:i w:val="0"/>
          <w:color w:val="17212B"/>
        </w:rPr>
        <w:t>PMP Suite es pertinente para Ingeniería en Informática porque integra gestión de proyecto, desarrollo web y móvil, arquitectura, modelamiento de datos, seguridad, pruebas y análisis predictivo. La solución no corresponde a un CRUD aislado: representa un proceso interáreas con reglas, permisos, transacciones, eventos históricos e indicadores.</w:t>
      </w:r>
    </w:p>
    <w:p>
      <w:pPr>
        <w:spacing w:after="120"/>
        <w:jc w:val="left"/>
      </w:pPr>
      <w:r>
        <w:rPr>
          <w:rFonts w:ascii="Calibri" w:hAnsi="Calibri" w:eastAsia="Calibri"/>
          <w:i w:val="0"/>
          <w:color w:val="17212B"/>
        </w:rPr>
        <w:t>La solución es factible porque aprovecha una base de software ya construida, tecnologías de uso libre y conocimiento previo del proceso. La fase Capstone se orienta a demostrar calidad, coherencia y reproducibilidad, manteniendo un alcance académico controlado.</w:t>
      </w:r>
    </w:p>
    <w:p>
      <w:r>
        <w:br w:type="page"/>
      </w:r>
    </w:p>
    <w:p>
      <w:pPr>
        <w:pStyle w:val="Heading1"/>
        <w:keepNext/>
      </w:pPr>
      <w:r>
        <w:t>8. Metodología Cascada</w:t>
      </w:r>
    </w:p>
    <w:p>
      <w:pPr>
        <w:spacing w:after="120"/>
        <w:jc w:val="left"/>
      </w:pPr>
      <w:r>
        <w:rPr>
          <w:rFonts w:ascii="Calibri" w:hAnsi="Calibri" w:eastAsia="Calibri"/>
          <w:i w:val="0"/>
          <w:color w:val="17212B"/>
        </w:rPr>
        <w:t>Se adopta un enfoque tradicional de Cascada con etapas secuenciales y entregables controlados. Las revisiones entre etapas permiten corregir hallazgos, pero cada fase debe producir una línea base antes de cerrar la siguiente.</w:t>
      </w:r>
    </w:p>
    <w:tbl>
      <w:tblPr>
        <w:tblStyle w:val="TableGrid"/>
        <w:tblW w:type="dxa" w:w="9360"/>
        <w:jc w:val="left"/>
        <w:tblLayout w:type="fixed"/>
        <w:tblLook w:firstColumn="1" w:firstRow="1" w:lastColumn="0" w:lastRow="0" w:noHBand="0" w:noVBand="1" w:val="04A0"/>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Pr>
      <w:tblGrid>
        <w:gridCol w:w="700"/>
        <w:gridCol w:w="2100"/>
        <w:gridCol w:w="4900"/>
        <w:gridCol w:w="1660"/>
      </w:tblGrid>
      <w:tr>
        <w:trPr>
          <w:tblHeader w:val="true"/>
        </w:trPr>
        <w:tc>
          <w:tcPr>
            <w:tcW w:type="dxa" w:w="700"/>
            <w:tcMar>
              <w:top w:w="80" w:type="dxa"/>
              <w:start w:w="120" w:type="dxa"/>
              <w:bottom w:w="80" w:type="dxa"/>
              <w:end w:w="120" w:type="dxa"/>
            </w:tcMar>
            <w:vAlign w:val="center"/>
            <w:shd w:fill="EAF2FB"/>
          </w:tcPr>
          <w:p>
            <w:pPr>
              <w:spacing w:after="0"/>
              <w:jc w:val="center"/>
            </w:pPr>
            <w:r>
              <w:rPr>
                <w:rFonts w:ascii="Calibri" w:hAnsi="Calibri" w:eastAsia="Calibri"/>
                <w:b/>
                <w:color w:val="0D1B2A"/>
                <w:sz w:val="17"/>
              </w:rPr>
              <w:t>Fase</w:t>
            </w:r>
          </w:p>
        </w:tc>
        <w:tc>
          <w:tcPr>
            <w:tcW w:type="dxa" w:w="2100"/>
            <w:tcMar>
              <w:top w:w="80" w:type="dxa"/>
              <w:start w:w="120" w:type="dxa"/>
              <w:bottom w:w="80" w:type="dxa"/>
              <w:end w:w="120" w:type="dxa"/>
            </w:tcMar>
            <w:vAlign w:val="center"/>
            <w:shd w:fill="EAF2FB"/>
          </w:tcPr>
          <w:p>
            <w:pPr>
              <w:spacing w:after="0"/>
              <w:jc w:val="center"/>
            </w:pPr>
            <w:r>
              <w:rPr>
                <w:rFonts w:ascii="Calibri" w:hAnsi="Calibri" w:eastAsia="Calibri"/>
                <w:b/>
                <w:color w:val="0D1B2A"/>
                <w:sz w:val="17"/>
              </w:rPr>
              <w:t>Etapa</w:t>
            </w:r>
          </w:p>
        </w:tc>
        <w:tc>
          <w:tcPr>
            <w:tcW w:type="dxa" w:w="4900"/>
            <w:tcMar>
              <w:top w:w="80" w:type="dxa"/>
              <w:start w:w="120" w:type="dxa"/>
              <w:bottom w:w="80" w:type="dxa"/>
              <w:end w:w="120" w:type="dxa"/>
            </w:tcMar>
            <w:vAlign w:val="center"/>
            <w:shd w:fill="EAF2FB"/>
          </w:tcPr>
          <w:p>
            <w:pPr>
              <w:spacing w:after="0"/>
              <w:jc w:val="center"/>
            </w:pPr>
            <w:r>
              <w:rPr>
                <w:rFonts w:ascii="Calibri" w:hAnsi="Calibri" w:eastAsia="Calibri"/>
                <w:b/>
                <w:color w:val="0D1B2A"/>
                <w:sz w:val="17"/>
              </w:rPr>
              <w:t>Producto verificable</w:t>
            </w:r>
          </w:p>
        </w:tc>
        <w:tc>
          <w:tcPr>
            <w:tcW w:type="dxa" w:w="1660"/>
            <w:tcMar>
              <w:top w:w="80" w:type="dxa"/>
              <w:start w:w="120" w:type="dxa"/>
              <w:bottom w:w="80" w:type="dxa"/>
              <w:end w:w="120" w:type="dxa"/>
            </w:tcMar>
            <w:vAlign w:val="center"/>
            <w:shd w:fill="EAF2FB"/>
          </w:tcPr>
          <w:p>
            <w:pPr>
              <w:spacing w:after="0"/>
              <w:jc w:val="center"/>
            </w:pPr>
            <w:r>
              <w:rPr>
                <w:rFonts w:ascii="Calibri" w:hAnsi="Calibri" w:eastAsia="Calibri"/>
                <w:b/>
                <w:color w:val="0D1B2A"/>
                <w:sz w:val="17"/>
              </w:rPr>
              <w:t>Periodo</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1</w:t>
            </w:r>
          </w:p>
        </w:tc>
        <w:tc>
          <w:tcPr>
            <w:tcW w:type="dxa" w:w="2100"/>
            <w:tcMar>
              <w:top w:w="80" w:type="dxa"/>
              <w:start w:w="120" w:type="dxa"/>
              <w:bottom w:w="80" w:type="dxa"/>
              <w:end w:w="120" w:type="dxa"/>
            </w:tcMar>
            <w:vAlign w:val="center"/>
          </w:tcPr>
          <w:p>
            <w:pPr>
              <w:spacing w:after="0" w:line="252" w:lineRule="auto"/>
            </w:pPr>
            <w:r>
              <w:rPr>
                <w:rFonts w:ascii="Calibri" w:hAnsi="Calibri" w:eastAsia="Calibri"/>
                <w:color w:val="17212B"/>
                <w:sz w:val="17"/>
              </w:rPr>
              <w:t>Inicio y requisitos</w:t>
            </w:r>
          </w:p>
        </w:tc>
        <w:tc>
          <w:tcPr>
            <w:tcW w:type="dxa" w:w="4900"/>
            <w:tcMar>
              <w:top w:w="80" w:type="dxa"/>
              <w:start w:w="120" w:type="dxa"/>
              <w:bottom w:w="80" w:type="dxa"/>
              <w:end w:w="120" w:type="dxa"/>
            </w:tcMar>
            <w:vAlign w:val="center"/>
          </w:tcPr>
          <w:p>
            <w:pPr>
              <w:spacing w:after="0" w:line="252" w:lineRule="auto"/>
            </w:pPr>
            <w:r>
              <w:rPr>
                <w:rFonts w:ascii="Calibri" w:hAnsi="Calibri" w:eastAsia="Calibri"/>
                <w:color w:val="17212B"/>
                <w:sz w:val="17"/>
              </w:rPr>
              <w:t>Problema, alcance, SRS, casos de uso y trazabilidad.</w:t>
            </w:r>
          </w:p>
        </w:tc>
        <w:tc>
          <w:tcPr>
            <w:tcW w:type="dxa" w:w="1660"/>
            <w:tcMar>
              <w:top w:w="80" w:type="dxa"/>
              <w:start w:w="120" w:type="dxa"/>
              <w:bottom w:w="80" w:type="dxa"/>
              <w:end w:w="120" w:type="dxa"/>
            </w:tcMar>
            <w:vAlign w:val="center"/>
          </w:tcPr>
          <w:p>
            <w:pPr>
              <w:spacing w:after="0" w:line="252" w:lineRule="auto"/>
            </w:pPr>
            <w:r>
              <w:rPr>
                <w:rFonts w:ascii="Calibri" w:hAnsi="Calibri" w:eastAsia="Calibri"/>
                <w:color w:val="17212B"/>
                <w:sz w:val="17"/>
              </w:rPr>
              <w:t>Semanas 1–4</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2</w:t>
            </w:r>
          </w:p>
        </w:tc>
        <w:tc>
          <w:tcPr>
            <w:tcW w:type="dxa" w:w="2100"/>
            <w:tcMar>
              <w:top w:w="80" w:type="dxa"/>
              <w:start w:w="120" w:type="dxa"/>
              <w:bottom w:w="80" w:type="dxa"/>
              <w:end w:w="120" w:type="dxa"/>
            </w:tcMar>
            <w:vAlign w:val="center"/>
          </w:tcPr>
          <w:p>
            <w:pPr>
              <w:spacing w:after="0" w:line="252" w:lineRule="auto"/>
            </w:pPr>
            <w:r>
              <w:rPr>
                <w:rFonts w:ascii="Calibri" w:hAnsi="Calibri" w:eastAsia="Calibri"/>
                <w:color w:val="17212B"/>
                <w:sz w:val="17"/>
              </w:rPr>
              <w:t>Diseño</w:t>
            </w:r>
          </w:p>
        </w:tc>
        <w:tc>
          <w:tcPr>
            <w:tcW w:type="dxa" w:w="4900"/>
            <w:tcMar>
              <w:top w:w="80" w:type="dxa"/>
              <w:start w:w="120" w:type="dxa"/>
              <w:bottom w:w="80" w:type="dxa"/>
              <w:end w:w="120" w:type="dxa"/>
            </w:tcMar>
            <w:vAlign w:val="center"/>
          </w:tcPr>
          <w:p>
            <w:pPr>
              <w:spacing w:after="0" w:line="252" w:lineRule="auto"/>
            </w:pPr>
            <w:r>
              <w:rPr>
                <w:rFonts w:ascii="Calibri" w:hAnsi="Calibri" w:eastAsia="Calibri"/>
                <w:color w:val="17212B"/>
                <w:sz w:val="17"/>
              </w:rPr>
              <w:t>Arquitectura, datos, UML, seguridad y diseño Docker.</w:t>
            </w:r>
          </w:p>
        </w:tc>
        <w:tc>
          <w:tcPr>
            <w:tcW w:type="dxa" w:w="1660"/>
            <w:tcMar>
              <w:top w:w="80" w:type="dxa"/>
              <w:start w:w="120" w:type="dxa"/>
              <w:bottom w:w="80" w:type="dxa"/>
              <w:end w:w="120" w:type="dxa"/>
            </w:tcMar>
            <w:vAlign w:val="center"/>
          </w:tcPr>
          <w:p>
            <w:pPr>
              <w:spacing w:after="0" w:line="252" w:lineRule="auto"/>
            </w:pPr>
            <w:r>
              <w:rPr>
                <w:rFonts w:ascii="Calibri" w:hAnsi="Calibri" w:eastAsia="Calibri"/>
                <w:color w:val="17212B"/>
                <w:sz w:val="17"/>
              </w:rPr>
              <w:t>Semanas 3–6</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3</w:t>
            </w:r>
          </w:p>
        </w:tc>
        <w:tc>
          <w:tcPr>
            <w:tcW w:type="dxa" w:w="2100"/>
            <w:tcMar>
              <w:top w:w="80" w:type="dxa"/>
              <w:start w:w="120" w:type="dxa"/>
              <w:bottom w:w="80" w:type="dxa"/>
              <w:end w:w="120" w:type="dxa"/>
            </w:tcMar>
            <w:vAlign w:val="center"/>
          </w:tcPr>
          <w:p>
            <w:pPr>
              <w:spacing w:after="0" w:line="252" w:lineRule="auto"/>
            </w:pPr>
            <w:r>
              <w:rPr>
                <w:rFonts w:ascii="Calibri" w:hAnsi="Calibri" w:eastAsia="Calibri"/>
                <w:color w:val="17212B"/>
                <w:sz w:val="17"/>
              </w:rPr>
              <w:t>Construcción e integración</w:t>
            </w:r>
          </w:p>
        </w:tc>
        <w:tc>
          <w:tcPr>
            <w:tcW w:type="dxa" w:w="4900"/>
            <w:tcMar>
              <w:top w:w="80" w:type="dxa"/>
              <w:start w:w="120" w:type="dxa"/>
              <w:bottom w:w="80" w:type="dxa"/>
              <w:end w:w="120" w:type="dxa"/>
            </w:tcMar>
            <w:vAlign w:val="center"/>
          </w:tcPr>
          <w:p>
            <w:pPr>
              <w:spacing w:after="0" w:line="252" w:lineRule="auto"/>
            </w:pPr>
            <w:r>
              <w:rPr>
                <w:rFonts w:ascii="Calibri" w:hAnsi="Calibri" w:eastAsia="Calibri"/>
                <w:color w:val="17212B"/>
                <w:sz w:val="17"/>
              </w:rPr>
              <w:t>Cierre de brechas e integración de componentes.</w:t>
            </w:r>
          </w:p>
        </w:tc>
        <w:tc>
          <w:tcPr>
            <w:tcW w:type="dxa" w:w="1660"/>
            <w:tcMar>
              <w:top w:w="80" w:type="dxa"/>
              <w:start w:w="120" w:type="dxa"/>
              <w:bottom w:w="80" w:type="dxa"/>
              <w:end w:w="120" w:type="dxa"/>
            </w:tcMar>
            <w:vAlign w:val="center"/>
          </w:tcPr>
          <w:p>
            <w:pPr>
              <w:spacing w:after="0" w:line="252" w:lineRule="auto"/>
            </w:pPr>
            <w:r>
              <w:rPr>
                <w:rFonts w:ascii="Calibri" w:hAnsi="Calibri" w:eastAsia="Calibri"/>
                <w:color w:val="17212B"/>
                <w:sz w:val="17"/>
              </w:rPr>
              <w:t>Semanas 5–13</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4</w:t>
            </w:r>
          </w:p>
        </w:tc>
        <w:tc>
          <w:tcPr>
            <w:tcW w:type="dxa" w:w="2100"/>
            <w:tcMar>
              <w:top w:w="80" w:type="dxa"/>
              <w:start w:w="120" w:type="dxa"/>
              <w:bottom w:w="80" w:type="dxa"/>
              <w:end w:w="120" w:type="dxa"/>
            </w:tcMar>
            <w:vAlign w:val="center"/>
          </w:tcPr>
          <w:p>
            <w:pPr>
              <w:spacing w:after="0" w:line="252" w:lineRule="auto"/>
            </w:pPr>
            <w:r>
              <w:rPr>
                <w:rFonts w:ascii="Calibri" w:hAnsi="Calibri" w:eastAsia="Calibri"/>
                <w:color w:val="17212B"/>
                <w:sz w:val="17"/>
              </w:rPr>
              <w:t>Verificación</w:t>
            </w:r>
          </w:p>
        </w:tc>
        <w:tc>
          <w:tcPr>
            <w:tcW w:type="dxa" w:w="4900"/>
            <w:tcMar>
              <w:top w:w="80" w:type="dxa"/>
              <w:start w:w="120" w:type="dxa"/>
              <w:bottom w:w="80" w:type="dxa"/>
              <w:end w:w="120" w:type="dxa"/>
            </w:tcMar>
            <w:vAlign w:val="center"/>
          </w:tcPr>
          <w:p>
            <w:pPr>
              <w:spacing w:after="0" w:line="252" w:lineRule="auto"/>
            </w:pPr>
            <w:r>
              <w:rPr>
                <w:rFonts w:ascii="Calibri" w:hAnsi="Calibri" w:eastAsia="Calibri"/>
                <w:color w:val="17212B"/>
                <w:sz w:val="17"/>
              </w:rPr>
              <w:t>Pruebas y evidencias con resultados reproducibles.</w:t>
            </w:r>
          </w:p>
        </w:tc>
        <w:tc>
          <w:tcPr>
            <w:tcW w:type="dxa" w:w="1660"/>
            <w:tcMar>
              <w:top w:w="80" w:type="dxa"/>
              <w:start w:w="120" w:type="dxa"/>
              <w:bottom w:w="80" w:type="dxa"/>
              <w:end w:w="120" w:type="dxa"/>
            </w:tcMar>
            <w:vAlign w:val="center"/>
          </w:tcPr>
          <w:p>
            <w:pPr>
              <w:spacing w:after="0" w:line="252" w:lineRule="auto"/>
            </w:pPr>
            <w:r>
              <w:rPr>
                <w:rFonts w:ascii="Calibri" w:hAnsi="Calibri" w:eastAsia="Calibri"/>
                <w:color w:val="17212B"/>
                <w:sz w:val="17"/>
              </w:rPr>
              <w:t>Semanas 9–15</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7"/>
              </w:rPr>
              <w:t>5</w:t>
            </w:r>
          </w:p>
        </w:tc>
        <w:tc>
          <w:tcPr>
            <w:tcW w:type="dxa" w:w="2100"/>
            <w:tcMar>
              <w:top w:w="80" w:type="dxa"/>
              <w:start w:w="120" w:type="dxa"/>
              <w:bottom w:w="80" w:type="dxa"/>
              <w:end w:w="120" w:type="dxa"/>
            </w:tcMar>
            <w:vAlign w:val="center"/>
          </w:tcPr>
          <w:p>
            <w:pPr>
              <w:spacing w:after="0" w:line="252" w:lineRule="auto"/>
            </w:pPr>
            <w:r>
              <w:rPr>
                <w:rFonts w:ascii="Calibri" w:hAnsi="Calibri" w:eastAsia="Calibri"/>
                <w:color w:val="17212B"/>
                <w:sz w:val="17"/>
              </w:rPr>
              <w:t>Despliegue y cierre</w:t>
            </w:r>
          </w:p>
        </w:tc>
        <w:tc>
          <w:tcPr>
            <w:tcW w:type="dxa" w:w="4900"/>
            <w:tcMar>
              <w:top w:w="80" w:type="dxa"/>
              <w:start w:w="120" w:type="dxa"/>
              <w:bottom w:w="80" w:type="dxa"/>
              <w:end w:w="120" w:type="dxa"/>
            </w:tcMar>
            <w:vAlign w:val="center"/>
          </w:tcPr>
          <w:p>
            <w:pPr>
              <w:spacing w:after="0" w:line="252" w:lineRule="auto"/>
            </w:pPr>
            <w:r>
              <w:rPr>
                <w:rFonts w:ascii="Calibri" w:hAnsi="Calibri" w:eastAsia="Calibri"/>
                <w:color w:val="17212B"/>
                <w:sz w:val="17"/>
              </w:rPr>
              <w:t>Manual técnico, informe, conclusiones y defensa.</w:t>
            </w:r>
          </w:p>
        </w:tc>
        <w:tc>
          <w:tcPr>
            <w:tcW w:type="dxa" w:w="1660"/>
            <w:tcMar>
              <w:top w:w="80" w:type="dxa"/>
              <w:start w:w="120" w:type="dxa"/>
              <w:bottom w:w="80" w:type="dxa"/>
              <w:end w:w="120" w:type="dxa"/>
            </w:tcMar>
            <w:vAlign w:val="center"/>
          </w:tcPr>
          <w:p>
            <w:pPr>
              <w:spacing w:after="0" w:line="252" w:lineRule="auto"/>
            </w:pPr>
            <w:r>
              <w:rPr>
                <w:rFonts w:ascii="Calibri" w:hAnsi="Calibri" w:eastAsia="Calibri"/>
                <w:color w:val="17212B"/>
                <w:sz w:val="17"/>
              </w:rPr>
              <w:t>Semanas 13–18</w:t>
            </w:r>
          </w:p>
        </w:tc>
      </w:tr>
    </w:tbl>
    <w:p>
      <w:pPr>
        <w:spacing w:after="20"/>
      </w:pPr>
    </w:p>
    <w:p>
      <w:pPr>
        <w:keepNext/>
        <w:jc w:val="center"/>
      </w:pPr>
      <w:r>
        <w:drawing>
          <wp:inline xmlns:a="http://schemas.openxmlformats.org/drawingml/2006/main" xmlns:pic="http://schemas.openxmlformats.org/drawingml/2006/picture">
            <wp:extent cx="5760720" cy="3520440"/>
            <wp:docPr id="2" name="Picture 2" descr="Figura 1. Plan de trabajo Cascada para las 18 semanas académicas." title="Figura 1. Plan de trabajo Cascada para las 18 semanas académicas."/>
            <wp:cNvGraphicFramePr>
              <a:graphicFrameLocks noChangeAspect="1"/>
            </wp:cNvGraphicFramePr>
            <a:graphic>
              <a:graphicData uri="http://schemas.openxmlformats.org/drawingml/2006/picture">
                <pic:pic>
                  <pic:nvPicPr>
                    <pic:cNvPr id="0" name="cascada_18_semanas.png"/>
                    <pic:cNvPicPr/>
                  </pic:nvPicPr>
                  <pic:blipFill>
                    <a:blip r:embed="rId12"/>
                    <a:stretch>
                      <a:fillRect/>
                    </a:stretch>
                  </pic:blipFill>
                  <pic:spPr>
                    <a:xfrm>
                      <a:off x="0" y="0"/>
                      <a:ext cx="5760720" cy="3520440"/>
                    </a:xfrm>
                    <a:prstGeom prst="rect"/>
                  </pic:spPr>
                </pic:pic>
              </a:graphicData>
            </a:graphic>
          </wp:inline>
        </w:drawing>
      </w:r>
    </w:p>
    <w:p>
      <w:pPr>
        <w:spacing w:before="80" w:after="160"/>
        <w:jc w:val="center"/>
      </w:pPr>
      <w:r>
        <w:rPr>
          <w:rFonts w:ascii="Calibri" w:hAnsi="Calibri" w:eastAsia="Calibri"/>
          <w:i/>
          <w:color w:val="5F6B76"/>
          <w:sz w:val="18"/>
        </w:rPr>
        <w:t>Figura 1. Plan de trabajo Cascada para las 18 semanas académicas.</w:t>
      </w:r>
    </w:p>
    <w:p>
      <w:pPr>
        <w:pStyle w:val="Heading1"/>
        <w:keepNext/>
      </w:pPr>
      <w:r>
        <w:t>9. Roles del equipo</w:t>
      </w:r>
    </w:p>
    <w:tbl>
      <w:tblPr>
        <w:tblStyle w:val="TableGrid"/>
        <w:tblW w:type="dxa" w:w="9360"/>
        <w:jc w:val="left"/>
        <w:tblLayout w:type="fixed"/>
        <w:tblLook w:firstColumn="1" w:firstRow="1" w:lastColumn="0" w:lastRow="0" w:noHBand="0" w:noVBand="1" w:val="04A0"/>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Pr>
      <w:tblGrid>
        <w:gridCol w:w="1900"/>
        <w:gridCol w:w="2600"/>
        <w:gridCol w:w="4860"/>
      </w:tblGrid>
      <w:tr>
        <w:trPr>
          <w:tblHeader w:val="true"/>
        </w:trPr>
        <w:tc>
          <w:tcPr>
            <w:tcW w:type="dxa" w:w="1900"/>
            <w:tcMar>
              <w:top w:w="80" w:type="dxa"/>
              <w:start w:w="120" w:type="dxa"/>
              <w:bottom w:w="80" w:type="dxa"/>
              <w:end w:w="120" w:type="dxa"/>
            </w:tcMar>
            <w:vAlign w:val="center"/>
            <w:shd w:fill="EAF2FB"/>
          </w:tcPr>
          <w:p>
            <w:pPr>
              <w:spacing w:after="0"/>
              <w:jc w:val="center"/>
            </w:pPr>
            <w:r>
              <w:rPr>
                <w:rFonts w:ascii="Calibri" w:hAnsi="Calibri" w:eastAsia="Calibri"/>
                <w:b/>
                <w:color w:val="0D1B2A"/>
                <w:sz w:val="18"/>
              </w:rPr>
              <w:t>Integrante</w:t>
            </w:r>
          </w:p>
        </w:tc>
        <w:tc>
          <w:tcPr>
            <w:tcW w:type="dxa" w:w="2600"/>
            <w:tcMar>
              <w:top w:w="80" w:type="dxa"/>
              <w:start w:w="120" w:type="dxa"/>
              <w:bottom w:w="80" w:type="dxa"/>
              <w:end w:w="120" w:type="dxa"/>
            </w:tcMar>
            <w:vAlign w:val="center"/>
            <w:shd w:fill="EAF2FB"/>
          </w:tcPr>
          <w:p>
            <w:pPr>
              <w:spacing w:after="0"/>
              <w:jc w:val="center"/>
            </w:pPr>
            <w:r>
              <w:rPr>
                <w:rFonts w:ascii="Calibri" w:hAnsi="Calibri" w:eastAsia="Calibri"/>
                <w:b/>
                <w:color w:val="0D1B2A"/>
                <w:sz w:val="18"/>
              </w:rPr>
              <w:t>Rol</w:t>
            </w:r>
          </w:p>
        </w:tc>
        <w:tc>
          <w:tcPr>
            <w:tcW w:type="dxa" w:w="4860"/>
            <w:tcMar>
              <w:top w:w="80" w:type="dxa"/>
              <w:start w:w="120" w:type="dxa"/>
              <w:bottom w:w="80" w:type="dxa"/>
              <w:end w:w="120" w:type="dxa"/>
            </w:tcMar>
            <w:vAlign w:val="center"/>
            <w:shd w:fill="EAF2FB"/>
          </w:tcPr>
          <w:p>
            <w:pPr>
              <w:spacing w:after="0"/>
              <w:jc w:val="center"/>
            </w:pPr>
            <w:r>
              <w:rPr>
                <w:rFonts w:ascii="Calibri" w:hAnsi="Calibri" w:eastAsia="Calibri"/>
                <w:b/>
                <w:color w:val="0D1B2A"/>
                <w:sz w:val="18"/>
              </w:rPr>
              <w:t>Responsabilidad principal</w:t>
            </w:r>
          </w:p>
        </w:tc>
      </w:tr>
      <w:tr>
        <w:tc>
          <w:tcPr>
            <w:tcW w:type="dxa" w:w="1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8"/>
              </w:rPr>
              <w:t>Rafael Oteiza</w:t>
            </w:r>
          </w:p>
        </w:tc>
        <w:tc>
          <w:tcPr>
            <w:tcW w:type="dxa" w:w="2600"/>
            <w:tcMar>
              <w:top w:w="80" w:type="dxa"/>
              <w:start w:w="120" w:type="dxa"/>
              <w:bottom w:w="80" w:type="dxa"/>
              <w:end w:w="120" w:type="dxa"/>
            </w:tcMar>
            <w:vAlign w:val="center"/>
          </w:tcPr>
          <w:p>
            <w:pPr>
              <w:spacing w:after="0" w:line="252" w:lineRule="auto"/>
            </w:pPr>
            <w:r>
              <w:rPr>
                <w:rFonts w:ascii="Calibri" w:hAnsi="Calibri" w:eastAsia="Calibri"/>
                <w:color w:val="17212B"/>
                <w:sz w:val="18"/>
              </w:rPr>
              <w:t>Líder del proyecto / Arquitecto</w:t>
            </w:r>
          </w:p>
        </w:tc>
        <w:tc>
          <w:tcPr>
            <w:tcW w:type="dxa" w:w="4860"/>
            <w:tcMar>
              <w:top w:w="80" w:type="dxa"/>
              <w:start w:w="120" w:type="dxa"/>
              <w:bottom w:w="80" w:type="dxa"/>
              <w:end w:w="120" w:type="dxa"/>
            </w:tcMar>
            <w:vAlign w:val="center"/>
          </w:tcPr>
          <w:p>
            <w:pPr>
              <w:spacing w:after="0" w:line="252" w:lineRule="auto"/>
            </w:pPr>
            <w:r>
              <w:rPr>
                <w:rFonts w:ascii="Calibri" w:hAnsi="Calibri" w:eastAsia="Calibri"/>
                <w:color w:val="17212B"/>
                <w:sz w:val="18"/>
              </w:rPr>
              <w:t>Gestión, arquitectura, backend, datos, integración y decisiones técnicas.</w:t>
            </w:r>
          </w:p>
        </w:tc>
      </w:tr>
      <w:tr>
        <w:tc>
          <w:tcPr>
            <w:tcW w:type="dxa" w:w="1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8"/>
              </w:rPr>
              <w:t>Matías Garrido</w:t>
            </w:r>
          </w:p>
        </w:tc>
        <w:tc>
          <w:tcPr>
            <w:tcW w:type="dxa" w:w="2600"/>
            <w:tcMar>
              <w:top w:w="80" w:type="dxa"/>
              <w:start w:w="120" w:type="dxa"/>
              <w:bottom w:w="80" w:type="dxa"/>
              <w:end w:w="120" w:type="dxa"/>
            </w:tcMar>
            <w:vAlign w:val="center"/>
          </w:tcPr>
          <w:p>
            <w:pPr>
              <w:spacing w:after="0" w:line="252" w:lineRule="auto"/>
            </w:pPr>
            <w:r>
              <w:rPr>
                <w:rFonts w:ascii="Calibri" w:hAnsi="Calibri" w:eastAsia="Calibri"/>
                <w:color w:val="17212B"/>
                <w:sz w:val="18"/>
              </w:rPr>
              <w:t>Líder de requerimientos y documentación</w:t>
            </w:r>
          </w:p>
        </w:tc>
        <w:tc>
          <w:tcPr>
            <w:tcW w:type="dxa" w:w="4860"/>
            <w:tcMar>
              <w:top w:w="80" w:type="dxa"/>
              <w:start w:w="120" w:type="dxa"/>
              <w:bottom w:w="80" w:type="dxa"/>
              <w:end w:w="120" w:type="dxa"/>
            </w:tcMar>
            <w:vAlign w:val="center"/>
          </w:tcPr>
          <w:p>
            <w:pPr>
              <w:spacing w:after="0" w:line="252" w:lineRule="auto"/>
            </w:pPr>
            <w:r>
              <w:rPr>
                <w:rFonts w:ascii="Calibri" w:hAnsi="Calibri" w:eastAsia="Calibri"/>
                <w:color w:val="17212B"/>
                <w:sz w:val="18"/>
              </w:rPr>
              <w:t>Requerimientos, trazabilidad, documentación, evidencias y apoyo a validación.</w:t>
            </w:r>
          </w:p>
        </w:tc>
      </w:tr>
      <w:tr>
        <w:tc>
          <w:tcPr>
            <w:tcW w:type="dxa" w:w="19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8"/>
              </w:rPr>
              <w:t>Luis Arenas</w:t>
            </w:r>
          </w:p>
        </w:tc>
        <w:tc>
          <w:tcPr>
            <w:tcW w:type="dxa" w:w="2600"/>
            <w:tcMar>
              <w:top w:w="80" w:type="dxa"/>
              <w:start w:w="120" w:type="dxa"/>
              <w:bottom w:w="80" w:type="dxa"/>
              <w:end w:w="120" w:type="dxa"/>
            </w:tcMar>
            <w:vAlign w:val="center"/>
          </w:tcPr>
          <w:p>
            <w:pPr>
              <w:spacing w:after="0" w:line="252" w:lineRule="auto"/>
            </w:pPr>
            <w:r>
              <w:rPr>
                <w:rFonts w:ascii="Calibri" w:hAnsi="Calibri" w:eastAsia="Calibri"/>
                <w:color w:val="17212B"/>
                <w:sz w:val="18"/>
              </w:rPr>
              <w:t>Tech Lead / Frontend</w:t>
            </w:r>
          </w:p>
        </w:tc>
        <w:tc>
          <w:tcPr>
            <w:tcW w:type="dxa" w:w="4860"/>
            <w:tcMar>
              <w:top w:w="80" w:type="dxa"/>
              <w:start w:w="120" w:type="dxa"/>
              <w:bottom w:w="80" w:type="dxa"/>
              <w:end w:w="120" w:type="dxa"/>
            </w:tcMar>
            <w:vAlign w:val="center"/>
          </w:tcPr>
          <w:p>
            <w:pPr>
              <w:spacing w:after="0" w:line="252" w:lineRule="auto"/>
            </w:pPr>
            <w:r>
              <w:rPr>
                <w:rFonts w:ascii="Calibri" w:hAnsi="Calibri" w:eastAsia="Calibri"/>
                <w:color w:val="17212B"/>
                <w:sz w:val="18"/>
              </w:rPr>
              <w:t>Frontend web y móvil, UX/UI, dashboards, flujos y demostración.</w:t>
            </w:r>
          </w:p>
        </w:tc>
      </w:tr>
    </w:tbl>
    <w:p>
      <w:pPr>
        <w:spacing w:after="20"/>
      </w:pPr>
    </w:p>
    <w:p>
      <w:pPr>
        <w:pStyle w:val="Heading1"/>
        <w:keepNext/>
      </w:pPr>
      <w:r>
        <w:t>10. Riesgos principales</w:t>
      </w:r>
    </w:p>
    <w:tbl>
      <w:tblPr>
        <w:tblStyle w:val="TableGrid"/>
        <w:tblW w:type="dxa" w:w="9360"/>
        <w:jc w:val="left"/>
        <w:tblLayout w:type="fixed"/>
        <w:tblLook w:firstColumn="1" w:firstRow="1" w:lastColumn="0" w:lastRow="0" w:noHBand="0" w:noVBand="1" w:val="04A0"/>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Pr>
      <w:tblGrid>
        <w:gridCol w:w="700"/>
        <w:gridCol w:w="2600"/>
        <w:gridCol w:w="900"/>
        <w:gridCol w:w="1000"/>
        <w:gridCol w:w="4160"/>
      </w:tblGrid>
      <w:tr>
        <w:trPr>
          <w:tblHeader w:val="true"/>
        </w:trPr>
        <w:tc>
          <w:tcPr>
            <w:tcW w:type="dxa" w:w="700"/>
            <w:tcMar>
              <w:top w:w="80" w:type="dxa"/>
              <w:start w:w="120" w:type="dxa"/>
              <w:bottom w:w="80" w:type="dxa"/>
              <w:end w:w="120" w:type="dxa"/>
            </w:tcMar>
            <w:vAlign w:val="center"/>
            <w:shd w:fill="FFF7DF"/>
          </w:tcPr>
          <w:p>
            <w:pPr>
              <w:spacing w:after="0"/>
              <w:jc w:val="center"/>
            </w:pPr>
            <w:r>
              <w:rPr>
                <w:rFonts w:ascii="Calibri" w:hAnsi="Calibri" w:eastAsia="Calibri"/>
                <w:b/>
                <w:color w:val="0D1B2A"/>
                <w:sz w:val="16"/>
              </w:rPr>
              <w:t>ID</w:t>
            </w:r>
          </w:p>
        </w:tc>
        <w:tc>
          <w:tcPr>
            <w:tcW w:type="dxa" w:w="2600"/>
            <w:tcMar>
              <w:top w:w="80" w:type="dxa"/>
              <w:start w:w="120" w:type="dxa"/>
              <w:bottom w:w="80" w:type="dxa"/>
              <w:end w:w="120" w:type="dxa"/>
            </w:tcMar>
            <w:vAlign w:val="center"/>
            <w:shd w:fill="FFF7DF"/>
          </w:tcPr>
          <w:p>
            <w:pPr>
              <w:spacing w:after="0"/>
              <w:jc w:val="center"/>
            </w:pPr>
            <w:r>
              <w:rPr>
                <w:rFonts w:ascii="Calibri" w:hAnsi="Calibri" w:eastAsia="Calibri"/>
                <w:b/>
                <w:color w:val="0D1B2A"/>
                <w:sz w:val="16"/>
              </w:rPr>
              <w:t>Riesgo</w:t>
            </w:r>
          </w:p>
        </w:tc>
        <w:tc>
          <w:tcPr>
            <w:tcW w:type="dxa" w:w="900"/>
            <w:tcMar>
              <w:top w:w="80" w:type="dxa"/>
              <w:start w:w="120" w:type="dxa"/>
              <w:bottom w:w="80" w:type="dxa"/>
              <w:end w:w="120" w:type="dxa"/>
            </w:tcMar>
            <w:vAlign w:val="center"/>
            <w:shd w:fill="FFF7DF"/>
          </w:tcPr>
          <w:p>
            <w:pPr>
              <w:spacing w:after="0"/>
              <w:jc w:val="center"/>
            </w:pPr>
            <w:r>
              <w:rPr>
                <w:rFonts w:ascii="Calibri" w:hAnsi="Calibri" w:eastAsia="Calibri"/>
                <w:b/>
                <w:color w:val="0D1B2A"/>
                <w:sz w:val="16"/>
              </w:rPr>
              <w:t>Prob.</w:t>
            </w:r>
          </w:p>
        </w:tc>
        <w:tc>
          <w:tcPr>
            <w:tcW w:type="dxa" w:w="1000"/>
            <w:tcMar>
              <w:top w:w="80" w:type="dxa"/>
              <w:start w:w="120" w:type="dxa"/>
              <w:bottom w:w="80" w:type="dxa"/>
              <w:end w:w="120" w:type="dxa"/>
            </w:tcMar>
            <w:vAlign w:val="center"/>
            <w:shd w:fill="FFF7DF"/>
          </w:tcPr>
          <w:p>
            <w:pPr>
              <w:spacing w:after="0"/>
              <w:jc w:val="center"/>
            </w:pPr>
            <w:r>
              <w:rPr>
                <w:rFonts w:ascii="Calibri" w:hAnsi="Calibri" w:eastAsia="Calibri"/>
                <w:b/>
                <w:color w:val="0D1B2A"/>
                <w:sz w:val="16"/>
              </w:rPr>
              <w:t>Impacto</w:t>
            </w:r>
          </w:p>
        </w:tc>
        <w:tc>
          <w:tcPr>
            <w:tcW w:type="dxa" w:w="4160"/>
            <w:tcMar>
              <w:top w:w="80" w:type="dxa"/>
              <w:start w:w="120" w:type="dxa"/>
              <w:bottom w:w="80" w:type="dxa"/>
              <w:end w:w="120" w:type="dxa"/>
            </w:tcMar>
            <w:vAlign w:val="center"/>
            <w:shd w:fill="FFF7DF"/>
          </w:tcPr>
          <w:p>
            <w:pPr>
              <w:spacing w:after="0"/>
              <w:jc w:val="center"/>
            </w:pPr>
            <w:r>
              <w:rPr>
                <w:rFonts w:ascii="Calibri" w:hAnsi="Calibri" w:eastAsia="Calibri"/>
                <w:b/>
                <w:color w:val="0D1B2A"/>
                <w:sz w:val="16"/>
              </w:rPr>
              <w:t>Tratamiento</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6"/>
              </w:rPr>
              <w:t>RI-01</w:t>
            </w:r>
          </w:p>
        </w:tc>
        <w:tc>
          <w:tcPr>
            <w:tcW w:type="dxa" w:w="2600"/>
            <w:tcMar>
              <w:top w:w="80" w:type="dxa"/>
              <w:start w:w="120" w:type="dxa"/>
              <w:bottom w:w="80" w:type="dxa"/>
              <w:end w:w="120" w:type="dxa"/>
            </w:tcMar>
            <w:vAlign w:val="center"/>
          </w:tcPr>
          <w:p>
            <w:pPr>
              <w:spacing w:after="0" w:line="252" w:lineRule="auto"/>
            </w:pPr>
            <w:r>
              <w:rPr>
                <w:rFonts w:ascii="Calibri" w:hAnsi="Calibri" w:eastAsia="Calibri"/>
                <w:color w:val="17212B"/>
                <w:sz w:val="16"/>
              </w:rPr>
              <w:t>Crecimiento de alcance</w:t>
            </w:r>
          </w:p>
        </w:tc>
        <w:tc>
          <w:tcPr>
            <w:tcW w:type="dxa" w:w="900"/>
            <w:tcMar>
              <w:top w:w="80" w:type="dxa"/>
              <w:start w:w="120" w:type="dxa"/>
              <w:bottom w:w="80" w:type="dxa"/>
              <w:end w:w="120" w:type="dxa"/>
            </w:tcMar>
            <w:vAlign w:val="center"/>
          </w:tcPr>
          <w:p>
            <w:pPr>
              <w:spacing w:after="0" w:line="252" w:lineRule="auto"/>
            </w:pPr>
            <w:r>
              <w:rPr>
                <w:rFonts w:ascii="Calibri" w:hAnsi="Calibri" w:eastAsia="Calibri"/>
                <w:color w:val="17212B"/>
                <w:sz w:val="16"/>
              </w:rPr>
              <w:t>Alta</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17212B"/>
                <w:sz w:val="16"/>
              </w:rPr>
              <w:t>Alta</w:t>
            </w:r>
          </w:p>
        </w:tc>
        <w:tc>
          <w:tcPr>
            <w:tcW w:type="dxa" w:w="4160"/>
            <w:tcMar>
              <w:top w:w="80" w:type="dxa"/>
              <w:start w:w="120" w:type="dxa"/>
              <w:bottom w:w="80" w:type="dxa"/>
              <w:end w:w="120" w:type="dxa"/>
            </w:tcMar>
            <w:vAlign w:val="center"/>
          </w:tcPr>
          <w:p>
            <w:pPr>
              <w:spacing w:after="0" w:line="252" w:lineRule="auto"/>
            </w:pPr>
            <w:r>
              <w:rPr>
                <w:rFonts w:ascii="Calibri" w:hAnsi="Calibri" w:eastAsia="Calibri"/>
                <w:color w:val="17212B"/>
                <w:sz w:val="16"/>
              </w:rPr>
              <w:t>Priorizar flujo crítico y controlar cambios.</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6"/>
              </w:rPr>
              <w:t>RI-02</w:t>
            </w:r>
          </w:p>
        </w:tc>
        <w:tc>
          <w:tcPr>
            <w:tcW w:type="dxa" w:w="2600"/>
            <w:tcMar>
              <w:top w:w="80" w:type="dxa"/>
              <w:start w:w="120" w:type="dxa"/>
              <w:bottom w:w="80" w:type="dxa"/>
              <w:end w:w="120" w:type="dxa"/>
            </w:tcMar>
            <w:vAlign w:val="center"/>
          </w:tcPr>
          <w:p>
            <w:pPr>
              <w:spacing w:after="0" w:line="252" w:lineRule="auto"/>
            </w:pPr>
            <w:r>
              <w:rPr>
                <w:rFonts w:ascii="Calibri" w:hAnsi="Calibri" w:eastAsia="Calibri"/>
                <w:color w:val="17212B"/>
                <w:sz w:val="16"/>
              </w:rPr>
              <w:t>Documentación desalineada</w:t>
            </w:r>
          </w:p>
        </w:tc>
        <w:tc>
          <w:tcPr>
            <w:tcW w:type="dxa" w:w="900"/>
            <w:tcMar>
              <w:top w:w="80" w:type="dxa"/>
              <w:start w:w="120" w:type="dxa"/>
              <w:bottom w:w="80" w:type="dxa"/>
              <w:end w:w="120" w:type="dxa"/>
            </w:tcMar>
            <w:vAlign w:val="center"/>
          </w:tcPr>
          <w:p>
            <w:pPr>
              <w:spacing w:after="0" w:line="252" w:lineRule="auto"/>
            </w:pPr>
            <w:r>
              <w:rPr>
                <w:rFonts w:ascii="Calibri" w:hAnsi="Calibri" w:eastAsia="Calibri"/>
                <w:color w:val="17212B"/>
                <w:sz w:val="16"/>
              </w:rPr>
              <w:t>Alta</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17212B"/>
                <w:sz w:val="16"/>
              </w:rPr>
              <w:t>Alta</w:t>
            </w:r>
          </w:p>
        </w:tc>
        <w:tc>
          <w:tcPr>
            <w:tcW w:type="dxa" w:w="4160"/>
            <w:tcMar>
              <w:top w:w="80" w:type="dxa"/>
              <w:start w:w="120" w:type="dxa"/>
              <w:bottom w:w="80" w:type="dxa"/>
              <w:end w:w="120" w:type="dxa"/>
            </w:tcMar>
            <w:vAlign w:val="center"/>
          </w:tcPr>
          <w:p>
            <w:pPr>
              <w:spacing w:after="0" w:line="252" w:lineRule="auto"/>
            </w:pPr>
            <w:r>
              <w:rPr>
                <w:rFonts w:ascii="Calibri" w:hAnsi="Calibri" w:eastAsia="Calibri"/>
                <w:color w:val="17212B"/>
                <w:sz w:val="16"/>
              </w:rPr>
              <w:t>Fuente única, revisión cruzada y control de versión.</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6"/>
              </w:rPr>
              <w:t>RI-03</w:t>
            </w:r>
          </w:p>
        </w:tc>
        <w:tc>
          <w:tcPr>
            <w:tcW w:type="dxa" w:w="2600"/>
            <w:tcMar>
              <w:top w:w="80" w:type="dxa"/>
              <w:start w:w="120" w:type="dxa"/>
              <w:bottom w:w="80" w:type="dxa"/>
              <w:end w:w="120" w:type="dxa"/>
            </w:tcMar>
            <w:vAlign w:val="center"/>
          </w:tcPr>
          <w:p>
            <w:pPr>
              <w:spacing w:after="0" w:line="252" w:lineRule="auto"/>
            </w:pPr>
            <w:r>
              <w:rPr>
                <w:rFonts w:ascii="Calibri" w:hAnsi="Calibri" w:eastAsia="Calibri"/>
                <w:color w:val="17212B"/>
                <w:sz w:val="16"/>
              </w:rPr>
              <w:t>Pruebas destructivas en datos reales</w:t>
            </w:r>
          </w:p>
        </w:tc>
        <w:tc>
          <w:tcPr>
            <w:tcW w:type="dxa" w:w="900"/>
            <w:tcMar>
              <w:top w:w="80" w:type="dxa"/>
              <w:start w:w="120" w:type="dxa"/>
              <w:bottom w:w="80" w:type="dxa"/>
              <w:end w:w="120" w:type="dxa"/>
            </w:tcMar>
            <w:vAlign w:val="center"/>
          </w:tcPr>
          <w:p>
            <w:pPr>
              <w:spacing w:after="0" w:line="252" w:lineRule="auto"/>
            </w:pPr>
            <w:r>
              <w:rPr>
                <w:rFonts w:ascii="Calibri" w:hAnsi="Calibri" w:eastAsia="Calibri"/>
                <w:color w:val="17212B"/>
                <w:sz w:val="16"/>
              </w:rPr>
              <w:t>Media</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17212B"/>
                <w:sz w:val="16"/>
              </w:rPr>
              <w:t>Alta</w:t>
            </w:r>
          </w:p>
        </w:tc>
        <w:tc>
          <w:tcPr>
            <w:tcW w:type="dxa" w:w="4160"/>
            <w:tcMar>
              <w:top w:w="80" w:type="dxa"/>
              <w:start w:w="120" w:type="dxa"/>
              <w:bottom w:w="80" w:type="dxa"/>
              <w:end w:w="120" w:type="dxa"/>
            </w:tcMar>
            <w:vAlign w:val="center"/>
          </w:tcPr>
          <w:p>
            <w:pPr>
              <w:spacing w:after="0" w:line="252" w:lineRule="auto"/>
            </w:pPr>
            <w:r>
              <w:rPr>
                <w:rFonts w:ascii="Calibri" w:hAnsi="Calibri" w:eastAsia="Calibri"/>
                <w:color w:val="17212B"/>
                <w:sz w:val="16"/>
              </w:rPr>
              <w:t>Base aislada y scripts con rollback.</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6"/>
              </w:rPr>
              <w:t>RI-04</w:t>
            </w:r>
          </w:p>
        </w:tc>
        <w:tc>
          <w:tcPr>
            <w:tcW w:type="dxa" w:w="2600"/>
            <w:tcMar>
              <w:top w:w="80" w:type="dxa"/>
              <w:start w:w="120" w:type="dxa"/>
              <w:bottom w:w="80" w:type="dxa"/>
              <w:end w:w="120" w:type="dxa"/>
            </w:tcMar>
            <w:vAlign w:val="center"/>
          </w:tcPr>
          <w:p>
            <w:pPr>
              <w:spacing w:after="0" w:line="252" w:lineRule="auto"/>
            </w:pPr>
            <w:r>
              <w:rPr>
                <w:rFonts w:ascii="Calibri" w:hAnsi="Calibri" w:eastAsia="Calibri"/>
                <w:color w:val="17212B"/>
                <w:sz w:val="16"/>
              </w:rPr>
              <w:t>Dependencia Firebase</w:t>
            </w:r>
          </w:p>
        </w:tc>
        <w:tc>
          <w:tcPr>
            <w:tcW w:type="dxa" w:w="900"/>
            <w:tcMar>
              <w:top w:w="80" w:type="dxa"/>
              <w:start w:w="120" w:type="dxa"/>
              <w:bottom w:w="80" w:type="dxa"/>
              <w:end w:w="120" w:type="dxa"/>
            </w:tcMar>
            <w:vAlign w:val="center"/>
          </w:tcPr>
          <w:p>
            <w:pPr>
              <w:spacing w:after="0" w:line="252" w:lineRule="auto"/>
            </w:pPr>
            <w:r>
              <w:rPr>
                <w:rFonts w:ascii="Calibri" w:hAnsi="Calibri" w:eastAsia="Calibri"/>
                <w:color w:val="17212B"/>
                <w:sz w:val="16"/>
              </w:rPr>
              <w:t>Media</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17212B"/>
                <w:sz w:val="16"/>
              </w:rPr>
              <w:t>Alta</w:t>
            </w:r>
          </w:p>
        </w:tc>
        <w:tc>
          <w:tcPr>
            <w:tcW w:type="dxa" w:w="4160"/>
            <w:tcMar>
              <w:top w:w="80" w:type="dxa"/>
              <w:start w:w="120" w:type="dxa"/>
              <w:bottom w:w="80" w:type="dxa"/>
              <w:end w:w="120" w:type="dxa"/>
            </w:tcMar>
            <w:vAlign w:val="center"/>
          </w:tcPr>
          <w:p>
            <w:pPr>
              <w:spacing w:after="0" w:line="252" w:lineRule="auto"/>
            </w:pPr>
            <w:r>
              <w:rPr>
                <w:rFonts w:ascii="Calibri" w:hAnsi="Calibri" w:eastAsia="Calibri"/>
                <w:color w:val="17212B"/>
                <w:sz w:val="16"/>
              </w:rPr>
              <w:t>Credencial segura, health check y manejo de errores.</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6"/>
              </w:rPr>
              <w:t>RI-05</w:t>
            </w:r>
          </w:p>
        </w:tc>
        <w:tc>
          <w:tcPr>
            <w:tcW w:type="dxa" w:w="2600"/>
            <w:tcMar>
              <w:top w:w="80" w:type="dxa"/>
              <w:start w:w="120" w:type="dxa"/>
              <w:bottom w:w="80" w:type="dxa"/>
              <w:end w:w="120" w:type="dxa"/>
            </w:tcMar>
            <w:vAlign w:val="center"/>
          </w:tcPr>
          <w:p>
            <w:pPr>
              <w:spacing w:after="0" w:line="252" w:lineRule="auto"/>
            </w:pPr>
            <w:r>
              <w:rPr>
                <w:rFonts w:ascii="Calibri" w:hAnsi="Calibri" w:eastAsia="Calibri"/>
                <w:color w:val="17212B"/>
                <w:sz w:val="16"/>
              </w:rPr>
              <w:t>Portabilidad incompleta</w:t>
            </w:r>
          </w:p>
        </w:tc>
        <w:tc>
          <w:tcPr>
            <w:tcW w:type="dxa" w:w="900"/>
            <w:tcMar>
              <w:top w:w="80" w:type="dxa"/>
              <w:start w:w="120" w:type="dxa"/>
              <w:bottom w:w="80" w:type="dxa"/>
              <w:end w:w="120" w:type="dxa"/>
            </w:tcMar>
            <w:vAlign w:val="center"/>
          </w:tcPr>
          <w:p>
            <w:pPr>
              <w:spacing w:after="0" w:line="252" w:lineRule="auto"/>
            </w:pPr>
            <w:r>
              <w:rPr>
                <w:rFonts w:ascii="Calibri" w:hAnsi="Calibri" w:eastAsia="Calibri"/>
                <w:color w:val="17212B"/>
                <w:sz w:val="16"/>
              </w:rPr>
              <w:t>Alta</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17212B"/>
                <w:sz w:val="16"/>
              </w:rPr>
              <w:t>Media</w:t>
            </w:r>
          </w:p>
        </w:tc>
        <w:tc>
          <w:tcPr>
            <w:tcW w:type="dxa" w:w="4160"/>
            <w:tcMar>
              <w:top w:w="80" w:type="dxa"/>
              <w:start w:w="120" w:type="dxa"/>
              <w:bottom w:w="80" w:type="dxa"/>
              <w:end w:w="120" w:type="dxa"/>
            </w:tcMar>
            <w:vAlign w:val="center"/>
          </w:tcPr>
          <w:p>
            <w:pPr>
              <w:spacing w:after="0" w:line="252" w:lineRule="auto"/>
            </w:pPr>
            <w:r>
              <w:rPr>
                <w:rFonts w:ascii="Calibri" w:hAnsi="Calibri" w:eastAsia="Calibri"/>
                <w:color w:val="17212B"/>
                <w:sz w:val="16"/>
              </w:rPr>
              <w:t>Implementar y validar Docker antes del cierre.</w:t>
            </w:r>
          </w:p>
        </w:tc>
      </w:tr>
      <w:tr>
        <w:tc>
          <w:tcPr>
            <w:tcW w:type="dxa" w:w="700"/>
            <w:tcMar>
              <w:top w:w="80" w:type="dxa"/>
              <w:start w:w="120" w:type="dxa"/>
              <w:bottom w:w="80" w:type="dxa"/>
              <w:end w:w="120" w:type="dxa"/>
            </w:tcMar>
            <w:vAlign w:val="center"/>
          </w:tcPr>
          <w:p>
            <w:pPr>
              <w:spacing w:after="0" w:line="252" w:lineRule="auto"/>
              <w:jc w:val="center"/>
            </w:pPr>
            <w:r>
              <w:rPr>
                <w:rFonts w:ascii="Calibri" w:hAnsi="Calibri" w:eastAsia="Calibri"/>
                <w:color w:val="17212B"/>
                <w:sz w:val="16"/>
              </w:rPr>
              <w:t>RI-06</w:t>
            </w:r>
          </w:p>
        </w:tc>
        <w:tc>
          <w:tcPr>
            <w:tcW w:type="dxa" w:w="2600"/>
            <w:tcMar>
              <w:top w:w="80" w:type="dxa"/>
              <w:start w:w="120" w:type="dxa"/>
              <w:bottom w:w="80" w:type="dxa"/>
              <w:end w:w="120" w:type="dxa"/>
            </w:tcMar>
            <w:vAlign w:val="center"/>
          </w:tcPr>
          <w:p>
            <w:pPr>
              <w:spacing w:after="0" w:line="252" w:lineRule="auto"/>
            </w:pPr>
            <w:r>
              <w:rPr>
                <w:rFonts w:ascii="Calibri" w:hAnsi="Calibri" w:eastAsia="Calibri"/>
                <w:color w:val="17212B"/>
                <w:sz w:val="16"/>
              </w:rPr>
              <w:t>Evidencia insuficiente</w:t>
            </w:r>
          </w:p>
        </w:tc>
        <w:tc>
          <w:tcPr>
            <w:tcW w:type="dxa" w:w="900"/>
            <w:tcMar>
              <w:top w:w="80" w:type="dxa"/>
              <w:start w:w="120" w:type="dxa"/>
              <w:bottom w:w="80" w:type="dxa"/>
              <w:end w:w="120" w:type="dxa"/>
            </w:tcMar>
            <w:vAlign w:val="center"/>
          </w:tcPr>
          <w:p>
            <w:pPr>
              <w:spacing w:after="0" w:line="252" w:lineRule="auto"/>
            </w:pPr>
            <w:r>
              <w:rPr>
                <w:rFonts w:ascii="Calibri" w:hAnsi="Calibri" w:eastAsia="Calibri"/>
                <w:color w:val="17212B"/>
                <w:sz w:val="16"/>
              </w:rPr>
              <w:t>Media</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17212B"/>
                <w:sz w:val="16"/>
              </w:rPr>
              <w:t>Alta</w:t>
            </w:r>
          </w:p>
        </w:tc>
        <w:tc>
          <w:tcPr>
            <w:tcW w:type="dxa" w:w="4160"/>
            <w:tcMar>
              <w:top w:w="80" w:type="dxa"/>
              <w:start w:w="120" w:type="dxa"/>
              <w:bottom w:w="80" w:type="dxa"/>
              <w:end w:w="120" w:type="dxa"/>
            </w:tcMar>
            <w:vAlign w:val="center"/>
          </w:tcPr>
          <w:p>
            <w:pPr>
              <w:spacing w:after="0" w:line="252" w:lineRule="auto"/>
            </w:pPr>
            <w:r>
              <w:rPr>
                <w:rFonts w:ascii="Calibri" w:hAnsi="Calibri" w:eastAsia="Calibri"/>
                <w:color w:val="17212B"/>
                <w:sz w:val="16"/>
              </w:rPr>
              <w:t>Registrar fecha, versión, entorno, resultado y responsable.</w:t>
            </w:r>
          </w:p>
        </w:tc>
      </w:tr>
    </w:tbl>
    <w:p>
      <w:pPr>
        <w:spacing w:after="20"/>
      </w:pPr>
    </w:p>
    <w:p>
      <w:pPr>
        <w:pStyle w:val="Heading1"/>
        <w:keepNext/>
      </w:pPr>
      <w:r>
        <w:t>11. Innovación</w:t>
      </w:r>
    </w:p>
    <w:p>
      <w:pPr>
        <w:pStyle w:val="Heading2"/>
        <w:keepNext/>
      </w:pPr>
      <w:r>
        <w:t>11.1 ¿Qué problema resuelve?</w:t>
      </w:r>
    </w:p>
    <w:p>
      <w:pPr>
        <w:spacing w:after="120"/>
        <w:jc w:val="left"/>
      </w:pPr>
      <w:r>
        <w:rPr>
          <w:rFonts w:ascii="Calibri" w:hAnsi="Calibri" w:eastAsia="Calibri"/>
          <w:i w:val="0"/>
          <w:color w:val="17212B"/>
        </w:rPr>
        <w:t>Resuelve la fragmentación de información y la pérdida de trazabilidad en el ciclo físico y lógico del mantenimiento, desde la intervención en terreno hasta la certificación y reincorporación operacional.</w:t>
      </w:r>
    </w:p>
    <w:p>
      <w:pPr>
        <w:pStyle w:val="Heading2"/>
        <w:keepNext/>
      </w:pPr>
      <w:r>
        <w:t>11.2 ¿Qué hace diferente a la solución?</w:t>
      </w:r>
    </w:p>
    <w:p>
      <w:pPr>
        <w:spacing w:after="120"/>
        <w:jc w:val="left"/>
      </w:pPr>
      <w:r>
        <w:rPr>
          <w:rFonts w:ascii="Calibri" w:hAnsi="Calibri" w:eastAsia="Calibri"/>
          <w:i w:val="0"/>
          <w:color w:val="17212B"/>
        </w:rPr>
        <w:t>Integra en una misma plataforma el flujo Bridge, bodega, laboratorio, QA, repuestos, historial inmutable, control por roles y análisis predictivo. La autorización efectiva utiliza PostgreSQL como fuente del rol y aplica restricciones en backend, no solo en la interfaz.</w:t>
      </w:r>
    </w:p>
    <w:p>
      <w:pPr>
        <w:pStyle w:val="Heading2"/>
        <w:keepNext/>
      </w:pPr>
      <w:r>
        <w:t>11.3 ¿Qué valor agrega?</w:t>
      </w:r>
    </w:p>
    <w:p>
      <w:pPr>
        <w:spacing w:after="120"/>
        <w:jc w:val="left"/>
      </w:pPr>
      <w:r>
        <w:rPr>
          <w:rFonts w:ascii="Calibri" w:hAnsi="Calibri" w:eastAsia="Calibri"/>
          <w:i w:val="0"/>
          <w:color w:val="17212B"/>
        </w:rPr>
        <w:t>Entrega visibilidad operacional, reduce reconstrucciones manuales del historial, mejora el control de responsabilidades, facilita auditorías y permite priorizar equipos con mayor riesgo de reincidencia. El valor se validará mediante métricas y pruebas, evitando estimaciones no demostradas.</w:t>
      </w:r>
    </w:p>
    <w:p>
      <w:pPr>
        <w:pStyle w:val="Heading1"/>
        <w:keepNext/>
      </w:pPr>
      <w:r>
        <w:t>12. Criterios de éxito</w:t>
      </w:r>
    </w:p>
    <w:p>
      <w:pPr>
        <w:pStyle w:val="ListBullet"/>
      </w:pPr>
      <w:r>
        <w:rPr>
          <w:rFonts w:ascii="Calibri" w:hAnsi="Calibri" w:eastAsia="Calibri"/>
          <w:color w:val="17212B"/>
        </w:rPr>
        <w:t>Los requisitos priorizados se encuentran trazados a diseño y pruebas.</w:t>
      </w:r>
    </w:p>
    <w:p>
      <w:pPr>
        <w:pStyle w:val="ListBullet"/>
      </w:pPr>
      <w:r>
        <w:rPr>
          <w:rFonts w:ascii="Calibri" w:hAnsi="Calibri" w:eastAsia="Calibri"/>
          <w:color w:val="17212B"/>
        </w:rPr>
        <w:t>El flujo crítico puede demostrarse con roles reales y datos controlados.</w:t>
      </w:r>
    </w:p>
    <w:p>
      <w:pPr>
        <w:pStyle w:val="ListBullet"/>
      </w:pPr>
      <w:r>
        <w:rPr>
          <w:rFonts w:ascii="Calibri" w:hAnsi="Calibri" w:eastAsia="Calibri"/>
          <w:color w:val="17212B"/>
        </w:rPr>
        <w:t>Las pruebas automatizadas y manuales registran resultados reproducibles.</w:t>
      </w:r>
    </w:p>
    <w:p>
      <w:pPr>
        <w:pStyle w:val="ListBullet"/>
      </w:pPr>
      <w:r>
        <w:rPr>
          <w:rFonts w:ascii="Calibri" w:hAnsi="Calibri" w:eastAsia="Calibri"/>
          <w:color w:val="17212B"/>
        </w:rPr>
        <w:t>La instalación puede repetirse desde documentación y variables de entorno seguras.</w:t>
      </w:r>
    </w:p>
    <w:p>
      <w:pPr>
        <w:pStyle w:val="ListBullet"/>
      </w:pPr>
      <w:r>
        <w:rPr>
          <w:rFonts w:ascii="Calibri" w:hAnsi="Calibri" w:eastAsia="Calibri"/>
          <w:color w:val="17212B"/>
        </w:rPr>
        <w:t>Los diagramas representan el código y el modelo de datos vigentes.</w:t>
      </w:r>
    </w:p>
    <w:p>
      <w:pPr>
        <w:pStyle w:val="ListBullet"/>
      </w:pPr>
      <w:r>
        <w:rPr>
          <w:rFonts w:ascii="Calibri" w:hAnsi="Calibri" w:eastAsia="Calibri"/>
          <w:color w:val="17212B"/>
        </w:rPr>
        <w:t>Las limitaciones pendientes se declaran sin presentar como terminadas capacidades no validadas.</w:t>
      </w:r>
    </w:p>
    <w:tbl>
      <w:tblPr>
        <w:tblW w:type="dxa" w:w="9360"/>
        <w:jc w:val="left"/>
        <w:tblLayout w:type="fixed"/>
        <w:tblLook w:firstColumn="1" w:firstRow="1" w:lastColumn="0" w:lastRow="0" w:noHBand="0" w:noVBand="1" w:val="04A0"/>
        <w:tblInd w:w="120" w:type="dxa"/>
        <w:tblBorders>
          <w:top w:val="single" w:sz="8" w:space="0" w:color="1565C0"/>
          <w:left w:val="single" w:sz="8" w:space="0" w:color="1565C0"/>
          <w:bottom w:val="single" w:sz="8" w:space="0" w:color="1565C0"/>
          <w:right w:val="single" w:sz="8" w:space="0" w:color="1565C0"/>
          <w:insideH w:val="single" w:sz="8" w:space="0" w:color="1565C0"/>
          <w:insideV w:val="single" w:sz="8" w:space="0" w:color="1565C0"/>
        </w:tblBorders>
      </w:tblPr>
      <w:tblGrid>
        <w:gridCol w:w="9360"/>
      </w:tblGrid>
      <w:tr>
        <w:tc>
          <w:tcPr>
            <w:tcW w:type="dxa" w:w="9360"/>
            <w:tcMar>
              <w:top w:w="80" w:type="dxa"/>
              <w:start w:w="120" w:type="dxa"/>
              <w:bottom w:w="80" w:type="dxa"/>
              <w:end w:w="120" w:type="dxa"/>
            </w:tcMar>
            <w:vAlign w:val="center"/>
            <w:shd w:fill="EAF2FB"/>
          </w:tcPr>
          <w:p>
            <w:pPr>
              <w:spacing w:after="40"/>
            </w:pPr>
            <w:r>
              <w:rPr>
                <w:rFonts w:ascii="Calibri" w:hAnsi="Calibri" w:eastAsia="Calibri"/>
                <w:b/>
                <w:color w:val="1565C0"/>
                <w:sz w:val="21"/>
              </w:rPr>
              <w:t>Línea base documental</w:t>
            </w:r>
          </w:p>
          <w:p>
            <w:pPr>
              <w:spacing w:after="0"/>
            </w:pPr>
            <w:r>
              <w:rPr>
                <w:rFonts w:ascii="Calibri" w:hAnsi="Calibri" w:eastAsia="Calibri"/>
                <w:color w:val="17212B"/>
                <w:sz w:val="20"/>
              </w:rPr>
              <w:t>Este documento debe revisarse con el docente y actualizarse únicamente mediante cambios controlados durante las fases siguientes.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7"/>
      </w:rPr>
      <w:t xml:space="preserve">Duoc UC · Ingeniería en Informática    |    Página </w:t>
    </w:r>
    <w:r>
      <w:rPr>
        <w:rFonts w:ascii="Calibri" w:hAnsi="Calibri" w:eastAsia="Calibri"/>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7"/>
      </w:rPr>
      <w:t>PMP SUITE  |  CAPSTONE 2026</w:t>
    </w:r>
    <w:r>
      <w:rPr>
        <w:rFonts w:ascii="Calibri" w:hAnsi="Calibri" w:eastAsia="Calibri"/>
        <w:color w:val="5F6B76"/>
        <w:sz w:val="17"/>
      </w:rPr>
      <w:t xml:space="preserve">     Documento de Inicio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1B2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E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PMP Suite - Documento de Inicio</dc:title>
  <dc:subject>Proyecto APT Capstone - Metodología Cascada</dc:subject>
  <dc:creator>Rafael Oteiza; Matías Garrido; Luis Arenas</dc:creator>
  <cp:keywords>PMP Suite, Capstone, Cascada, Duoc UC</cp:keywords>
  <dc:description>Documento académico generado desde fuentes vigentes del proyecto.</dc:description>
  <cp:lastModifiedBy/>
  <cp:revision>1</cp:revision>
  <dcterms:created xsi:type="dcterms:W3CDTF">2013-12-23T23:15:00Z</dcterms:created>
  <dcterms:modified xsi:type="dcterms:W3CDTF">2013-12-23T23:15:00Z</dcterms:modified>
  <cp:category/>
</cp:coreProperties>
</file>