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Calibri" w:hAnsi="Calibri" w:eastAsia="Calibri"/>
          <w:b/>
          <w:color w:val="002D62"/>
          <w:sz w:val="36"/>
        </w:rPr>
        <w:t>DUOC UC</w:t>
        <w:br/>
      </w:r>
      <w:r>
        <w:rPr>
          <w:rFonts w:ascii="Calibri" w:hAnsi="Calibri" w:eastAsia="Calibri"/>
          <w:color w:val="505050"/>
          <w:sz w:val="24"/>
        </w:rPr>
        <w:t>Escuela de Informática y Telecomunicaciones</w:t>
      </w:r>
    </w:p>
    <w:p>
      <w:pPr>
        <w:widowControl/>
      </w:pPr>
    </w:p>
    <w:p>
      <w:pPr>
        <w:widowControl/>
      </w:pPr>
    </w:p>
    <w:p>
      <w:pPr>
        <w:widowControl/>
      </w:pPr>
    </w:p>
    <w:p>
      <w:pPr>
        <w:widowControl/>
      </w:pPr>
    </w:p>
    <w:p>
      <w:pPr>
        <w:pStyle w:val="CoverTitle"/>
        <w:widowControl/>
        <w:jc w:val="center"/>
      </w:pPr>
      <w:r>
        <w:rPr>
          <w:rFonts w:ascii="Calibri" w:hAnsi="Calibri" w:eastAsia="Calibri"/>
        </w:rPr>
        <w:t>Informe Final Capstone</w:t>
      </w:r>
    </w:p>
    <w:p>
      <w:pPr>
        <w:pStyle w:val="CoverSub"/>
        <w:widowControl/>
        <w:jc w:val="center"/>
      </w:pPr>
      <w:r>
        <w:rPr>
          <w:rFonts w:ascii="Calibri" w:hAnsi="Calibri" w:eastAsia="Calibri"/>
        </w:rPr>
        <w:t xml:space="preserve">PMP Suite Modelo funcional Capstone vigente</w:t>
      </w:r>
    </w:p>
    <w:p>
      <w:pPr>
        <w:pStyle w:val="CoverSub"/>
        <w:widowControl/>
        <w:jc w:val="center"/>
      </w:pPr>
      <w:r>
        <w:rPr>
          <w:rFonts w:ascii="Calibri" w:hAnsi="Calibri" w:eastAsia="Calibri"/>
        </w:rPr>
        <w:t>Sistema integral para la gestión logística, mantenimiento, trazabilidad y predicción de fallas en validadores y consolas de transporte público</w:t>
      </w:r>
    </w:p>
    <w:p>
      <w:pPr>
        <w:widowControl/>
      </w:pPr>
    </w:p>
    <w:p>
      <w:pPr>
        <w:widowControl/>
      </w:pPr>
    </w:p>
    <w:p>
      <w:pPr>
        <w:widowControl/>
      </w:pP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2592"/>
            <w:vAlign w:val="center"/>
            <w:shd w:fill="002D62"/>
          </w:tcPr>
          <w:p>
            <w:r/>
            <w:r>
              <w:rPr>
                <w:b/>
                <w:color w:val="FFFFFF"/>
                <w:sz w:val="18"/>
              </w:rPr>
              <w:t>Campo</w:t>
            </w:r>
          </w:p>
        </w:tc>
        <w:tc>
          <w:tcPr>
            <w:tcW w:type="dxa" w:w="7920"/>
            <w:vAlign w:val="center"/>
            <w:shd w:fill="002D62"/>
          </w:tcPr>
          <w:p>
            <w:r/>
            <w:r>
              <w:rPr>
                <w:b/>
                <w:color w:val="FFFFFF"/>
                <w:sz w:val="18"/>
              </w:rPr>
              <w:t>Detalle</w:t>
            </w:r>
          </w:p>
        </w:tc>
      </w:tr>
      <w:tr>
        <w:tc>
          <w:tcPr>
            <w:tcW w:type="dxa" w:w="2592"/>
            <w:vAlign w:val="center"/>
          </w:tcPr>
          <w:p>
            <w:r/>
            <w:r>
              <w:rPr>
                <w:b w:val="0"/>
                <w:sz w:val="17"/>
              </w:rPr>
              <w:t>Proyecto</w:t>
            </w:r>
          </w:p>
        </w:tc>
        <w:tc>
          <w:tcPr>
            <w:tcW w:type="dxa" w:w="7920"/>
            <w:vAlign w:val="center"/>
          </w:tcPr>
          <w:p>
            <w:r/>
            <w:r>
              <w:rPr>
                <w:b w:val="0"/>
                <w:sz w:val="17"/>
              </w:rPr>
              <w:t>PMP Suite — Sistema ERP de Gestión de Mantenimiento Preventivo</w:t>
            </w:r>
          </w:p>
        </w:tc>
      </w:tr>
      <w:tr>
        <w:tc>
          <w:tcPr>
            <w:tcW w:type="dxa" w:w="2592"/>
            <w:vAlign w:val="center"/>
            <w:shd w:fill="F8FAFC"/>
          </w:tcPr>
          <w:p>
            <w:r/>
            <w:r>
              <w:rPr>
                <w:b w:val="0"/>
                <w:sz w:val="17"/>
              </w:rPr>
              <w:t>Tipo de entrega</w:t>
            </w:r>
          </w:p>
        </w:tc>
        <w:tc>
          <w:tcPr>
            <w:tcW w:type="dxa" w:w="7920"/>
            <w:vAlign w:val="center"/>
            <w:shd w:fill="F8FAFC"/>
          </w:tcPr>
          <w:p>
            <w:r/>
            <w:r>
              <w:rPr>
                <w:b w:val="0"/>
                <w:sz w:val="17"/>
              </w:rPr>
              <w:t>Informe Final Capstone / Proyecto de Título</w:t>
            </w:r>
          </w:p>
        </w:tc>
      </w:tr>
      <w:tr>
        <w:tc>
          <w:tcPr>
            <w:tcW w:type="dxa" w:w="2592"/>
            <w:vAlign w:val="center"/>
          </w:tcPr>
          <w:p>
            <w:r/>
            <w:r>
              <w:rPr>
                <w:b w:val="0"/>
                <w:sz w:val="17"/>
              </w:rPr>
              <w:t>Programa</w:t>
            </w:r>
          </w:p>
        </w:tc>
        <w:tc>
          <w:tcPr>
            <w:tcW w:type="dxa" w:w="7920"/>
            <w:vAlign w:val="center"/>
          </w:tcPr>
          <w:p>
            <w:r/>
            <w:r>
              <w:rPr>
                <w:b w:val="0"/>
                <w:sz w:val="17"/>
              </w:rPr>
              <w:t>Ingeniería en Informática</w:t>
            </w:r>
          </w:p>
        </w:tc>
      </w:tr>
      <w:tr>
        <w:tc>
          <w:tcPr>
            <w:tcW w:type="dxa" w:w="2592"/>
            <w:vAlign w:val="center"/>
            <w:shd w:fill="F8FAFC"/>
          </w:tcPr>
          <w:p>
            <w:r/>
            <w:r>
              <w:rPr>
                <w:b w:val="0"/>
                <w:sz w:val="17"/>
              </w:rPr>
              <w:t>Institución</w:t>
            </w:r>
          </w:p>
        </w:tc>
        <w:tc>
          <w:tcPr>
            <w:tcW w:type="dxa" w:w="7920"/>
            <w:vAlign w:val="center"/>
            <w:shd w:fill="F8FAFC"/>
          </w:tcPr>
          <w:p>
            <w:r/>
            <w:r>
              <w:rPr>
                <w:b w:val="0"/>
                <w:sz w:val="17"/>
              </w:rPr>
              <w:t>DUOC UC</w:t>
            </w:r>
          </w:p>
        </w:tc>
      </w:tr>
      <w:tr>
        <w:tc>
          <w:tcPr>
            <w:tcW w:type="dxa" w:w="2592"/>
            <w:vAlign w:val="center"/>
          </w:tcPr>
          <w:p>
            <w:r/>
            <w:r>
              <w:rPr>
                <w:b w:val="0"/>
                <w:sz w:val="17"/>
              </w:rPr>
              <w:t>Versión del informe</w:t>
            </w:r>
          </w:p>
        </w:tc>
        <w:tc>
          <w:tcPr>
            <w:tcW w:type="dxa" w:w="7920"/>
            <w:vAlign w:val="center"/>
          </w:tcPr>
          <w:p>
            <w:r/>
            <w:r>
              <w:rPr>
                <w:b w:val="0"/>
                <w:sz w:val="17"/>
              </w:rPr>
              <w:t xml:space="preserve">4.2 — Sincronización documental con Capstone v2.0</w:t>
            </w:r>
          </w:p>
        </w:tc>
      </w:tr>
      <w:tr>
        <w:tc>
          <w:tcPr>
            <w:tcW w:type="dxa" w:w="2592"/>
            <w:vAlign w:val="center"/>
            <w:shd w:fill="F8FAFC"/>
          </w:tcPr>
          <w:p>
            <w:r/>
            <w:r>
              <w:rPr>
                <w:b w:val="0"/>
                <w:sz w:val="17"/>
              </w:rPr>
              <w:t>Fecha referencial del proyecto</w:t>
            </w:r>
          </w:p>
        </w:tc>
        <w:tc>
          <w:tcPr>
            <w:tcW w:type="dxa" w:w="7920"/>
            <w:vAlign w:val="center"/>
            <w:shd w:fill="F8FAFC"/>
          </w:tcPr>
          <w:p>
            <w:r/>
            <w:r>
              <w:rPr>
                <w:b w:val="0"/>
                <w:sz w:val="17"/>
              </w:rPr>
              <w:t xml:space="preserve">Abril 2026 (antecedente); revisión documental 23 de septiembre de 2026</w:t>
            </w:r>
          </w:p>
        </w:tc>
      </w:tr>
    </w:tbl>
    <w:p>
      <w:pPr>
        <w:widowControl/>
      </w:pPr>
    </w:p>
    <w:p>
      <w:pPr>
        <w:widowControl/>
        <w:jc w:val="center"/>
      </w:pPr>
      <w:r>
        <w:rPr>
          <w:rFonts w:ascii="Calibri" w:hAnsi="Calibri" w:eastAsia="Calibri"/>
          <w:b/>
        </w:rPr>
        <w:t>Equipo de Proyecto</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360"/>
        <w:gridCol w:w="3360"/>
        <w:gridCol w:w="3360"/>
      </w:tblGrid>
      <w:tr>
        <w:trPr>
          <w:tblHeader w:val="true"/>
        </w:trPr>
        <w:tc>
          <w:tcPr>
            <w:tcW w:type="dxa" w:w="2160"/>
            <w:vAlign w:val="center"/>
            <w:shd w:fill="002D62"/>
          </w:tcPr>
          <w:p>
            <w:r/>
            <w:r>
              <w:rPr>
                <w:b/>
                <w:color w:val="FFFFFF"/>
                <w:sz w:val="18"/>
              </w:rPr>
              <w:t>Integrante</w:t>
            </w:r>
          </w:p>
        </w:tc>
        <w:tc>
          <w:tcPr>
            <w:tcW w:type="dxa" w:w="3456"/>
            <w:vAlign w:val="center"/>
            <w:shd w:fill="002D62"/>
          </w:tcPr>
          <w:p>
            <w:r/>
            <w:r>
              <w:rPr>
                <w:b/>
                <w:color w:val="FFFFFF"/>
                <w:sz w:val="18"/>
              </w:rPr>
              <w:t>Rol principal</w:t>
            </w:r>
          </w:p>
        </w:tc>
        <w:tc>
          <w:tcPr>
            <w:tcW w:type="dxa" w:w="4896"/>
            <w:vAlign w:val="center"/>
            <w:shd w:fill="002D62"/>
          </w:tcPr>
          <w:p>
            <w:r/>
            <w:r>
              <w:rPr>
                <w:b/>
                <w:color w:val="FFFFFF"/>
                <w:sz w:val="18"/>
              </w:rPr>
              <w:t>Responsabilidad</w:t>
            </w:r>
          </w:p>
        </w:tc>
      </w:tr>
      <w:tr>
        <w:tc>
          <w:tcPr>
            <w:tcW w:type="dxa" w:w="2160"/>
            <w:vAlign w:val="center"/>
          </w:tcPr>
          <w:p>
            <w:r/>
            <w:r>
              <w:rPr>
                <w:b w:val="0"/>
                <w:sz w:val="17"/>
              </w:rPr>
              <w:t>Rafael Oteiza</w:t>
            </w:r>
          </w:p>
        </w:tc>
        <w:tc>
          <w:tcPr>
            <w:tcW w:type="dxa" w:w="3456"/>
            <w:vAlign w:val="center"/>
          </w:tcPr>
          <w:p>
            <w:r/>
            <w:r>
              <w:rPr>
                <w:b w:val="0"/>
                <w:sz w:val="17"/>
              </w:rPr>
              <w:t>Gestión, arquitectura, base de datos y backend</w:t>
            </w:r>
          </w:p>
        </w:tc>
        <w:tc>
          <w:tcPr>
            <w:tcW w:type="dxa" w:w="4896"/>
            <w:vAlign w:val="center"/>
          </w:tcPr>
          <w:p>
            <w:r/>
            <w:r>
              <w:rPr>
                <w:b w:val="0"/>
                <w:sz w:val="17"/>
              </w:rPr>
              <w:t>Gestión del proyecto, arquitectura de sistemas, base de datos y desarrollo backend.</w:t>
            </w:r>
          </w:p>
        </w:tc>
      </w:tr>
      <w:tr>
        <w:tc>
          <w:tcPr>
            <w:tcW w:type="dxa" w:w="2160"/>
            <w:vAlign w:val="center"/>
            <w:shd w:fill="F8FAFC"/>
          </w:tcPr>
          <w:p>
            <w:r/>
            <w:r>
              <w:rPr>
                <w:b w:val="0"/>
                <w:sz w:val="17"/>
              </w:rPr>
              <w:t>Matías Garrido</w:t>
            </w:r>
          </w:p>
        </w:tc>
        <w:tc>
          <w:tcPr>
            <w:tcW w:type="dxa" w:w="3456"/>
            <w:vAlign w:val="center"/>
            <w:shd w:fill="F8FAFC"/>
          </w:tcPr>
          <w:p>
            <w:r/>
            <w:r>
              <w:rPr>
                <w:b w:val="0"/>
                <w:sz w:val="17"/>
              </w:rPr>
              <w:t>Documentación y levantamiento de requerimientos</w:t>
            </w:r>
          </w:p>
        </w:tc>
        <w:tc>
          <w:tcPr>
            <w:tcW w:type="dxa" w:w="4896"/>
            <w:vAlign w:val="center"/>
            <w:shd w:fill="F8FAFC"/>
          </w:tcPr>
          <w:p>
            <w:r/>
            <w:r>
              <w:rPr>
                <w:b w:val="0"/>
                <w:sz w:val="17"/>
              </w:rPr>
              <w:t>Documentación del proyecto y levantamiento de requerimientos.</w:t>
            </w:r>
          </w:p>
        </w:tc>
      </w:tr>
      <w:tr>
        <w:tc>
          <w:tcPr>
            <w:tcW w:type="dxa" w:w="2160"/>
            <w:vAlign w:val="center"/>
          </w:tcPr>
          <w:p>
            <w:r/>
            <w:r>
              <w:rPr>
                <w:b w:val="0"/>
                <w:sz w:val="17"/>
              </w:rPr>
              <w:t>Luis Arenas</w:t>
            </w:r>
          </w:p>
        </w:tc>
        <w:tc>
          <w:tcPr>
            <w:tcW w:type="dxa" w:w="3456"/>
            <w:vAlign w:val="center"/>
          </w:tcPr>
          <w:p>
            <w:r/>
            <w:r>
              <w:rPr>
                <w:b w:val="0"/>
                <w:sz w:val="17"/>
              </w:rPr>
              <w:t>Frontend web y aplicación móvil</w:t>
            </w:r>
          </w:p>
        </w:tc>
        <w:tc>
          <w:tcPr>
            <w:tcW w:type="dxa" w:w="4896"/>
            <w:vAlign w:val="center"/>
          </w:tcPr>
          <w:p>
            <w:r/>
            <w:r>
              <w:rPr>
                <w:b w:val="0"/>
                <w:sz w:val="17"/>
              </w:rPr>
              <w:t>Desarrollo del frontend web y de la aplicación móvil.</w:t>
            </w:r>
          </w:p>
        </w:tc>
      </w:tr>
    </w:tbl>
    <w:p>
      <w:pPr>
        <w:widowControl/>
      </w:pPr>
    </w:p>
    <w:p>
      <w:pPr>
        <w:widowControl/>
      </w:pPr>
      <w:r>
        <w:rPr>
          <w:rFonts w:ascii="Calibri" w:hAnsi="Calibri" w:eastAsia="Calibri"/>
        </w:rPr>
        <w:br w:type="page"/>
      </w:r>
    </w:p>
    <w:p>
      <w:pPr>
        <w:pStyle w:val="Heading1"/>
        <w:widowControl/>
      </w:pPr>
      <w:r>
        <w:rPr>
          <w:rFonts w:ascii="Calibri" w:hAnsi="Calibri" w:eastAsia="Calibri"/>
        </w:rPr>
        <w:t>Control documental</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360"/>
        <w:gridCol w:w="3360"/>
        <w:gridCol w:w="3360"/>
      </w:tblGrid>
      <w:tr>
        <w:trPr>
          <w:tblHeader w:val="true"/>
        </w:trPr>
        <w:tc>
          <w:tcPr>
            <w:tcW w:type="dxa" w:w="1296"/>
            <w:vAlign w:val="center"/>
            <w:shd w:fill="002D62"/>
          </w:tcPr>
          <w:p>
            <w:r/>
            <w:r>
              <w:rPr>
                <w:b/>
                <w:color w:val="FFFFFF"/>
                <w:sz w:val="18"/>
              </w:rPr>
              <w:t>Versión</w:t>
            </w:r>
          </w:p>
        </w:tc>
        <w:tc>
          <w:tcPr>
            <w:tcW w:type="dxa" w:w="3168"/>
            <w:vAlign w:val="center"/>
            <w:shd w:fill="002D62"/>
          </w:tcPr>
          <w:p>
            <w:r/>
            <w:r>
              <w:rPr>
                <w:b/>
                <w:color w:val="FFFFFF"/>
                <w:sz w:val="18"/>
              </w:rPr>
              <w:t>Descripción</w:t>
            </w:r>
          </w:p>
        </w:tc>
        <w:tc>
          <w:tcPr>
            <w:tcW w:type="dxa" w:w="6048"/>
            <w:vAlign w:val="center"/>
            <w:shd w:fill="002D62"/>
          </w:tcPr>
          <w:p>
            <w:r/>
            <w:r>
              <w:rPr>
                <w:b/>
                <w:color w:val="FFFFFF"/>
                <w:sz w:val="18"/>
              </w:rPr>
              <w:t>Contenido incorporado</w:t>
            </w:r>
          </w:p>
        </w:tc>
      </w:tr>
      <w:tr>
        <w:tc>
          <w:tcPr>
            <w:tcW w:type="dxa" w:w="1296"/>
            <w:vAlign w:val="center"/>
          </w:tcPr>
          <w:p>
            <w:r/>
            <w:r>
              <w:rPr>
                <w:b w:val="0"/>
                <w:sz w:val="17"/>
              </w:rPr>
              <w:t>1.0</w:t>
            </w:r>
          </w:p>
        </w:tc>
        <w:tc>
          <w:tcPr>
            <w:tcW w:type="dxa" w:w="3168"/>
            <w:vAlign w:val="center"/>
          </w:tcPr>
          <w:p>
            <w:r/>
            <w:r>
              <w:rPr>
                <w:b w:val="0"/>
                <w:sz w:val="17"/>
              </w:rPr>
              <w:t>Base del informe</w:t>
            </w:r>
          </w:p>
        </w:tc>
        <w:tc>
          <w:tcPr>
            <w:tcW w:type="dxa" w:w="6048"/>
            <w:vAlign w:val="center"/>
          </w:tcPr>
          <w:p>
            <w:r/>
            <w:r>
              <w:rPr>
                <w:b w:val="0"/>
                <w:sz w:val="17"/>
              </w:rPr>
              <w:t>Documento maestro Capstone PMP Suite.</w:t>
            </w:r>
          </w:p>
        </w:tc>
      </w:tr>
      <w:tr>
        <w:tc>
          <w:tcPr>
            <w:tcW w:type="dxa" w:w="1296"/>
            <w:vAlign w:val="center"/>
            <w:shd w:fill="F8FAFC"/>
          </w:tcPr>
          <w:p>
            <w:r/>
            <w:r>
              <w:rPr>
                <w:b w:val="0"/>
                <w:sz w:val="17"/>
              </w:rPr>
              <w:t>2.0</w:t>
            </w:r>
          </w:p>
        </w:tc>
        <w:tc>
          <w:tcPr>
            <w:tcW w:type="dxa" w:w="3168"/>
            <w:vAlign w:val="center"/>
            <w:shd w:fill="F8FAFC"/>
          </w:tcPr>
          <w:p>
            <w:r/>
            <w:r>
              <w:rPr>
                <w:b w:val="0"/>
                <w:sz w:val="17"/>
              </w:rPr>
              <w:t>Consolidación de requerimientos</w:t>
            </w:r>
          </w:p>
        </w:tc>
        <w:tc>
          <w:tcPr>
            <w:tcW w:type="dxa" w:w="6048"/>
            <w:vAlign w:val="center"/>
            <w:shd w:fill="F8FAFC"/>
          </w:tcPr>
          <w:p>
            <w:r/>
            <w:r>
              <w:rPr>
                <w:b w:val="0"/>
                <w:sz w:val="17"/>
              </w:rPr>
              <w:t>ERS v5.0, módulos funcionales, matriz de requerimientos y trazabilidad.</w:t>
            </w:r>
          </w:p>
        </w:tc>
      </w:tr>
      <w:tr>
        <w:tc>
          <w:tcPr>
            <w:tcW w:type="dxa" w:w="1296"/>
            <w:vAlign w:val="center"/>
          </w:tcPr>
          <w:p>
            <w:r/>
            <w:r>
              <w:rPr>
                <w:b w:val="0"/>
                <w:sz w:val="17"/>
              </w:rPr>
              <w:t>3.0</w:t>
            </w:r>
          </w:p>
        </w:tc>
        <w:tc>
          <w:tcPr>
            <w:tcW w:type="dxa" w:w="3168"/>
            <w:vAlign w:val="center"/>
          </w:tcPr>
          <w:p>
            <w:r/>
            <w:r>
              <w:rPr>
                <w:b w:val="0"/>
                <w:sz w:val="17"/>
              </w:rPr>
              <w:t>Consolidación arquitectónica</w:t>
            </w:r>
          </w:p>
        </w:tc>
        <w:tc>
          <w:tcPr>
            <w:tcW w:type="dxa" w:w="6048"/>
            <w:vAlign w:val="center"/>
          </w:tcPr>
          <w:p>
            <w:r/>
            <w:r>
              <w:rPr>
                <w:b w:val="0"/>
                <w:sz w:val="17"/>
              </w:rPr>
              <w:t>Vistas C4, backend, web, móvil, despliegue, flujos y ERD.</w:t>
            </w:r>
          </w:p>
        </w:tc>
      </w:tr>
      <w:tr>
        <w:tc>
          <w:tcPr>
            <w:tcW w:type="dxa" w:w="1296"/>
            <w:vAlign w:val="center"/>
            <w:shd w:fill="F8FAFC"/>
          </w:tcPr>
          <w:p>
            <w:r/>
            <w:r>
              <w:rPr>
                <w:b w:val="0"/>
                <w:sz w:val="17"/>
              </w:rPr>
              <w:t>4.0</w:t>
            </w:r>
          </w:p>
        </w:tc>
        <w:tc>
          <w:tcPr>
            <w:tcW w:type="dxa" w:w="3168"/>
            <w:vAlign w:val="center"/>
            <w:shd w:fill="F8FAFC"/>
          </w:tcPr>
          <w:p>
            <w:r/>
            <w:r>
              <w:rPr>
                <w:b w:val="0"/>
                <w:sz w:val="17"/>
              </w:rPr>
              <w:t>Validación final</w:t>
            </w:r>
          </w:p>
        </w:tc>
        <w:tc>
          <w:tcPr>
            <w:tcW w:type="dxa" w:w="6048"/>
            <w:vAlign w:val="center"/>
            <w:shd w:fill="F8FAFC"/>
          </w:tcPr>
          <w:p>
            <w:r/>
            <w:r>
              <w:rPr>
                <w:b w:val="0"/>
                <w:sz w:val="17"/>
              </w:rPr>
              <w:t>Modelos IA, informe de pruebas, README general y evidencia E2E/estrés.</w:t>
            </w:r>
          </w:p>
        </w:tc>
      </w:tr>
      <w:tr>
        <w:tc>
          <w:tcPr>
            <w:tcW w:type="dxa" w:w="1296"/>
            <w:vAlign w:val="center"/>
          </w:tcPr>
          <w:p>
            <w:r/>
            <w:r>
              <w:rPr>
                <w:b w:val="0"/>
                <w:sz w:val="17"/>
              </w:rPr>
              <w:t>4.1</w:t>
            </w:r>
          </w:p>
        </w:tc>
        <w:tc>
          <w:tcPr>
            <w:tcW w:type="dxa" w:w="3168"/>
            <w:vAlign w:val="center"/>
          </w:tcPr>
          <w:p>
            <w:r/>
            <w:r>
              <w:rPr>
                <w:b w:val="0"/>
                <w:sz w:val="17"/>
              </w:rPr>
              <w:t>Ordenamiento final</w:t>
            </w:r>
          </w:p>
        </w:tc>
        <w:tc>
          <w:tcPr>
            <w:tcW w:type="dxa" w:w="6048"/>
            <w:vAlign w:val="center"/>
          </w:tcPr>
          <w:p>
            <w:r/>
            <w:r>
              <w:rPr>
                <w:b w:val="0"/>
                <w:sz w:val="17"/>
              </w:rPr>
              <w:t>Reorganización académica, numeración coherente, anexos y mejora de lectura.</w:t>
            </w:r>
          </w:p>
        </w:tc>
      </w:tr>
      <w:tr>
        <w:tc>
          <w:tcPr>
            <w:tcW w:type="dxa" w:w="1296"/>
            <w:vAlign w:val="center"/>
          </w:tcPr>
          <w:p>
            <w:r/>
            <w:r>
              <w:rPr>
                <w:b w:val="0"/>
                <w:sz w:val="17"/>
              </w:rPr>
              <w:t>4.2</w:t>
            </w:r>
          </w:p>
        </w:tc>
        <w:tc>
          <w:tcPr>
            <w:tcW w:type="dxa" w:w="3168"/>
            <w:vAlign w:val="center"/>
          </w:tcPr>
          <w:p>
            <w:r/>
            <w:r>
              <w:rPr>
                <w:b w:val="0"/>
                <w:sz w:val="17"/>
              </w:rPr>
              <w:t>Sincronización documental con v2.0</w:t>
            </w:r>
          </w:p>
        </w:tc>
        <w:tc>
          <w:tcPr>
            <w:tcW w:type="dxa" w:w="6048"/>
            <w:vAlign w:val="center"/>
          </w:tcPr>
          <w:p>
            <w:r/>
            <w:r>
              <w:rPr>
                <w:b w:val="0"/>
                <w:sz w:val="17"/>
              </w:rPr>
              <w:t>23-09-2026. Modelo vigente, recepción sin OS, despacho physical-first y separación de evidencia histórica.</w:t>
            </w:r>
          </w:p>
        </w:tc>
      </w:tr>
    </w:tbl>
    <w:p>
      <w:pPr>
        <w:widowControl/>
      </w:pPr>
    </w:p>
    <w:tbl>
      <w:tblPr>
        <w:tblW w:type="auto" w:w="0"/>
        <w:jc w:val="center"/>
        <w:tblLook w:firstColumn="1" w:firstRow="1" w:lastColumn="0" w:lastRow="0" w:noHBand="0" w:noVBand="1" w:val="04A0"/>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10080"/>
      </w:tblGrid>
      <w:tr>
        <w:trPr>
          <w:tblHeader w:val="true"/>
        </w:trPr>
        <w:tc>
          <w:tcPr>
            <w:tcW w:type="dxa" w:w="10080"/>
            <w:shd w:fill="EAF3FF"/>
          </w:tcPr>
          <w:p>
            <w:r>
              <w:rPr>
                <w:b/>
                <w:color w:val="002D62"/>
              </w:rPr>
              <w:t xml:space="preserve">Criterio de ordenamiento aplicado: </w:t>
            </w:r>
            <w:r>
              <w:t>El informe fue reestructurado para separar claramente el problema, la solución, los requerimientos, la arquitectura, la implementación, la inteligencia artificial, la validación y los anexos. Se eliminaron duplicidades de numeración y se agruparon las evidencias técnicas al final.</w:t>
            </w:r>
          </w:p>
          <w:p>
            <w:pPr>
              <w:widowControl/>
            </w:pPr>
            <w:r>
              <w:rPr>
                <w:rFonts w:ascii="Calibri" w:hAnsi="Calibri" w:eastAsia="Calibri"/>
              </w:rPr>
              <w:t xml:space="preserve">Actualización documental del 23 de septiembre de 2026: este informe se sincroniza con la línea base final Capstone v2.0. Los cinco DOCX normativos y README_VIGENCIA_v2.0.md no se regeneran ni sobrescriben. La sección 12 y el Anexo C preservan resultados de la versión anterior; esta revisión no ejecuta suites ni builds.</w:t>
            </w:r>
          </w:p>
        </w:tc>
      </w:tr>
    </w:tbl>
    <w:p>
      <w:pPr>
        <w:widowControl/>
      </w:pPr>
    </w:p>
    <w:p>
      <w:pPr>
        <w:widowControl/>
      </w:pPr>
      <w:r>
        <w:rPr>
          <w:rFonts w:ascii="Calibri" w:hAnsi="Calibri" w:eastAsia="Calibri"/>
        </w:rPr>
        <w:br w:type="page"/>
      </w:r>
    </w:p>
    <w:p>
      <w:pPr>
        <w:pStyle w:val="Heading1"/>
        <w:widowControl/>
      </w:pPr>
      <w:r>
        <w:rPr>
          <w:rFonts w:ascii="Calibri" w:hAnsi="Calibri" w:eastAsia="Calibri"/>
        </w:rPr>
        <w:t>Resumen ejecutivo</w:t>
      </w:r>
    </w:p>
    <w:p>
      <w:pPr>
        <w:widowControl/>
      </w:pPr>
      <w:r>
        <w:rPr>
          <w:rFonts w:ascii="Calibri" w:hAnsi="Calibri" w:eastAsia="Calibri"/>
        </w:rPr>
        <w:t xml:space="preserve">PMP Suite gestiona la vida de validadores y consolas por tipo + serie: maestro, recepción inicial sin OS, requerimientos sobre activos existentes, mantenimiento, stock, despacho físico e instalación. Bridge conserva únicamente correlaciones externas. Cada OS mantiene la identidad del activo intervenido.</w:t>
      </w:r>
    </w:p>
    <w:p>
      <w:pPr>
        <w:widowControl/>
      </w:pPr>
      <w:r>
        <w:rPr>
          <w:rFonts w:ascii="Calibri" w:hAnsi="Calibri" w:eastAsia="Calibri"/>
        </w:rPr>
        <w:t>El problema abordado corresponde a la falta de trazabilidad integral en la logística inversa de activos tecnológicos. Aunque el mandante utiliza herramientas ITSM para registrar incidencias, el proceso posterior de retiro físico, reparación y retorno operacional requiere control transaccional, evidencia, estados auditables y visibilidad gerencial.</w:t>
      </w:r>
    </w:p>
    <w:p>
      <w:pPr>
        <w:widowControl/>
      </w:pPr>
      <w:r>
        <w:rPr>
          <w:rFonts w:ascii="Calibri" w:hAnsi="Calibri" w:eastAsia="Calibri"/>
        </w:rPr>
        <w:t xml:space="preserve">La arquitectura mantiene web, Mobile, API REST, PostgreSQL, Firebase y analizador Python. La línea base v2.0 remite a resultados registrados: backend 56/56, frontend 62/62, build web, exportaciones Expo SDK 57 Android/iOS y cuatro familias E2E aprobadas. No se ejecutaron nuevamente en esta revisión; la validación con lector y teléfono sigue pendiente.</w:t>
      </w:r>
    </w:p>
    <w:p>
      <w:pPr>
        <w:widowControl/>
      </w:pPr>
      <w:r>
        <w:rPr>
          <w:rFonts w:ascii="Calibri" w:hAnsi="Calibri" w:eastAsia="Calibri"/>
        </w:rPr>
        <w:t>Como entrega Capstone, PMP Suite demuestra competencias de levantamiento de requerimientos, diseño de software, arquitectura sistémica, seguridad, bases de datos, desarrollo de interfaces, pruebas de calidad, despliegue y análisis predictivo, conectando la formación académica con una problemática operacional real.</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2736"/>
            <w:vAlign w:val="center"/>
            <w:shd w:fill="002D62"/>
          </w:tcPr>
          <w:p>
            <w:r/>
            <w:r>
              <w:rPr>
                <w:b/>
                <w:color w:val="FFFFFF"/>
                <w:sz w:val="18"/>
              </w:rPr>
              <w:t>Eje de valor</w:t>
            </w:r>
          </w:p>
        </w:tc>
        <w:tc>
          <w:tcPr>
            <w:tcW w:type="dxa" w:w="7776"/>
            <w:vAlign w:val="center"/>
            <w:shd w:fill="002D62"/>
          </w:tcPr>
          <w:p>
            <w:r/>
            <w:r>
              <w:rPr>
                <w:b/>
                <w:color w:val="FFFFFF"/>
                <w:sz w:val="18"/>
              </w:rPr>
              <w:t>Descripción</w:t>
            </w:r>
          </w:p>
        </w:tc>
      </w:tr>
      <w:tr>
        <w:tc>
          <w:tcPr>
            <w:tcW w:type="dxa" w:w="2736"/>
            <w:vAlign w:val="center"/>
          </w:tcPr>
          <w:p>
            <w:r/>
            <w:r>
              <w:rPr>
                <w:b w:val="0"/>
                <w:sz w:val="17"/>
              </w:rPr>
              <w:t>Trazabilidad End-to-End</w:t>
            </w:r>
          </w:p>
        </w:tc>
        <w:tc>
          <w:tcPr>
            <w:tcW w:type="dxa" w:w="7776"/>
            <w:vAlign w:val="center"/>
          </w:tcPr>
          <w:p>
            <w:r/>
            <w:r>
              <w:rPr>
                <w:b w:val="0"/>
                <w:sz w:val="17"/>
              </w:rPr>
              <w:t>Historial completo de cada equipo, OS, evento, guía, repuesto y decisión QA.</w:t>
            </w:r>
          </w:p>
        </w:tc>
      </w:tr>
      <w:tr>
        <w:tc>
          <w:tcPr>
            <w:tcW w:type="dxa" w:w="2736"/>
            <w:vAlign w:val="center"/>
            <w:shd w:fill="F8FAFC"/>
          </w:tcPr>
          <w:p>
            <w:r/>
            <w:r>
              <w:rPr>
                <w:b w:val="0"/>
                <w:sz w:val="17"/>
              </w:rPr>
              <w:t>Control operacional</w:t>
            </w:r>
          </w:p>
        </w:tc>
        <w:tc>
          <w:tcPr>
            <w:tcW w:type="dxa" w:w="7776"/>
            <w:vAlign w:val="center"/>
            <w:shd w:fill="F8FAFC"/>
          </w:tcPr>
          <w:p>
            <w:r/>
            <w:r>
              <w:rPr>
                <w:b w:val="0"/>
                <w:sz w:val="17"/>
              </w:rPr>
              <w:t xml:space="preserve">Recepción inicial sin OS; reparación y QA para fallas; IN independiente solo al confirmar despacho físico.</w:t>
            </w:r>
          </w:p>
        </w:tc>
      </w:tr>
      <w:tr>
        <w:tc>
          <w:tcPr>
            <w:tcW w:type="dxa" w:w="2736"/>
            <w:vAlign w:val="center"/>
          </w:tcPr>
          <w:p>
            <w:r/>
            <w:r>
              <w:rPr>
                <w:b w:val="0"/>
                <w:sz w:val="17"/>
              </w:rPr>
              <w:t>Seguridad y auditoría</w:t>
            </w:r>
          </w:p>
        </w:tc>
        <w:tc>
          <w:tcPr>
            <w:tcW w:type="dxa" w:w="7776"/>
            <w:vAlign w:val="center"/>
          </w:tcPr>
          <w:p>
            <w:r/>
            <w:r>
              <w:rPr>
                <w:b w:val="0"/>
                <w:sz w:val="17"/>
              </w:rPr>
              <w:t>Firebase Auth, RBAC, JWT, validación backend y eventos históricos inmutables.</w:t>
            </w:r>
          </w:p>
        </w:tc>
      </w:tr>
      <w:tr>
        <w:tc>
          <w:tcPr>
            <w:tcW w:type="dxa" w:w="2736"/>
            <w:vAlign w:val="center"/>
            <w:shd w:fill="F8FAFC"/>
          </w:tcPr>
          <w:p>
            <w:r/>
            <w:r>
              <w:rPr>
                <w:b w:val="0"/>
                <w:sz w:val="17"/>
              </w:rPr>
              <w:t>Integridad de datos</w:t>
            </w:r>
          </w:p>
        </w:tc>
        <w:tc>
          <w:tcPr>
            <w:tcW w:type="dxa" w:w="7776"/>
            <w:vAlign w:val="center"/>
            <w:shd w:fill="F8FAFC"/>
          </w:tcPr>
          <w:p>
            <w:r/>
            <w:r>
              <w:rPr>
                <w:b w:val="0"/>
                <w:sz w:val="17"/>
              </w:rPr>
              <w:t>Transacciones, triggers, bloqueos FOR UPDATE y control de race conditions.</w:t>
            </w:r>
          </w:p>
        </w:tc>
      </w:tr>
      <w:tr>
        <w:tc>
          <w:tcPr>
            <w:tcW w:type="dxa" w:w="2736"/>
            <w:vAlign w:val="center"/>
          </w:tcPr>
          <w:p>
            <w:r/>
            <w:r>
              <w:rPr>
                <w:b w:val="0"/>
                <w:sz w:val="17"/>
              </w:rPr>
              <w:t>IA predictiva</w:t>
            </w:r>
          </w:p>
        </w:tc>
        <w:tc>
          <w:tcPr>
            <w:tcW w:type="dxa" w:w="7776"/>
            <w:vAlign w:val="center"/>
          </w:tcPr>
          <w:p>
            <w:r/>
            <w:r>
              <w:rPr>
                <w:b w:val="0"/>
                <w:sz w:val="17"/>
              </w:rPr>
              <w:t>Detección de equipos de alto riesgo, bajo MTBF y reincidencia de fallas.</w:t>
            </w:r>
          </w:p>
        </w:tc>
      </w:tr>
      <w:tr>
        <w:tc>
          <w:tcPr>
            <w:tcW w:type="dxa" w:w="2736"/>
            <w:vAlign w:val="center"/>
            <w:shd w:fill="F8FAFC"/>
          </w:tcPr>
          <w:p>
            <w:r/>
            <w:r>
              <w:rPr>
                <w:b w:val="0"/>
                <w:sz w:val="17"/>
              </w:rPr>
              <w:t>Validación técnica</w:t>
            </w:r>
          </w:p>
        </w:tc>
        <w:tc>
          <w:tcPr>
            <w:tcW w:type="dxa" w:w="7776"/>
            <w:vAlign w:val="center"/>
            <w:shd w:fill="F8FAFC"/>
          </w:tcPr>
          <w:p>
            <w:r/>
            <w:r>
              <w:rPr>
                <w:b w:val="0"/>
                <w:sz w:val="17"/>
              </w:rPr>
              <w:t xml:space="preserve">Línea base v2.0: backend 56/56, frontend 62/62 y cuatro familias E2E aprobadas; validación física pendiente.</w:t>
            </w:r>
          </w:p>
        </w:tc>
      </w:tr>
    </w:tbl>
    <w:p>
      <w:pPr>
        <w:widowControl/>
      </w:pPr>
    </w:p>
    <w:p>
      <w:pPr>
        <w:widowControl/>
      </w:pPr>
      <w:r>
        <w:rPr>
          <w:rFonts w:ascii="Calibri" w:hAnsi="Calibri" w:eastAsia="Calibri"/>
        </w:rPr>
        <w:br w:type="page"/>
      </w:r>
    </w:p>
    <w:p>
      <w:pPr>
        <w:pStyle w:val="Heading1"/>
        <w:widowControl/>
      </w:pPr>
      <w:r>
        <w:rPr>
          <w:rFonts w:ascii="Calibri" w:hAnsi="Calibri" w:eastAsia="Calibri"/>
        </w:rPr>
        <w:t>Índice de contenidos</w:t>
      </w:r>
    </w:p>
    <w:p>
      <w:pPr>
        <w:pStyle w:val="TOCItem"/>
        <w:widowControl/>
      </w:pPr>
      <w:r>
        <w:rPr>
          <w:rFonts w:ascii="Calibri" w:hAnsi="Calibri" w:eastAsia="Calibri"/>
        </w:rPr>
        <w:t>1. Introducción</w:t>
      </w:r>
    </w:p>
    <w:p>
      <w:pPr>
        <w:pStyle w:val="TOCItem"/>
        <w:widowControl/>
      </w:pPr>
      <w:r>
        <w:rPr>
          <w:rFonts w:ascii="Calibri" w:hAnsi="Calibri" w:eastAsia="Calibri"/>
        </w:rPr>
        <w:t>2. Contexto, problema y oportunidad</w:t>
      </w:r>
    </w:p>
    <w:p>
      <w:pPr>
        <w:pStyle w:val="TOCItem"/>
        <w:widowControl/>
      </w:pPr>
      <w:r>
        <w:rPr>
          <w:rFonts w:ascii="Calibri" w:hAnsi="Calibri" w:eastAsia="Calibri"/>
        </w:rPr>
        <w:t>3. Objetivos del proyecto</w:t>
      </w:r>
    </w:p>
    <w:p>
      <w:pPr>
        <w:pStyle w:val="TOCItem"/>
        <w:widowControl/>
      </w:pPr>
      <w:r>
        <w:rPr>
          <w:rFonts w:ascii="Calibri" w:hAnsi="Calibri" w:eastAsia="Calibri"/>
        </w:rPr>
        <w:t>4. Alcance de la solución</w:t>
      </w:r>
    </w:p>
    <w:p>
      <w:pPr>
        <w:pStyle w:val="TOCItem"/>
        <w:widowControl/>
      </w:pPr>
      <w:r>
        <w:rPr>
          <w:rFonts w:ascii="Calibri" w:hAnsi="Calibri" w:eastAsia="Calibri"/>
        </w:rPr>
        <w:t>5. Equipo de trabajo y roles</w:t>
      </w:r>
    </w:p>
    <w:p>
      <w:pPr>
        <w:pStyle w:val="TOCItem"/>
        <w:widowControl/>
      </w:pPr>
      <w:r>
        <w:rPr>
          <w:rFonts w:ascii="Calibri" w:hAnsi="Calibri" w:eastAsia="Calibri"/>
        </w:rPr>
        <w:t>6. Metodología de desarrollo y gestión</w:t>
      </w:r>
    </w:p>
    <w:p>
      <w:pPr>
        <w:pStyle w:val="TOCItem"/>
        <w:widowControl/>
      </w:pPr>
      <w:r>
        <w:rPr>
          <w:rFonts w:ascii="Calibri" w:hAnsi="Calibri" w:eastAsia="Calibri"/>
        </w:rPr>
        <w:t>7. Especificación de requerimientos del software</w:t>
      </w:r>
    </w:p>
    <w:p>
      <w:pPr>
        <w:pStyle w:val="TOCItem"/>
        <w:widowControl/>
      </w:pPr>
      <w:r>
        <w:rPr>
          <w:rFonts w:ascii="Calibri" w:hAnsi="Calibri" w:eastAsia="Calibri"/>
        </w:rPr>
        <w:t>8. Arquitectura de la solución</w:t>
      </w:r>
    </w:p>
    <w:p>
      <w:pPr>
        <w:pStyle w:val="TOCItem"/>
        <w:widowControl/>
      </w:pPr>
      <w:r>
        <w:rPr>
          <w:rFonts w:ascii="Calibri" w:hAnsi="Calibri" w:eastAsia="Calibri"/>
        </w:rPr>
        <w:t>9. Diseño de datos, seguridad e integridad</w:t>
      </w:r>
    </w:p>
    <w:p>
      <w:pPr>
        <w:pStyle w:val="TOCItem"/>
        <w:widowControl/>
      </w:pPr>
      <w:r>
        <w:rPr>
          <w:rFonts w:ascii="Calibri" w:hAnsi="Calibri" w:eastAsia="Calibri"/>
        </w:rPr>
        <w:t>10. Implementación funcional por módulos</w:t>
      </w:r>
    </w:p>
    <w:p>
      <w:pPr>
        <w:pStyle w:val="TOCItem"/>
        <w:widowControl/>
      </w:pPr>
      <w:r>
        <w:rPr>
          <w:rFonts w:ascii="Calibri" w:hAnsi="Calibri" w:eastAsia="Calibri"/>
        </w:rPr>
        <w:t>11. Inteligencia Artificial y mantenimiento predictivo</w:t>
      </w:r>
    </w:p>
    <w:p>
      <w:pPr>
        <w:pStyle w:val="TOCItem"/>
        <w:widowControl/>
      </w:pPr>
      <w:r>
        <w:rPr>
          <w:rFonts w:ascii="Calibri" w:hAnsi="Calibri" w:eastAsia="Calibri"/>
        </w:rPr>
        <w:t>12. Validación, pruebas y aseguramiento de calidad</w:t>
      </w:r>
    </w:p>
    <w:p>
      <w:pPr>
        <w:pStyle w:val="TOCItem"/>
        <w:widowControl/>
      </w:pPr>
      <w:r>
        <w:rPr>
          <w:rFonts w:ascii="Calibri" w:hAnsi="Calibri" w:eastAsia="Calibri"/>
        </w:rPr>
        <w:t>13. Despliegue, operación y continuidad</w:t>
      </w:r>
    </w:p>
    <w:p>
      <w:pPr>
        <w:pStyle w:val="TOCItem"/>
        <w:widowControl/>
      </w:pPr>
      <w:r>
        <w:rPr>
          <w:rFonts w:ascii="Calibri" w:hAnsi="Calibri" w:eastAsia="Calibri"/>
        </w:rPr>
        <w:t>14. Evidencia de competencias del perfil de egreso</w:t>
      </w:r>
    </w:p>
    <w:p>
      <w:pPr>
        <w:pStyle w:val="TOCItem"/>
        <w:widowControl/>
      </w:pPr>
      <w:r>
        <w:rPr>
          <w:rFonts w:ascii="Calibri" w:hAnsi="Calibri" w:eastAsia="Calibri"/>
        </w:rPr>
        <w:t>15. Conclusiones finales</w:t>
      </w:r>
    </w:p>
    <w:p>
      <w:pPr>
        <w:pStyle w:val="TOCItem"/>
        <w:widowControl/>
      </w:pPr>
      <w:r>
        <w:rPr>
          <w:rFonts w:ascii="Calibri" w:hAnsi="Calibri" w:eastAsia="Calibri"/>
        </w:rPr>
        <w:t>Anexo A. Matriz resumida de requerimientos</w:t>
      </w:r>
    </w:p>
    <w:p>
      <w:pPr>
        <w:pStyle w:val="TOCItem"/>
        <w:widowControl/>
      </w:pPr>
      <w:r>
        <w:rPr>
          <w:rFonts w:ascii="Calibri" w:hAnsi="Calibri" w:eastAsia="Calibri"/>
        </w:rPr>
        <w:t>Anexo B. Casos de estudio IA</w:t>
      </w:r>
    </w:p>
    <w:p>
      <w:pPr>
        <w:pStyle w:val="TOCItem"/>
        <w:widowControl/>
      </w:pPr>
      <w:r>
        <w:rPr>
          <w:rFonts w:ascii="Calibri" w:hAnsi="Calibri" w:eastAsia="Calibri"/>
        </w:rPr>
        <w:t>Anexo C. Evidencia de pruebas</w:t>
      </w:r>
    </w:p>
    <w:p>
      <w:pPr>
        <w:pStyle w:val="TOCItem"/>
        <w:widowControl/>
      </w:pPr>
      <w:r>
        <w:rPr>
          <w:rFonts w:ascii="Calibri" w:hAnsi="Calibri" w:eastAsia="Calibri"/>
        </w:rPr>
        <w:t>Anexo D. Documentación base incorporada</w:t>
      </w:r>
    </w:p>
    <w:p>
      <w:pPr>
        <w:widowControl/>
      </w:pPr>
      <w:r>
        <w:rPr>
          <w:rFonts w:ascii="Calibri" w:hAnsi="Calibri" w:eastAsia="Calibri"/>
        </w:rPr>
        <w:br w:type="page"/>
      </w:r>
    </w:p>
    <w:p>
      <w:pPr>
        <w:pStyle w:val="Heading1"/>
        <w:widowControl/>
      </w:pPr>
      <w:r>
        <w:rPr>
          <w:rFonts w:ascii="Calibri" w:hAnsi="Calibri" w:eastAsia="Calibri"/>
        </w:rPr>
        <w:t>1. Introducción</w:t>
      </w:r>
    </w:p>
    <w:p>
      <w:pPr>
        <w:widowControl/>
      </w:pPr>
      <w:r>
        <w:rPr>
          <w:rFonts w:ascii="Calibri" w:hAnsi="Calibri" w:eastAsia="Calibri"/>
        </w:rPr>
        <w:t>El presente informe final documenta el desarrollo del proyecto Capstone PMP Suite, una plataforma integral de gestión logística y mantenimiento preventivo/predictivo. El informe fue ordenado para reflejar una entrega académica completa: primero se expone el problema, luego la solución propuesta, los requerimientos, la arquitectura, la implementación, las pruebas, la IA y finalmente la evidencia técnica anexada.</w:t>
      </w:r>
    </w:p>
    <w:p>
      <w:pPr>
        <w:widowControl/>
      </w:pPr>
      <w:r>
        <w:rPr>
          <w:rFonts w:ascii="Calibri" w:hAnsi="Calibri" w:eastAsia="Calibri"/>
        </w:rPr>
        <w:t>PMP Suite se plantea como una solución empresarial aplicable a entornos donde los activos tecnológicos deben pasar por múltiples etapas físicas y lógicas, manteniendo trazabilidad, control de estados, inventario, calidad y reportabilidad.</w:t>
      </w:r>
    </w:p>
    <w:p>
      <w:pPr>
        <w:widowControl/>
      </w:pPr>
      <w:r>
        <w:rPr>
          <w:rFonts w:ascii="Calibri" w:hAnsi="Calibri" w:eastAsia="Calibri"/>
        </w:rPr>
        <w:br w:type="page"/>
      </w:r>
    </w:p>
    <w:p>
      <w:pPr>
        <w:pStyle w:val="Heading1"/>
        <w:widowControl/>
      </w:pPr>
      <w:r>
        <w:rPr>
          <w:rFonts w:ascii="Calibri" w:hAnsi="Calibri" w:eastAsia="Calibri"/>
        </w:rPr>
        <w:t>2. Contexto, problema y oportunidad</w:t>
      </w:r>
    </w:p>
    <w:p>
      <w:pPr>
        <w:pStyle w:val="Heading2"/>
        <w:widowControl/>
      </w:pPr>
      <w:r>
        <w:rPr>
          <w:rFonts w:ascii="Calibri" w:hAnsi="Calibri" w:eastAsia="Calibri"/>
        </w:rPr>
        <w:t>2.1 Contexto operacional</w:t>
      </w:r>
    </w:p>
    <w:p>
      <w:pPr>
        <w:widowControl/>
      </w:pPr>
      <w:r>
        <w:rPr>
          <w:rFonts w:ascii="Calibri" w:hAnsi="Calibri" w:eastAsia="Calibri"/>
        </w:rPr>
        <w:t>La operación de validadores y consolas en transporte público requiere un proceso continuo de retiro, diagnóstico, reparación, control de calidad y reinstalación. Cada activo puede pasar por diferentes áreas y responsables, lo que exige un sistema centralizado que registre su ciclo de vida completo.</w:t>
      </w:r>
    </w:p>
    <w:p>
      <w:pPr>
        <w:pStyle w:val="Heading2"/>
        <w:widowControl/>
      </w:pPr>
      <w:r>
        <w:rPr>
          <w:rFonts w:ascii="Calibri" w:hAnsi="Calibri" w:eastAsia="Calibri"/>
        </w:rPr>
        <w:t>2.2 Problema detectado</w:t>
      </w:r>
    </w:p>
    <w:p>
      <w:pPr>
        <w:pStyle w:val="ListBullet"/>
        <w:widowControl/>
        <w:ind w:left="360"/>
      </w:pPr>
      <w:r>
        <w:rPr>
          <w:rFonts w:ascii="Calibri" w:hAnsi="Calibri" w:eastAsia="Calibri"/>
        </w:rPr>
        <w:t>Pérdida de trazabilidad una vez que el equipo defectuoso es retirado desde terreno.</w:t>
      </w:r>
    </w:p>
    <w:p>
      <w:pPr>
        <w:pStyle w:val="ListBullet"/>
        <w:widowControl/>
        <w:ind w:left="360"/>
      </w:pPr>
      <w:r>
        <w:rPr>
          <w:rFonts w:ascii="Calibri" w:hAnsi="Calibri" w:eastAsia="Calibri"/>
        </w:rPr>
        <w:t>Dificultad para relacionar la incidencia lógica con el activo físico.</w:t>
      </w:r>
    </w:p>
    <w:p>
      <w:pPr>
        <w:pStyle w:val="ListBullet"/>
        <w:widowControl/>
        <w:ind w:left="360"/>
      </w:pPr>
      <w:r>
        <w:rPr>
          <w:rFonts w:ascii="Calibri" w:hAnsi="Calibri" w:eastAsia="Calibri"/>
        </w:rPr>
        <w:t>Riesgo de duplicidad de registros, estados inconsistentes o saltos no autorizados de proceso.</w:t>
      </w:r>
    </w:p>
    <w:p>
      <w:pPr>
        <w:pStyle w:val="ListBullet"/>
        <w:widowControl/>
        <w:ind w:left="360"/>
      </w:pPr>
      <w:r>
        <w:rPr>
          <w:rFonts w:ascii="Calibri" w:hAnsi="Calibri" w:eastAsia="Calibri"/>
        </w:rPr>
        <w:t>Falta de visibilidad gerencial sobre backlog, stock crítico, fallas recurrentes y productividad.</w:t>
      </w:r>
    </w:p>
    <w:p>
      <w:pPr>
        <w:pStyle w:val="ListBullet"/>
        <w:widowControl/>
        <w:ind w:left="360"/>
      </w:pPr>
      <w:r>
        <w:rPr>
          <w:rFonts w:ascii="Calibri" w:hAnsi="Calibri" w:eastAsia="Calibri"/>
        </w:rPr>
        <w:t>Mantenimiento principalmente reactivo, sin apoyo predictivo para detectar equipos reincidentes.</w:t>
      </w:r>
    </w:p>
    <w:p>
      <w:pPr>
        <w:pStyle w:val="Heading2"/>
        <w:widowControl/>
      </w:pPr>
      <w:r>
        <w:rPr>
          <w:rFonts w:ascii="Calibri" w:hAnsi="Calibri" w:eastAsia="Calibri"/>
        </w:rPr>
        <w:t>2.3 Oportunidad de solución</w:t>
      </w:r>
    </w:p>
    <w:p>
      <w:pPr>
        <w:widowControl/>
      </w:pPr>
      <w:r>
        <w:rPr>
          <w:rFonts w:ascii="Calibri" w:hAnsi="Calibri" w:eastAsia="Calibri"/>
        </w:rPr>
        <w:t>PMP Suite actúa como el puente operacional entre el registro de incidentes y la logística inversa física, permitiendo que el proceso completo quede documentado, medido y controlado. La incorporación de IA agrega una capa estratégica para anticipar fallas y reducir costos asociados a visitas repetitivas, indisponibilidad de equipos y equipos reincidentes.</w:t>
      </w:r>
    </w:p>
    <w:p>
      <w:pPr>
        <w:widowControl/>
      </w:pPr>
      <w:r>
        <w:rPr>
          <w:rFonts w:ascii="Calibri" w:hAnsi="Calibri" w:eastAsia="Calibri"/>
        </w:rPr>
        <w:br w:type="page"/>
      </w:r>
    </w:p>
    <w:p>
      <w:pPr>
        <w:pStyle w:val="Heading1"/>
        <w:widowControl/>
      </w:pPr>
      <w:r>
        <w:rPr>
          <w:rFonts w:ascii="Calibri" w:hAnsi="Calibri" w:eastAsia="Calibri"/>
        </w:rPr>
        <w:t>3. Objetivos del proyecto</w:t>
      </w:r>
    </w:p>
    <w:p>
      <w:pPr>
        <w:pStyle w:val="Heading2"/>
        <w:widowControl/>
      </w:pPr>
      <w:r>
        <w:rPr>
          <w:rFonts w:ascii="Calibri" w:hAnsi="Calibri" w:eastAsia="Calibri"/>
        </w:rPr>
        <w:t>3.1 Objetivo general</w:t>
      </w:r>
    </w:p>
    <w:p>
      <w:pPr>
        <w:widowControl/>
      </w:pPr>
      <w:r>
        <w:rPr>
          <w:rFonts w:ascii="Calibri" w:hAnsi="Calibri" w:eastAsia="Calibri"/>
        </w:rPr>
        <w:t>Diseñar, desarrollar y validar una plataforma integral para gestionar el ciclo de mantenimiento de validadores y consolas, asegurando trazabilidad End-to-End, control de estados, gestión de repuestos, calidad operacional, seguridad por roles y análisis predictivo de fallas.</w:t>
      </w:r>
    </w:p>
    <w:p>
      <w:pPr>
        <w:pStyle w:val="Heading2"/>
        <w:widowControl/>
      </w:pPr>
      <w:r>
        <w:rPr>
          <w:rFonts w:ascii="Calibri" w:hAnsi="Calibri" w:eastAsia="Calibri"/>
        </w:rPr>
        <w:t>3.2 Objetivos específicos</w:t>
      </w:r>
    </w:p>
    <w:p>
      <w:pPr>
        <w:pStyle w:val="ListBullet"/>
        <w:widowControl/>
        <w:ind w:left="360"/>
      </w:pPr>
      <w:r>
        <w:rPr>
          <w:rFonts w:ascii="Calibri" w:hAnsi="Calibri" w:eastAsia="Calibri"/>
        </w:rPr>
        <w:t>Digitalizar la creación, seguimiento y cierre de Órdenes de Servicio.</w:t>
      </w:r>
    </w:p>
    <w:p>
      <w:pPr>
        <w:pStyle w:val="ListBullet"/>
        <w:widowControl/>
        <w:ind w:left="360"/>
      </w:pPr>
      <w:r>
        <w:rPr>
          <w:rFonts w:ascii="Calibri" w:hAnsi="Calibri" w:eastAsia="Calibri"/>
        </w:rPr>
        <w:t xml:space="preserve">Separar Gestión de activos, Requerimientos, Bridge correlacional y las operaciones de Terreno, Bodega, Laboratorio y QA.</w:t>
      </w:r>
    </w:p>
    <w:p>
      <w:pPr>
        <w:pStyle w:val="ListBullet"/>
        <w:widowControl/>
        <w:ind w:left="360"/>
      </w:pPr>
      <w:r>
        <w:rPr>
          <w:rFonts w:ascii="Calibri" w:hAnsi="Calibri" w:eastAsia="Calibri"/>
        </w:rPr>
        <w:t>Aplicar autenticación centralizada y autorización basada en roles.</w:t>
      </w:r>
    </w:p>
    <w:p>
      <w:pPr>
        <w:pStyle w:val="ListBullet"/>
        <w:widowControl/>
        <w:ind w:left="360"/>
      </w:pPr>
      <w:r>
        <w:rPr>
          <w:rFonts w:ascii="Calibri" w:hAnsi="Calibri" w:eastAsia="Calibri"/>
        </w:rPr>
        <w:t>Controlar transiciones de estado mediante reglas de negocio y validación de ubicación.</w:t>
      </w:r>
    </w:p>
    <w:p>
      <w:pPr>
        <w:pStyle w:val="ListBullet"/>
        <w:widowControl/>
        <w:ind w:left="360"/>
      </w:pPr>
      <w:r>
        <w:rPr>
          <w:rFonts w:ascii="Calibri" w:hAnsi="Calibri" w:eastAsia="Calibri"/>
        </w:rPr>
        <w:t>Gestionar inventario de repuestos, solicitudes y consumos asociados a reparaciones.</w:t>
      </w:r>
    </w:p>
    <w:p>
      <w:pPr>
        <w:pStyle w:val="ListBullet"/>
        <w:widowControl/>
        <w:ind w:left="360"/>
      </w:pPr>
      <w:r>
        <w:rPr>
          <w:rFonts w:ascii="Calibri" w:hAnsi="Calibri" w:eastAsia="Calibri"/>
        </w:rPr>
        <w:t>Desarrollar dashboards gerenciales e indicadores operacionales.</w:t>
      </w:r>
    </w:p>
    <w:p>
      <w:pPr>
        <w:pStyle w:val="ListBullet"/>
        <w:widowControl/>
        <w:ind w:left="360"/>
      </w:pPr>
      <w:r>
        <w:rPr>
          <w:rFonts w:ascii="Calibri" w:hAnsi="Calibri" w:eastAsia="Calibri"/>
        </w:rPr>
        <w:t>Incorporar modelos de Machine Learning para identificar activos con alta probabilidad de falla.</w:t>
      </w:r>
    </w:p>
    <w:p>
      <w:pPr>
        <w:pStyle w:val="ListBullet"/>
        <w:widowControl/>
        <w:ind w:left="360"/>
      </w:pPr>
      <w:r>
        <w:rPr>
          <w:rFonts w:ascii="Calibri" w:hAnsi="Calibri" w:eastAsia="Calibri"/>
        </w:rPr>
        <w:t>Validar el sistema mediante pruebas E2E, pruebas de estrés y corrección de vulnerabilidades operativas.</w:t>
      </w:r>
    </w:p>
    <w:p>
      <w:pPr>
        <w:widowControl/>
      </w:pPr>
      <w:r>
        <w:rPr>
          <w:rFonts w:ascii="Calibri" w:hAnsi="Calibri" w:eastAsia="Calibri"/>
        </w:rPr>
        <w:br w:type="page"/>
      </w:r>
    </w:p>
    <w:p>
      <w:pPr>
        <w:pStyle w:val="Heading1"/>
        <w:widowControl/>
      </w:pPr>
      <w:r>
        <w:rPr>
          <w:rFonts w:ascii="Calibri" w:hAnsi="Calibri" w:eastAsia="Calibri"/>
        </w:rPr>
        <w:t>4. Alcance de la solución</w:t>
      </w:r>
    </w:p>
    <w:p>
      <w:pPr>
        <w:pStyle w:val="Heading2"/>
        <w:widowControl/>
      </w:pPr>
      <w:r>
        <w:rPr>
          <w:rFonts w:ascii="Calibri" w:hAnsi="Calibri" w:eastAsia="Calibri"/>
        </w:rPr>
        <w:t>4.1 Alcance funcional</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2592"/>
            <w:vAlign w:val="center"/>
            <w:shd w:fill="002D62"/>
          </w:tcPr>
          <w:p>
            <w:r/>
            <w:r>
              <w:rPr>
                <w:b/>
                <w:color w:val="FFFFFF"/>
                <w:sz w:val="18"/>
              </w:rPr>
              <w:t>Módulo</w:t>
            </w:r>
          </w:p>
        </w:tc>
        <w:tc>
          <w:tcPr>
            <w:tcW w:type="dxa" w:w="7920"/>
            <w:vAlign w:val="center"/>
            <w:shd w:fill="002D62"/>
          </w:tcPr>
          <w:p>
            <w:r/>
            <w:r>
              <w:rPr>
                <w:b/>
                <w:color w:val="FFFFFF"/>
                <w:sz w:val="18"/>
              </w:rPr>
              <w:t>Alcance principal</w:t>
            </w:r>
          </w:p>
        </w:tc>
      </w:tr>
      <w:tr>
        <w:tc>
          <w:tcPr>
            <w:tcW w:type="dxa" w:w="2592"/>
            <w:vAlign w:val="center"/>
          </w:tcPr>
          <w:p>
            <w:r/>
            <w:r>
              <w:rPr>
                <w:b w:val="0"/>
                <w:sz w:val="17"/>
              </w:rPr>
              <w:t>Autenticación y usuarios</w:t>
            </w:r>
          </w:p>
        </w:tc>
        <w:tc>
          <w:tcPr>
            <w:tcW w:type="dxa" w:w="7920"/>
            <w:vAlign w:val="center"/>
          </w:tcPr>
          <w:p>
            <w:r/>
            <w:r>
              <w:rPr>
                <w:b w:val="0"/>
                <w:sz w:val="17"/>
              </w:rPr>
              <w:t>Inicio de sesión Firebase, validación de usuario en PostgreSQL, RBAC, gestión de perfiles y redirección por rol.</w:t>
            </w:r>
          </w:p>
        </w:tc>
      </w:tr>
      <w:tr>
        <w:tc>
          <w:tcPr>
            <w:tcW w:type="dxa" w:w="2592"/>
            <w:vAlign w:val="center"/>
            <w:shd w:fill="F8FAFC"/>
          </w:tcPr>
          <w:p>
            <w:r/>
            <w:r>
              <w:rPr>
                <w:b w:val="0"/>
                <w:sz w:val="17"/>
              </w:rPr>
              <w:t>Órdenes de Servicio</w:t>
            </w:r>
          </w:p>
        </w:tc>
        <w:tc>
          <w:tcPr>
            <w:tcW w:type="dxa" w:w="7920"/>
            <w:vAlign w:val="center"/>
            <w:shd w:fill="F8FAFC"/>
          </w:tcPr>
          <w:p>
            <w:r/>
            <w:r>
              <w:rPr>
                <w:b w:val="0"/>
                <w:sz w:val="17"/>
              </w:rPr>
              <w:t xml:space="preserve">MV/MC/PDV/PDC por proceso; IN con correlativo PMP independiente, creada al confirmar despacho.</w:t>
            </w:r>
          </w:p>
        </w:tc>
      </w:tr>
      <w:tr>
        <w:tc>
          <w:tcPr>
            <w:tcW w:type="dxa" w:w="2592"/>
            <w:vAlign w:val="center"/>
          </w:tcPr>
          <w:p>
            <w:r/>
            <w:r>
              <w:rPr>
                <w:b w:val="0"/>
                <w:sz w:val="17"/>
              </w:rPr>
              <w:t>Terreno / Mobile</w:t>
            </w:r>
          </w:p>
        </w:tc>
        <w:tc>
          <w:tcPr>
            <w:tcW w:type="dxa" w:w="7920"/>
            <w:vAlign w:val="center"/>
          </w:tcPr>
          <w:p>
            <w:r/>
            <w:r>
              <w:rPr>
                <w:b w:val="0"/>
                <w:sz w:val="17"/>
              </w:rPr>
              <w:t xml:space="preserve">Fallas sobre activos existentes vinculados al bus, IN asignadas e historial del activo; no alta de maestros.</w:t>
            </w:r>
          </w:p>
        </w:tc>
      </w:tr>
      <w:tr>
        <w:tc>
          <w:tcPr>
            <w:tcW w:type="dxa" w:w="2592"/>
            <w:vAlign w:val="center"/>
            <w:shd w:fill="F8FAFC"/>
          </w:tcPr>
          <w:p>
            <w:r/>
            <w:r>
              <w:rPr>
                <w:b w:val="0"/>
                <w:sz w:val="17"/>
              </w:rPr>
              <w:t>Bodega / Logística</w:t>
            </w:r>
          </w:p>
        </w:tc>
        <w:tc>
          <w:tcPr>
            <w:tcW w:type="dxa" w:w="7920"/>
            <w:vAlign w:val="center"/>
            <w:shd w:fill="F8FAFC"/>
          </w:tcPr>
          <w:p>
            <w:r/>
            <w:r>
              <w:rPr>
                <w:b w:val="0"/>
                <w:sz w:val="17"/>
              </w:rPr>
              <w:t xml:space="preserve">Stock inicial conforme y reparado aprobado; despacho por escaneo y consulta de Equipos en operación.</w:t>
            </w:r>
          </w:p>
        </w:tc>
      </w:tr>
      <w:tr>
        <w:tc>
          <w:tcPr>
            <w:tcW w:type="dxa" w:w="2592"/>
            <w:vAlign w:val="center"/>
          </w:tcPr>
          <w:p>
            <w:r/>
            <w:r>
              <w:rPr>
                <w:b w:val="0"/>
                <w:sz w:val="17"/>
              </w:rPr>
              <w:t>Laboratorio</w:t>
            </w:r>
          </w:p>
        </w:tc>
        <w:tc>
          <w:tcPr>
            <w:tcW w:type="dxa" w:w="7920"/>
            <w:vAlign w:val="center"/>
          </w:tcPr>
          <w:p>
            <w:r/>
            <w:r>
              <w:rPr>
                <w:b w:val="0"/>
                <w:sz w:val="17"/>
              </w:rPr>
              <w:t>Colas por equipo, diagnóstico, bitácoras, solicitud/uso de repuestos y despacho a QA.</w:t>
            </w:r>
          </w:p>
        </w:tc>
      </w:tr>
      <w:tr>
        <w:tc>
          <w:tcPr>
            <w:tcW w:type="dxa" w:w="2592"/>
            <w:vAlign w:val="center"/>
            <w:shd w:fill="F8FAFC"/>
          </w:tcPr>
          <w:p>
            <w:r/>
            <w:r>
              <w:rPr>
                <w:b w:val="0"/>
                <w:sz w:val="17"/>
              </w:rPr>
              <w:t>QA</w:t>
            </w:r>
          </w:p>
        </w:tc>
        <w:tc>
          <w:tcPr>
            <w:tcW w:type="dxa" w:w="7920"/>
            <w:vAlign w:val="center"/>
            <w:shd w:fill="F8FAFC"/>
          </w:tcPr>
          <w:p>
            <w:r/>
            <w:r>
              <w:rPr>
                <w:b w:val="0"/>
                <w:sz w:val="17"/>
              </w:rPr>
              <w:t>Inspección, aprobación, rechazo, retorno a laboratorio y reportes de calidad.</w:t>
            </w:r>
          </w:p>
        </w:tc>
      </w:tr>
      <w:tr>
        <w:tc>
          <w:tcPr>
            <w:tcW w:type="dxa" w:w="2592"/>
            <w:vAlign w:val="center"/>
          </w:tcPr>
          <w:p>
            <w:r/>
            <w:r>
              <w:rPr>
                <w:b w:val="0"/>
                <w:sz w:val="17"/>
              </w:rPr>
              <w:t>Administración</w:t>
            </w:r>
          </w:p>
        </w:tc>
        <w:tc>
          <w:tcPr>
            <w:tcW w:type="dxa" w:w="7920"/>
            <w:vAlign w:val="center"/>
          </w:tcPr>
          <w:p>
            <w:r/>
            <w:r>
              <w:rPr>
                <w:b w:val="0"/>
                <w:sz w:val="17"/>
              </w:rPr>
              <w:t>Dashboard general, catálogos, usuarios, estados, ubicaciones, reportes y auditoría.</w:t>
            </w:r>
          </w:p>
        </w:tc>
      </w:tr>
      <w:tr>
        <w:tc>
          <w:tcPr>
            <w:tcW w:type="dxa" w:w="2592"/>
            <w:vAlign w:val="center"/>
            <w:shd w:fill="F8FAFC"/>
          </w:tcPr>
          <w:p>
            <w:r/>
            <w:r>
              <w:rPr>
                <w:b w:val="0"/>
                <w:sz w:val="17"/>
              </w:rPr>
              <w:t>IA Predictiva</w:t>
            </w:r>
          </w:p>
        </w:tc>
        <w:tc>
          <w:tcPr>
            <w:tcW w:type="dxa" w:w="7920"/>
            <w:vAlign w:val="center"/>
            <w:shd w:fill="F8FAFC"/>
          </w:tcPr>
          <w:p>
            <w:r/>
            <w:r>
              <w:rPr>
                <w:b w:val="0"/>
                <w:sz w:val="17"/>
              </w:rPr>
              <w:t>Predicción de falla, clasificación de riesgo, MTBF, detección de equipos “limón” y visualización AIRiskPanel.</w:t>
            </w:r>
          </w:p>
        </w:tc>
      </w:tr>
    </w:tbl>
    <w:p>
      <w:pPr>
        <w:widowControl/>
      </w:pPr>
    </w:p>
    <w:p>
      <w:pPr>
        <w:pStyle w:val="Heading2"/>
        <w:widowControl/>
      </w:pPr>
      <w:r>
        <w:rPr>
          <w:rFonts w:ascii="Calibri" w:hAnsi="Calibri" w:eastAsia="Calibri"/>
        </w:rPr>
        <w:t>4.2 Fuera de alcance o evolución futura</w:t>
      </w:r>
    </w:p>
    <w:p>
      <w:pPr>
        <w:pStyle w:val="ListBullet"/>
        <w:widowControl/>
        <w:ind w:left="360"/>
      </w:pPr>
      <w:r>
        <w:rPr>
          <w:rFonts w:ascii="Calibri" w:hAnsi="Calibri" w:eastAsia="Calibri"/>
        </w:rPr>
        <w:t xml:space="preserve">La integración automática con Aranda es una proyección futura. En Capstone el ingreso es asistido y Bridge solo correlaciona referencias externas con OS existentes. Docker queda fuera del alcance.</w:t>
      </w:r>
    </w:p>
    <w:p>
      <w:pPr>
        <w:pStyle w:val="ListBullet"/>
        <w:widowControl/>
        <w:ind w:left="360"/>
      </w:pPr>
      <w:r>
        <w:rPr>
          <w:rFonts w:ascii="Calibri" w:hAnsi="Calibri" w:eastAsia="Calibri"/>
        </w:rPr>
        <w:t>Publicación definitiva en tiendas móviles, considerada como etapa posterior a la validación académica.</w:t>
      </w:r>
    </w:p>
    <w:p>
      <w:pPr>
        <w:pStyle w:val="ListBullet"/>
        <w:widowControl/>
        <w:ind w:left="360"/>
      </w:pPr>
      <w:r>
        <w:rPr>
          <w:rFonts w:ascii="Calibri" w:hAnsi="Calibri" w:eastAsia="Calibri"/>
        </w:rPr>
        <w:t>Automatización completa del reentrenamiento IA en producción, definida como mejora futura operacional.</w:t>
      </w:r>
    </w:p>
    <w:p>
      <w:pPr>
        <w:widowControl/>
      </w:pPr>
      <w:r>
        <w:rPr>
          <w:rFonts w:ascii="Calibri" w:hAnsi="Calibri" w:eastAsia="Calibri"/>
        </w:rPr>
        <w:t xml:space="preserve">Gestión de activos registra tipo, serie, modelo/marca conocidos, origen, fecha, observación y autor. Ingreso de requerimientos usa sugerencias por bus o buscador y rechaza activos inexistentes sin crear maestro, caso ni OS.</w:t>
      </w:r>
    </w:p>
    <w:p>
      <w:pPr>
        <w:widowControl/>
      </w:pPr>
      <w:r>
        <w:rPr>
          <w:rFonts w:ascii="Calibri" w:hAnsi="Calibri" w:eastAsia="Calibri"/>
        </w:rPr>
        <w:t xml:space="preserve">Disponible para instalación significa elegible en Bodega; Asignado a técnico no prueba salida; En ruta requiere despacho físico confirmado; Equipos en operación muestra activos instalados y operativos, sin ofrecerlos como stock. El historial por tipo + serie conserva eventos iniciales y OS posteriores sin reemplazar identificadores.</w:t>
      </w:r>
    </w:p>
    <w:p>
      <w:pPr>
        <w:widowControl/>
      </w:pPr>
      <w:r>
        <w:rPr>
          <w:rFonts w:ascii="Calibri" w:hAnsi="Calibri" w:eastAsia="Calibri"/>
        </w:rPr>
        <w:br w:type="page"/>
      </w:r>
    </w:p>
    <w:p>
      <w:pPr>
        <w:pStyle w:val="Heading1"/>
        <w:widowControl/>
      </w:pPr>
      <w:r>
        <w:rPr>
          <w:rFonts w:ascii="Calibri" w:hAnsi="Calibri" w:eastAsia="Calibri"/>
        </w:rPr>
        <w:t>5. Equipo de trabajo y roles</w:t>
      </w:r>
    </w:p>
    <w:p>
      <w:pPr>
        <w:widowControl/>
      </w:pPr>
      <w:r>
        <w:rPr>
          <w:rFonts w:ascii="Calibri" w:hAnsi="Calibri" w:eastAsia="Calibri"/>
        </w:rPr>
        <w:t>El equipo se organiza bajo una estructura de tres integrantes, manteniendo una distribución coherente con un proyecto real de desarrollo de software. Cada rol cubre una responsabilidad técnica y de gestión específica.</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360"/>
        <w:gridCol w:w="3360"/>
        <w:gridCol w:w="3360"/>
      </w:tblGrid>
      <w:tr>
        <w:trPr>
          <w:tblHeader w:val="true"/>
        </w:trPr>
        <w:tc>
          <w:tcPr>
            <w:tcW w:type="dxa" w:w="2160"/>
            <w:vAlign w:val="center"/>
            <w:shd w:fill="002D62"/>
          </w:tcPr>
          <w:p>
            <w:r/>
            <w:r>
              <w:rPr>
                <w:b/>
                <w:color w:val="FFFFFF"/>
                <w:sz w:val="18"/>
              </w:rPr>
              <w:t>Integrante</w:t>
            </w:r>
          </w:p>
        </w:tc>
        <w:tc>
          <w:tcPr>
            <w:tcW w:type="dxa" w:w="3168"/>
            <w:vAlign w:val="center"/>
            <w:shd w:fill="002D62"/>
          </w:tcPr>
          <w:p>
            <w:r/>
            <w:r>
              <w:rPr>
                <w:b/>
                <w:color w:val="FFFFFF"/>
                <w:sz w:val="18"/>
              </w:rPr>
              <w:t>Rol</w:t>
            </w:r>
          </w:p>
        </w:tc>
        <w:tc>
          <w:tcPr>
            <w:tcW w:type="dxa" w:w="5184"/>
            <w:vAlign w:val="center"/>
            <w:shd w:fill="002D62"/>
          </w:tcPr>
          <w:p>
            <w:r/>
            <w:r>
              <w:rPr>
                <w:b/>
                <w:color w:val="FFFFFF"/>
                <w:sz w:val="18"/>
              </w:rPr>
              <w:t>Aporte al proyecto</w:t>
            </w:r>
          </w:p>
        </w:tc>
      </w:tr>
      <w:tr>
        <w:tc>
          <w:tcPr>
            <w:tcW w:type="dxa" w:w="2160"/>
            <w:vAlign w:val="center"/>
          </w:tcPr>
          <w:p>
            <w:r/>
            <w:r>
              <w:rPr>
                <w:b w:val="0"/>
                <w:sz w:val="17"/>
              </w:rPr>
              <w:t>Rafael Oteiza</w:t>
            </w:r>
          </w:p>
        </w:tc>
        <w:tc>
          <w:tcPr>
            <w:tcW w:type="dxa" w:w="3168"/>
            <w:vAlign w:val="center"/>
          </w:tcPr>
          <w:p>
            <w:r/>
            <w:r>
              <w:rPr>
                <w:b w:val="0"/>
                <w:sz w:val="17"/>
              </w:rPr>
              <w:t>Gestión, arquitectura, base de datos y backend</w:t>
            </w:r>
          </w:p>
        </w:tc>
        <w:tc>
          <w:tcPr>
            <w:tcW w:type="dxa" w:w="5184"/>
            <w:vAlign w:val="center"/>
          </w:tcPr>
          <w:p>
            <w:r/>
            <w:r>
              <w:rPr>
                <w:b w:val="0"/>
                <w:sz w:val="17"/>
              </w:rPr>
              <w:t>Gestión del proyecto, arquitectura de sistemas, base de datos y desarrollo backend.</w:t>
            </w:r>
          </w:p>
        </w:tc>
      </w:tr>
      <w:tr>
        <w:tc>
          <w:tcPr>
            <w:tcW w:type="dxa" w:w="2160"/>
            <w:vAlign w:val="center"/>
            <w:shd w:fill="F8FAFC"/>
          </w:tcPr>
          <w:p>
            <w:r/>
            <w:r>
              <w:rPr>
                <w:b w:val="0"/>
                <w:sz w:val="17"/>
              </w:rPr>
              <w:t>Matías Garrido</w:t>
            </w:r>
          </w:p>
        </w:tc>
        <w:tc>
          <w:tcPr>
            <w:tcW w:type="dxa" w:w="3168"/>
            <w:vAlign w:val="center"/>
            <w:shd w:fill="F8FAFC"/>
          </w:tcPr>
          <w:p>
            <w:r/>
            <w:r>
              <w:rPr>
                <w:b w:val="0"/>
                <w:sz w:val="17"/>
              </w:rPr>
              <w:t>Documentación y levantamiento de requerimientos</w:t>
            </w:r>
          </w:p>
        </w:tc>
        <w:tc>
          <w:tcPr>
            <w:tcW w:type="dxa" w:w="5184"/>
            <w:vAlign w:val="center"/>
            <w:shd w:fill="F8FAFC"/>
          </w:tcPr>
          <w:p>
            <w:r/>
            <w:r>
              <w:rPr>
                <w:b w:val="0"/>
                <w:sz w:val="17"/>
              </w:rPr>
              <w:t>Documentación del proyecto y levantamiento de requerimientos.</w:t>
            </w:r>
          </w:p>
        </w:tc>
      </w:tr>
      <w:tr>
        <w:tc>
          <w:tcPr>
            <w:tcW w:type="dxa" w:w="2160"/>
            <w:vAlign w:val="center"/>
          </w:tcPr>
          <w:p>
            <w:r/>
            <w:r>
              <w:rPr>
                <w:b w:val="0"/>
                <w:sz w:val="17"/>
              </w:rPr>
              <w:t>Luis Arenas</w:t>
            </w:r>
          </w:p>
        </w:tc>
        <w:tc>
          <w:tcPr>
            <w:tcW w:type="dxa" w:w="3168"/>
            <w:vAlign w:val="center"/>
          </w:tcPr>
          <w:p>
            <w:r/>
            <w:r>
              <w:rPr>
                <w:b w:val="0"/>
                <w:sz w:val="17"/>
              </w:rPr>
              <w:t>Frontend web y aplicación móvil</w:t>
            </w:r>
          </w:p>
        </w:tc>
        <w:tc>
          <w:tcPr>
            <w:tcW w:type="dxa" w:w="5184"/>
            <w:vAlign w:val="center"/>
          </w:tcPr>
          <w:p>
            <w:r/>
            <w:r>
              <w:rPr>
                <w:b w:val="0"/>
                <w:sz w:val="17"/>
              </w:rPr>
              <w:t>Desarrollo del frontend web y de la aplicación móvil.</w:t>
            </w:r>
          </w:p>
        </w:tc>
      </w:tr>
    </w:tbl>
    <w:p>
      <w:pPr>
        <w:widowControl/>
      </w:pPr>
    </w:p>
    <w:p>
      <w:pPr>
        <w:widowControl/>
      </w:pPr>
      <w:r>
        <w:rPr>
          <w:rFonts w:ascii="Calibri" w:hAnsi="Calibri" w:eastAsia="Calibri"/>
        </w:rPr>
        <w:br w:type="page"/>
      </w:r>
    </w:p>
    <w:p>
      <w:pPr>
        <w:pStyle w:val="Heading1"/>
        <w:widowControl/>
      </w:pPr>
      <w:r>
        <w:rPr>
          <w:rFonts w:ascii="Calibri" w:hAnsi="Calibri" w:eastAsia="Calibri"/>
        </w:rPr>
        <w:t>6. Metodología de desarrollo y gestión</w:t>
      </w:r>
    </w:p>
    <w:p>
      <w:pPr>
        <w:pStyle w:val="Heading2"/>
        <w:widowControl/>
      </w:pPr>
      <w:r>
        <w:rPr>
          <w:rFonts w:ascii="Calibri" w:hAnsi="Calibri" w:eastAsia="Calibri"/>
        </w:rPr>
        <w:t>6.1 Enfoque de trabajo</w:t>
      </w:r>
    </w:p>
    <w:p>
      <w:pPr>
        <w:widowControl/>
      </w:pPr>
      <w:r>
        <w:rPr>
          <w:rFonts w:ascii="Calibri" w:hAnsi="Calibri" w:eastAsia="Calibri"/>
        </w:rPr>
        <w:t xml:space="preserve">La línea base Capstone v2.0 utiliza metodología tradicional Cascada, con entregables verificables de requerimientos, diseño, implementación, validación y cierre. El roadmap referencial anterior se conserva como antecedente cronológico, sin convertirlo en evidencia de una nueva ejecución.</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360"/>
        <w:gridCol w:w="3360"/>
        <w:gridCol w:w="3360"/>
      </w:tblGrid>
      <w:tr>
        <w:trPr>
          <w:tblHeader w:val="true"/>
        </w:trPr>
        <w:tc>
          <w:tcPr>
            <w:tcW w:type="dxa" w:w="1872"/>
            <w:vAlign w:val="center"/>
            <w:shd w:fill="002D62"/>
          </w:tcPr>
          <w:p>
            <w:r/>
            <w:r>
              <w:rPr>
                <w:b/>
                <w:color w:val="FFFFFF"/>
                <w:sz w:val="18"/>
              </w:rPr>
              <w:t>Fase</w:t>
            </w:r>
          </w:p>
        </w:tc>
        <w:tc>
          <w:tcPr>
            <w:tcW w:type="dxa" w:w="4896"/>
            <w:vAlign w:val="center"/>
            <w:shd w:fill="002D62"/>
          </w:tcPr>
          <w:p>
            <w:r/>
            <w:r>
              <w:rPr>
                <w:b/>
                <w:color w:val="FFFFFF"/>
                <w:sz w:val="18"/>
              </w:rPr>
              <w:t>Actividades principales</w:t>
            </w:r>
          </w:p>
        </w:tc>
        <w:tc>
          <w:tcPr>
            <w:tcW w:type="dxa" w:w="3744"/>
            <w:vAlign w:val="center"/>
            <w:shd w:fill="002D62"/>
          </w:tcPr>
          <w:p>
            <w:r/>
            <w:r>
              <w:rPr>
                <w:b/>
                <w:color w:val="FFFFFF"/>
                <w:sz w:val="18"/>
              </w:rPr>
              <w:t>Entregables</w:t>
            </w:r>
          </w:p>
        </w:tc>
      </w:tr>
      <w:tr>
        <w:tc>
          <w:tcPr>
            <w:tcW w:type="dxa" w:w="1872"/>
            <w:vAlign w:val="center"/>
          </w:tcPr>
          <w:p>
            <w:r/>
            <w:r>
              <w:rPr>
                <w:b w:val="0"/>
                <w:sz w:val="17"/>
              </w:rPr>
              <w:t>Levantamiento</w:t>
            </w:r>
          </w:p>
        </w:tc>
        <w:tc>
          <w:tcPr>
            <w:tcW w:type="dxa" w:w="4896"/>
            <w:vAlign w:val="center"/>
          </w:tcPr>
          <w:p>
            <w:r/>
            <w:r>
              <w:rPr>
                <w:b w:val="0"/>
                <w:sz w:val="17"/>
              </w:rPr>
              <w:t>Análisis del proceso, actores, estados, requerimientos y reglas de negocio.</w:t>
            </w:r>
          </w:p>
        </w:tc>
        <w:tc>
          <w:tcPr>
            <w:tcW w:type="dxa" w:w="3744"/>
            <w:vAlign w:val="center"/>
          </w:tcPr>
          <w:p>
            <w:r/>
            <w:r>
              <w:rPr>
                <w:b w:val="0"/>
                <w:sz w:val="17"/>
              </w:rPr>
              <w:t>ERS, historias de usuario, casos de uso y matriz de requerimientos.</w:t>
            </w:r>
          </w:p>
        </w:tc>
      </w:tr>
      <w:tr>
        <w:tc>
          <w:tcPr>
            <w:tcW w:type="dxa" w:w="1872"/>
            <w:vAlign w:val="center"/>
            <w:shd w:fill="F8FAFC"/>
          </w:tcPr>
          <w:p>
            <w:r/>
            <w:r>
              <w:rPr>
                <w:b w:val="0"/>
                <w:sz w:val="17"/>
              </w:rPr>
              <w:t>Diseño</w:t>
            </w:r>
          </w:p>
        </w:tc>
        <w:tc>
          <w:tcPr>
            <w:tcW w:type="dxa" w:w="4896"/>
            <w:vAlign w:val="center"/>
            <w:shd w:fill="F8FAFC"/>
          </w:tcPr>
          <w:p>
            <w:r/>
            <w:r>
              <w:rPr>
                <w:b w:val="0"/>
                <w:sz w:val="17"/>
              </w:rPr>
              <w:t>Definición de arquitectura, datos, módulos, flujos y seguridad.</w:t>
            </w:r>
          </w:p>
        </w:tc>
        <w:tc>
          <w:tcPr>
            <w:tcW w:type="dxa" w:w="3744"/>
            <w:vAlign w:val="center"/>
            <w:shd w:fill="F8FAFC"/>
          </w:tcPr>
          <w:p>
            <w:r/>
            <w:r>
              <w:rPr>
                <w:b w:val="0"/>
                <w:sz w:val="17"/>
              </w:rPr>
              <w:t>Vistas C4, ERD, flujos de datos y diseño de despliegue.</w:t>
            </w:r>
          </w:p>
        </w:tc>
      </w:tr>
      <w:tr>
        <w:tc>
          <w:tcPr>
            <w:tcW w:type="dxa" w:w="1872"/>
            <w:vAlign w:val="center"/>
          </w:tcPr>
          <w:p>
            <w:r/>
            <w:r>
              <w:rPr>
                <w:b w:val="0"/>
                <w:sz w:val="17"/>
              </w:rPr>
              <w:t>Implementación</w:t>
            </w:r>
          </w:p>
        </w:tc>
        <w:tc>
          <w:tcPr>
            <w:tcW w:type="dxa" w:w="4896"/>
            <w:vAlign w:val="center"/>
          </w:tcPr>
          <w:p>
            <w:r/>
            <w:r>
              <w:rPr>
                <w:b w:val="0"/>
                <w:sz w:val="17"/>
              </w:rPr>
              <w:t>Construcción backend, frontend, mobile, base de datos, RBAC e IA.</w:t>
            </w:r>
          </w:p>
        </w:tc>
        <w:tc>
          <w:tcPr>
            <w:tcW w:type="dxa" w:w="3744"/>
            <w:vAlign w:val="center"/>
          </w:tcPr>
          <w:p>
            <w:r/>
            <w:r>
              <w:rPr>
                <w:b w:val="0"/>
                <w:sz w:val="17"/>
              </w:rPr>
              <w:t>API REST, SPA React, app móvil, scripts IA y base de datos.</w:t>
            </w:r>
          </w:p>
        </w:tc>
      </w:tr>
      <w:tr>
        <w:tc>
          <w:tcPr>
            <w:tcW w:type="dxa" w:w="1872"/>
            <w:vAlign w:val="center"/>
            <w:shd w:fill="F8FAFC"/>
          </w:tcPr>
          <w:p>
            <w:r/>
            <w:r>
              <w:rPr>
                <w:b w:val="0"/>
                <w:sz w:val="17"/>
              </w:rPr>
              <w:t>Validación</w:t>
            </w:r>
          </w:p>
        </w:tc>
        <w:tc>
          <w:tcPr>
            <w:tcW w:type="dxa" w:w="4896"/>
            <w:vAlign w:val="center"/>
            <w:shd w:fill="F8FAFC"/>
          </w:tcPr>
          <w:p>
            <w:r/>
            <w:r>
              <w:rPr>
                <w:b w:val="0"/>
                <w:sz w:val="17"/>
              </w:rPr>
              <w:t>Pruebas E2E, estrés, cobertura de flujo, bugs y correcciones.</w:t>
            </w:r>
          </w:p>
        </w:tc>
        <w:tc>
          <w:tcPr>
            <w:tcW w:type="dxa" w:w="3744"/>
            <w:vAlign w:val="center"/>
            <w:shd w:fill="F8FAFC"/>
          </w:tcPr>
          <w:p>
            <w:r/>
            <w:r>
              <w:rPr>
                <w:b w:val="0"/>
                <w:sz w:val="17"/>
              </w:rPr>
              <w:t xml:space="preserve">Resultados actuales referenciados en v2.0; pruebas 46/46 y 14/14 conservadas como históricas en sección 12.</w:t>
            </w:r>
          </w:p>
        </w:tc>
      </w:tr>
      <w:tr>
        <w:tc>
          <w:tcPr>
            <w:tcW w:type="dxa" w:w="1872"/>
            <w:vAlign w:val="center"/>
          </w:tcPr>
          <w:p>
            <w:r/>
            <w:r>
              <w:rPr>
                <w:b w:val="0"/>
                <w:sz w:val="17"/>
              </w:rPr>
              <w:t>Cierre</w:t>
            </w:r>
          </w:p>
        </w:tc>
        <w:tc>
          <w:tcPr>
            <w:tcW w:type="dxa" w:w="4896"/>
            <w:vAlign w:val="center"/>
          </w:tcPr>
          <w:p>
            <w:r/>
            <w:r>
              <w:rPr>
                <w:b w:val="0"/>
                <w:sz w:val="17"/>
              </w:rPr>
              <w:t>Informe final, anexos, evidencias y preparación para defensa.</w:t>
            </w:r>
          </w:p>
        </w:tc>
        <w:tc>
          <w:tcPr>
            <w:tcW w:type="dxa" w:w="3744"/>
            <w:vAlign w:val="center"/>
          </w:tcPr>
          <w:p>
            <w:r/>
            <w:r>
              <w:rPr>
                <w:b w:val="0"/>
                <w:sz w:val="17"/>
              </w:rPr>
              <w:t>Documento final Capstone ordenado.</w:t>
            </w:r>
          </w:p>
        </w:tc>
      </w:tr>
    </w:tbl>
    <w:p>
      <w:pPr>
        <w:widowControl/>
      </w:pPr>
    </w:p>
    <w:p>
      <w:pPr>
        <w:pStyle w:val="Heading2"/>
        <w:widowControl/>
      </w:pPr>
      <w:r>
        <w:rPr>
          <w:rFonts w:ascii="Calibri" w:hAnsi="Calibri" w:eastAsia="Calibri"/>
        </w:rPr>
        <w:t xml:space="preserve">6.2 Roadmap histórico referencial de marzo y abril de 2026</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360"/>
        <w:gridCol w:w="3360"/>
        <w:gridCol w:w="3360"/>
      </w:tblGrid>
      <w:tr>
        <w:trPr>
          <w:tblHeader w:val="true"/>
        </w:trPr>
        <w:tc>
          <w:tcPr>
            <w:tcW w:type="dxa" w:w="2880"/>
            <w:vAlign w:val="center"/>
            <w:shd w:fill="002D62"/>
          </w:tcPr>
          <w:p>
            <w:r/>
            <w:r>
              <w:rPr>
                <w:b/>
                <w:color w:val="FFFFFF"/>
                <w:sz w:val="18"/>
              </w:rPr>
              <w:t>Etapa</w:t>
            </w:r>
          </w:p>
        </w:tc>
        <w:tc>
          <w:tcPr>
            <w:tcW w:type="dxa" w:w="2448"/>
            <w:vAlign w:val="center"/>
            <w:shd w:fill="002D62"/>
          </w:tcPr>
          <w:p>
            <w:r/>
            <w:r>
              <w:rPr>
                <w:b/>
                <w:color w:val="FFFFFF"/>
                <w:sz w:val="18"/>
              </w:rPr>
              <w:t>Periodo referencial</w:t>
            </w:r>
          </w:p>
        </w:tc>
        <w:tc>
          <w:tcPr>
            <w:tcW w:type="dxa" w:w="5184"/>
            <w:vAlign w:val="center"/>
            <w:shd w:fill="002D62"/>
          </w:tcPr>
          <w:p>
            <w:r/>
            <w:r>
              <w:rPr>
                <w:b/>
                <w:color w:val="FFFFFF"/>
                <w:sz w:val="18"/>
              </w:rPr>
              <w:t>Resultado</w:t>
            </w:r>
          </w:p>
        </w:tc>
      </w:tr>
      <w:tr>
        <w:tc>
          <w:tcPr>
            <w:tcW w:type="dxa" w:w="2880"/>
            <w:vAlign w:val="center"/>
          </w:tcPr>
          <w:p>
            <w:r/>
            <w:r>
              <w:rPr>
                <w:b w:val="0"/>
                <w:sz w:val="17"/>
              </w:rPr>
              <w:t>Fase 1: Levantamiento y modelado</w:t>
            </w:r>
          </w:p>
        </w:tc>
        <w:tc>
          <w:tcPr>
            <w:tcW w:type="dxa" w:w="2448"/>
            <w:vAlign w:val="center"/>
          </w:tcPr>
          <w:p>
            <w:r/>
            <w:r>
              <w:rPr>
                <w:b w:val="0"/>
                <w:sz w:val="17"/>
              </w:rPr>
              <w:t>Marzo 2026</w:t>
            </w:r>
          </w:p>
        </w:tc>
        <w:tc>
          <w:tcPr>
            <w:tcW w:type="dxa" w:w="5184"/>
            <w:vAlign w:val="center"/>
          </w:tcPr>
          <w:p>
            <w:r/>
            <w:r>
              <w:rPr>
                <w:b w:val="0"/>
                <w:sz w:val="17"/>
              </w:rPr>
              <w:t>Requerimientos, roles, base de datos y mockups iniciales.</w:t>
            </w:r>
          </w:p>
        </w:tc>
      </w:tr>
      <w:tr>
        <w:tc>
          <w:tcPr>
            <w:tcW w:type="dxa" w:w="2880"/>
            <w:vAlign w:val="center"/>
            <w:shd w:fill="F8FAFC"/>
          </w:tcPr>
          <w:p>
            <w:r/>
            <w:r>
              <w:rPr>
                <w:b w:val="0"/>
                <w:sz w:val="17"/>
              </w:rPr>
              <w:t>Fase 2: Backend core</w:t>
            </w:r>
          </w:p>
        </w:tc>
        <w:tc>
          <w:tcPr>
            <w:tcW w:type="dxa" w:w="2448"/>
            <w:vAlign w:val="center"/>
            <w:shd w:fill="F8FAFC"/>
          </w:tcPr>
          <w:p>
            <w:r/>
            <w:r>
              <w:rPr>
                <w:b w:val="0"/>
                <w:sz w:val="17"/>
              </w:rPr>
              <w:t>Marzo 2026</w:t>
            </w:r>
          </w:p>
        </w:tc>
        <w:tc>
          <w:tcPr>
            <w:tcW w:type="dxa" w:w="5184"/>
            <w:vAlign w:val="center"/>
            <w:shd w:fill="F8FAFC"/>
          </w:tcPr>
          <w:p>
            <w:r/>
            <w:r>
              <w:rPr>
                <w:b w:val="0"/>
                <w:sz w:val="17"/>
              </w:rPr>
              <w:t>Express, PostgreSQL, Firebase Auth, endpoints y RBAC.</w:t>
            </w:r>
          </w:p>
        </w:tc>
      </w:tr>
      <w:tr>
        <w:tc>
          <w:tcPr>
            <w:tcW w:type="dxa" w:w="2880"/>
            <w:vAlign w:val="center"/>
          </w:tcPr>
          <w:p>
            <w:r/>
            <w:r>
              <w:rPr>
                <w:b w:val="0"/>
                <w:sz w:val="17"/>
              </w:rPr>
              <w:t>Fase 3: Frontend y visualización</w:t>
            </w:r>
          </w:p>
        </w:tc>
        <w:tc>
          <w:tcPr>
            <w:tcW w:type="dxa" w:w="2448"/>
            <w:vAlign w:val="center"/>
          </w:tcPr>
          <w:p>
            <w:r/>
            <w:r>
              <w:rPr>
                <w:b w:val="0"/>
                <w:sz w:val="17"/>
              </w:rPr>
              <w:t>Marzo-abril 2026</w:t>
            </w:r>
          </w:p>
        </w:tc>
        <w:tc>
          <w:tcPr>
            <w:tcW w:type="dxa" w:w="5184"/>
            <w:vAlign w:val="center"/>
          </w:tcPr>
          <w:p>
            <w:r/>
            <w:r>
              <w:rPr>
                <w:b w:val="0"/>
                <w:sz w:val="17"/>
              </w:rPr>
              <w:t>Dashboards, rutas, componentes, gráficos y UI premium.</w:t>
            </w:r>
          </w:p>
        </w:tc>
      </w:tr>
      <w:tr>
        <w:tc>
          <w:tcPr>
            <w:tcW w:type="dxa" w:w="2880"/>
            <w:vAlign w:val="center"/>
            <w:shd w:fill="F8FAFC"/>
          </w:tcPr>
          <w:p>
            <w:r/>
            <w:r>
              <w:rPr>
                <w:b w:val="0"/>
                <w:sz w:val="17"/>
              </w:rPr>
              <w:t>Fase 4: Integración compleja</w:t>
            </w:r>
          </w:p>
        </w:tc>
        <w:tc>
          <w:tcPr>
            <w:tcW w:type="dxa" w:w="2448"/>
            <w:vAlign w:val="center"/>
            <w:shd w:fill="F8FAFC"/>
          </w:tcPr>
          <w:p>
            <w:r/>
            <w:r>
              <w:rPr>
                <w:b w:val="0"/>
                <w:sz w:val="17"/>
              </w:rPr>
              <w:t>Abril 2026</w:t>
            </w:r>
          </w:p>
        </w:tc>
        <w:tc>
          <w:tcPr>
            <w:tcW w:type="dxa" w:w="5184"/>
            <w:vAlign w:val="center"/>
            <w:shd w:fill="F8FAFC"/>
          </w:tcPr>
          <w:p>
            <w:r/>
            <w:r>
              <w:rPr>
                <w:b w:val="0"/>
                <w:sz w:val="17"/>
              </w:rPr>
              <w:t>Concurrencia, flujos E2E, QA, bodega y laboratorio.</w:t>
            </w:r>
          </w:p>
        </w:tc>
      </w:tr>
      <w:tr>
        <w:tc>
          <w:tcPr>
            <w:tcW w:type="dxa" w:w="2880"/>
            <w:vAlign w:val="center"/>
          </w:tcPr>
          <w:p>
            <w:r/>
            <w:r>
              <w:rPr>
                <w:b w:val="0"/>
                <w:sz w:val="17"/>
              </w:rPr>
              <w:t>Fase 5: Pruebas y cierre</w:t>
            </w:r>
          </w:p>
        </w:tc>
        <w:tc>
          <w:tcPr>
            <w:tcW w:type="dxa" w:w="2448"/>
            <w:vAlign w:val="center"/>
          </w:tcPr>
          <w:p>
            <w:r/>
            <w:r>
              <w:rPr>
                <w:b w:val="0"/>
                <w:sz w:val="17"/>
              </w:rPr>
              <w:t>Abril 2026</w:t>
            </w:r>
          </w:p>
        </w:tc>
        <w:tc>
          <w:tcPr>
            <w:tcW w:type="dxa" w:w="5184"/>
            <w:vAlign w:val="center"/>
          </w:tcPr>
          <w:p>
            <w:r/>
            <w:r>
              <w:rPr>
                <w:b w:val="0"/>
                <w:sz w:val="17"/>
              </w:rPr>
              <w:t>E2E, estrés, IA, documentación y entrega final.</w:t>
            </w:r>
          </w:p>
        </w:tc>
      </w:tr>
    </w:tbl>
    <w:p>
      <w:pPr>
        <w:widowControl/>
      </w:pPr>
    </w:p>
    <w:p>
      <w:pPr>
        <w:widowControl/>
      </w:pPr>
      <w:r>
        <w:rPr>
          <w:rFonts w:ascii="Calibri" w:hAnsi="Calibri" w:eastAsia="Calibri"/>
        </w:rPr>
        <w:br w:type="page"/>
      </w:r>
    </w:p>
    <w:p>
      <w:pPr>
        <w:pStyle w:val="Heading1"/>
        <w:widowControl/>
      </w:pPr>
      <w:r>
        <w:rPr>
          <w:rFonts w:ascii="Calibri" w:hAnsi="Calibri" w:eastAsia="Calibri"/>
        </w:rPr>
        <w:t>7. Especificación de requerimientos del software</w:t>
      </w:r>
    </w:p>
    <w:p>
      <w:pPr>
        <w:widowControl/>
      </w:pPr>
      <w:r>
        <w:rPr>
          <w:rFonts w:ascii="Calibri" w:hAnsi="Calibri" w:eastAsia="Calibri"/>
        </w:rPr>
        <w:t xml:space="preserve">La fuente normativa son los cinco artefactos Capstone v2.0 y README_VIGENCIA_v2.0.md. La ERS y las especificaciones modulares complementan esa línea base; las versiones anteriores se preservan como históricas.</w:t>
      </w:r>
    </w:p>
    <w:p>
      <w:pPr>
        <w:pStyle w:val="Heading2"/>
        <w:widowControl/>
      </w:pPr>
      <w:r>
        <w:rPr>
          <w:rFonts w:ascii="Calibri" w:hAnsi="Calibri" w:eastAsia="Calibri"/>
        </w:rPr>
        <w:t>7.1 Requerimientos funcionales consolidados</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2016"/>
            <w:vAlign w:val="center"/>
            <w:shd w:fill="002D62"/>
          </w:tcPr>
          <w:p>
            <w:r/>
            <w:r>
              <w:rPr>
                <w:b/>
                <w:color w:val="FFFFFF"/>
                <w:sz w:val="18"/>
              </w:rPr>
              <w:t>Código / Grupo</w:t>
            </w:r>
          </w:p>
        </w:tc>
        <w:tc>
          <w:tcPr>
            <w:tcW w:type="dxa" w:w="8496"/>
            <w:vAlign w:val="center"/>
            <w:shd w:fill="002D62"/>
          </w:tcPr>
          <w:p>
            <w:r/>
            <w:r>
              <w:rPr>
                <w:b/>
                <w:color w:val="FFFFFF"/>
                <w:sz w:val="18"/>
              </w:rPr>
              <w:t>Descripción resumida</w:t>
            </w:r>
          </w:p>
        </w:tc>
      </w:tr>
      <w:tr>
        <w:tc>
          <w:tcPr>
            <w:tcW w:type="dxa" w:w="2016"/>
            <w:vAlign w:val="center"/>
          </w:tcPr>
          <w:p>
            <w:r/>
            <w:r>
              <w:rPr>
                <w:b w:val="0"/>
                <w:sz w:val="17"/>
              </w:rPr>
              <w:t>RF-M</w:t>
            </w:r>
          </w:p>
        </w:tc>
        <w:tc>
          <w:tcPr>
            <w:tcW w:type="dxa" w:w="8496"/>
            <w:vAlign w:val="center"/>
          </w:tcPr>
          <w:p>
            <w:r/>
            <w:r>
              <w:rPr>
                <w:b w:val="0"/>
                <w:sz w:val="17"/>
              </w:rPr>
              <w:t xml:space="preserve">Terreno: falla sobre activo existente, bus validado, OS propias, IN asignadas e historial por tipo + serie.</w:t>
            </w:r>
          </w:p>
        </w:tc>
      </w:tr>
      <w:tr>
        <w:tc>
          <w:tcPr>
            <w:tcW w:type="dxa" w:w="2016"/>
            <w:vAlign w:val="center"/>
            <w:shd w:fill="F8FAFC"/>
          </w:tcPr>
          <w:p>
            <w:r/>
            <w:r>
              <w:rPr>
                <w:b w:val="0"/>
                <w:sz w:val="17"/>
              </w:rPr>
              <w:t>RF-B</w:t>
            </w:r>
          </w:p>
        </w:tc>
        <w:tc>
          <w:tcPr>
            <w:tcW w:type="dxa" w:w="8496"/>
            <w:vAlign w:val="center"/>
            <w:shd w:fill="F8FAFC"/>
          </w:tcPr>
          <w:p>
            <w:r/>
            <w:r>
              <w:rPr>
                <w:b w:val="0"/>
                <w:sz w:val="17"/>
              </w:rPr>
              <w:t xml:space="preserve">Bodega: recepción inicial sin OS, stock inicial/reparado y despacho físico confirmado con IN independiente.</w:t>
            </w:r>
          </w:p>
        </w:tc>
      </w:tr>
      <w:tr>
        <w:tc>
          <w:tcPr>
            <w:tcW w:type="dxa" w:w="2016"/>
            <w:vAlign w:val="center"/>
          </w:tcPr>
          <w:p>
            <w:r/>
            <w:r>
              <w:rPr>
                <w:b w:val="0"/>
                <w:sz w:val="17"/>
              </w:rPr>
              <w:t>RF-L</w:t>
            </w:r>
          </w:p>
        </w:tc>
        <w:tc>
          <w:tcPr>
            <w:tcW w:type="dxa" w:w="8496"/>
            <w:vAlign w:val="center"/>
          </w:tcPr>
          <w:p>
            <w:r/>
            <w:r>
              <w:rPr>
                <w:b w:val="0"/>
                <w:sz w:val="17"/>
              </w:rPr>
              <w:t>Laboratorio: colas de trabajo, diagnóstico, bitácoras, solicitudes de repuestos y despacho a QA.</w:t>
            </w:r>
          </w:p>
        </w:tc>
      </w:tr>
      <w:tr>
        <w:tc>
          <w:tcPr>
            <w:tcW w:type="dxa" w:w="2016"/>
            <w:vAlign w:val="center"/>
            <w:shd w:fill="F8FAFC"/>
          </w:tcPr>
          <w:p>
            <w:r/>
            <w:r>
              <w:rPr>
                <w:b w:val="0"/>
                <w:sz w:val="17"/>
              </w:rPr>
              <w:t>RF-Q</w:t>
            </w:r>
          </w:p>
        </w:tc>
        <w:tc>
          <w:tcPr>
            <w:tcW w:type="dxa" w:w="8496"/>
            <w:vAlign w:val="center"/>
            <w:shd w:fill="F8FAFC"/>
          </w:tcPr>
          <w:p>
            <w:r/>
            <w:r>
              <w:rPr>
                <w:b w:val="0"/>
                <w:sz w:val="17"/>
              </w:rPr>
              <w:t>QA: inspección, aprobación, rechazo y retorno controlado a laboratorio.</w:t>
            </w:r>
          </w:p>
        </w:tc>
      </w:tr>
      <w:tr>
        <w:tc>
          <w:tcPr>
            <w:tcW w:type="dxa" w:w="2016"/>
            <w:vAlign w:val="center"/>
          </w:tcPr>
          <w:p>
            <w:r/>
            <w:r>
              <w:rPr>
                <w:b w:val="0"/>
                <w:sz w:val="17"/>
              </w:rPr>
              <w:t>RF-A</w:t>
            </w:r>
          </w:p>
        </w:tc>
        <w:tc>
          <w:tcPr>
            <w:tcW w:type="dxa" w:w="8496"/>
            <w:vAlign w:val="center"/>
          </w:tcPr>
          <w:p>
            <w:r/>
            <w:r>
              <w:rPr>
                <w:b w:val="0"/>
                <w:sz w:val="17"/>
              </w:rPr>
              <w:t>Administración: dashboards, auditoría, usuarios, catálogos, reportes y búsqueda global.</w:t>
            </w:r>
          </w:p>
        </w:tc>
      </w:tr>
      <w:tr>
        <w:tc>
          <w:tcPr>
            <w:tcW w:type="dxa" w:w="2016"/>
            <w:vAlign w:val="center"/>
            <w:shd w:fill="F8FAFC"/>
          </w:tcPr>
          <w:p>
            <w:r/>
            <w:r>
              <w:rPr>
                <w:b w:val="0"/>
                <w:sz w:val="17"/>
              </w:rPr>
              <w:t>RF-D</w:t>
            </w:r>
          </w:p>
        </w:tc>
        <w:tc>
          <w:tcPr>
            <w:tcW w:type="dxa" w:w="8496"/>
            <w:vAlign w:val="center"/>
            <w:shd w:fill="F8FAFC"/>
          </w:tcPr>
          <w:p>
            <w:r/>
            <w:r>
              <w:rPr>
                <w:b w:val="0"/>
                <w:sz w:val="17"/>
              </w:rPr>
              <w:t>Base de datos: folios automáticos, triggers, restricciones, integridad y saneamiento de datos.</w:t>
            </w:r>
          </w:p>
        </w:tc>
      </w:tr>
      <w:tr>
        <w:tc>
          <w:tcPr>
            <w:tcW w:type="dxa" w:w="2016"/>
            <w:vAlign w:val="center"/>
          </w:tcPr>
          <w:p>
            <w:r/>
            <w:r>
              <w:rPr>
                <w:b w:val="0"/>
                <w:sz w:val="17"/>
              </w:rPr>
              <w:t>RF-IA</w:t>
            </w:r>
          </w:p>
        </w:tc>
        <w:tc>
          <w:tcPr>
            <w:tcW w:type="dxa" w:w="8496"/>
            <w:vAlign w:val="center"/>
          </w:tcPr>
          <w:p>
            <w:r/>
            <w:r>
              <w:rPr>
                <w:b w:val="0"/>
                <w:sz w:val="17"/>
              </w:rPr>
              <w:t>IA: predicción de falla, alertas de riesgo, visualización y reentrenamiento.</w:t>
            </w:r>
          </w:p>
        </w:tc>
      </w:tr>
    </w:tbl>
    <w:p>
      <w:pPr>
        <w:widowControl/>
      </w:pPr>
    </w:p>
    <w:p>
      <w:pPr>
        <w:pStyle w:val="Heading2"/>
        <w:widowControl/>
      </w:pPr>
      <w:r>
        <w:rPr>
          <w:rFonts w:ascii="Calibri" w:hAnsi="Calibri" w:eastAsia="Calibri"/>
        </w:rPr>
        <w:t>7.2 Requerimientos no funcionales consolidados</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2016"/>
            <w:vAlign w:val="center"/>
            <w:shd w:fill="002D62"/>
          </w:tcPr>
          <w:p>
            <w:r/>
            <w:r>
              <w:rPr>
                <w:b/>
                <w:color w:val="FFFFFF"/>
                <w:sz w:val="18"/>
              </w:rPr>
              <w:t>Categoría</w:t>
            </w:r>
          </w:p>
        </w:tc>
        <w:tc>
          <w:tcPr>
            <w:tcW w:type="dxa" w:w="8496"/>
            <w:vAlign w:val="center"/>
            <w:shd w:fill="002D62"/>
          </w:tcPr>
          <w:p>
            <w:r/>
            <w:r>
              <w:rPr>
                <w:b/>
                <w:color w:val="FFFFFF"/>
                <w:sz w:val="18"/>
              </w:rPr>
              <w:t>Criterio aplicado</w:t>
            </w:r>
          </w:p>
        </w:tc>
      </w:tr>
      <w:tr>
        <w:tc>
          <w:tcPr>
            <w:tcW w:type="dxa" w:w="2016"/>
            <w:vAlign w:val="center"/>
          </w:tcPr>
          <w:p>
            <w:r/>
            <w:r>
              <w:rPr>
                <w:b w:val="0"/>
                <w:sz w:val="17"/>
              </w:rPr>
              <w:t>Seguridad</w:t>
            </w:r>
          </w:p>
        </w:tc>
        <w:tc>
          <w:tcPr>
            <w:tcW w:type="dxa" w:w="8496"/>
            <w:vAlign w:val="center"/>
          </w:tcPr>
          <w:p>
            <w:r/>
            <w:r>
              <w:rPr>
                <w:b w:val="0"/>
                <w:sz w:val="17"/>
              </w:rPr>
              <w:t>Firebase Authentication, JWT, Firebase Admin SDK, RBAC y rutas protegidas.</w:t>
            </w:r>
          </w:p>
        </w:tc>
      </w:tr>
      <w:tr>
        <w:tc>
          <w:tcPr>
            <w:tcW w:type="dxa" w:w="2016"/>
            <w:vAlign w:val="center"/>
            <w:shd w:fill="F8FAFC"/>
          </w:tcPr>
          <w:p>
            <w:r/>
            <w:r>
              <w:rPr>
                <w:b w:val="0"/>
                <w:sz w:val="17"/>
              </w:rPr>
              <w:t>Rendimiento</w:t>
            </w:r>
          </w:p>
        </w:tc>
        <w:tc>
          <w:tcPr>
            <w:tcW w:type="dxa" w:w="8496"/>
            <w:vAlign w:val="center"/>
            <w:shd w:fill="F8FAFC"/>
          </w:tcPr>
          <w:p>
            <w:r/>
            <w:r>
              <w:rPr>
                <w:b w:val="0"/>
                <w:sz w:val="17"/>
              </w:rPr>
              <w:t>Operaciones críticas bajo tiempos esperados, con p95 de pruebas de estrés cercano al objetivo operacional.</w:t>
            </w:r>
          </w:p>
        </w:tc>
      </w:tr>
      <w:tr>
        <w:tc>
          <w:tcPr>
            <w:tcW w:type="dxa" w:w="2016"/>
            <w:vAlign w:val="center"/>
          </w:tcPr>
          <w:p>
            <w:r/>
            <w:r>
              <w:rPr>
                <w:b w:val="0"/>
                <w:sz w:val="17"/>
              </w:rPr>
              <w:t>Integridad</w:t>
            </w:r>
          </w:p>
        </w:tc>
        <w:tc>
          <w:tcPr>
            <w:tcW w:type="dxa" w:w="8496"/>
            <w:vAlign w:val="center"/>
          </w:tcPr>
          <w:p>
            <w:r/>
            <w:r>
              <w:rPr>
                <w:b w:val="0"/>
                <w:sz w:val="17"/>
              </w:rPr>
              <w:t>Transacciones ACID, claves foráneas, ENUM, triggers, validación de estado/ubicación y FOR UPDATE.</w:t>
            </w:r>
          </w:p>
        </w:tc>
      </w:tr>
      <w:tr>
        <w:tc>
          <w:tcPr>
            <w:tcW w:type="dxa" w:w="2016"/>
            <w:vAlign w:val="center"/>
            <w:shd w:fill="F8FAFC"/>
          </w:tcPr>
          <w:p>
            <w:r/>
            <w:r>
              <w:rPr>
                <w:b w:val="0"/>
                <w:sz w:val="17"/>
              </w:rPr>
              <w:t>Trazabilidad</w:t>
            </w:r>
          </w:p>
        </w:tc>
        <w:tc>
          <w:tcPr>
            <w:tcW w:type="dxa" w:w="8496"/>
            <w:vAlign w:val="center"/>
            <w:shd w:fill="F8FAFC"/>
          </w:tcPr>
          <w:p>
            <w:r/>
            <w:r>
              <w:rPr>
                <w:b w:val="0"/>
                <w:sz w:val="17"/>
              </w:rPr>
              <w:t xml:space="preserve">Historial por tipo + serie con eventos iniciales sin OS, escaneos, intervenciones y referencias externas.</w:t>
            </w:r>
          </w:p>
        </w:tc>
      </w:tr>
      <w:tr>
        <w:tc>
          <w:tcPr>
            <w:tcW w:type="dxa" w:w="2016"/>
            <w:vAlign w:val="center"/>
          </w:tcPr>
          <w:p>
            <w:r/>
            <w:r>
              <w:rPr>
                <w:b w:val="0"/>
                <w:sz w:val="17"/>
              </w:rPr>
              <w:t>Usabilidad</w:t>
            </w:r>
          </w:p>
        </w:tc>
        <w:tc>
          <w:tcPr>
            <w:tcW w:type="dxa" w:w="8496"/>
            <w:vAlign w:val="center"/>
          </w:tcPr>
          <w:p>
            <w:r/>
            <w:r>
              <w:rPr>
                <w:b w:val="0"/>
                <w:sz w:val="17"/>
              </w:rPr>
              <w:t>Dashboards por rol, indicadores visuales, búsqueda y flujos claros para reducir errores.</w:t>
            </w:r>
          </w:p>
        </w:tc>
      </w:tr>
      <w:tr>
        <w:tc>
          <w:tcPr>
            <w:tcW w:type="dxa" w:w="2016"/>
            <w:vAlign w:val="center"/>
            <w:shd w:fill="F8FAFC"/>
          </w:tcPr>
          <w:p>
            <w:r/>
            <w:r>
              <w:rPr>
                <w:b w:val="0"/>
                <w:sz w:val="17"/>
              </w:rPr>
              <w:t>Mantenibilidad</w:t>
            </w:r>
          </w:p>
        </w:tc>
        <w:tc>
          <w:tcPr>
            <w:tcW w:type="dxa" w:w="8496"/>
            <w:vAlign w:val="center"/>
            <w:shd w:fill="F8FAFC"/>
          </w:tcPr>
          <w:p>
            <w:r/>
            <w:r>
              <w:rPr>
                <w:b w:val="0"/>
                <w:sz w:val="17"/>
              </w:rPr>
              <w:t>Separación de capas, controladores, middlewares, módulos frontend y scripts IA modularizados.</w:t>
            </w:r>
          </w:p>
        </w:tc>
      </w:tr>
      <w:tr>
        <w:tc>
          <w:tcPr>
            <w:tcW w:type="dxa" w:w="2016"/>
            <w:vAlign w:val="center"/>
          </w:tcPr>
          <w:p>
            <w:r/>
            <w:r>
              <w:rPr>
                <w:b w:val="0"/>
                <w:sz w:val="17"/>
              </w:rPr>
              <w:t>Escalabilidad</w:t>
            </w:r>
          </w:p>
        </w:tc>
        <w:tc>
          <w:tcPr>
            <w:tcW w:type="dxa" w:w="8496"/>
            <w:vAlign w:val="center"/>
          </w:tcPr>
          <w:p>
            <w:r/>
            <w:r>
              <w:rPr>
                <w:b w:val="0"/>
                <w:sz w:val="17"/>
              </w:rPr>
              <w:t>Arquitectura preparada para separar backend, frontend, base de datos, IA y servicios externos.</w:t>
            </w:r>
          </w:p>
        </w:tc>
      </w:tr>
    </w:tbl>
    <w:p>
      <w:pPr>
        <w:widowControl/>
      </w:pPr>
    </w:p>
    <w:p>
      <w:pPr>
        <w:pStyle w:val="Heading2"/>
        <w:widowControl/>
      </w:pPr>
      <w:r>
        <w:rPr>
          <w:rFonts w:ascii="Calibri" w:hAnsi="Calibri" w:eastAsia="Calibri"/>
        </w:rPr>
        <w:t>7.3 Trazabilidad entre módulos y evidencias</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360"/>
        <w:gridCol w:w="3360"/>
        <w:gridCol w:w="3360"/>
      </w:tblGrid>
      <w:tr>
        <w:trPr>
          <w:tblHeader w:val="true"/>
        </w:trPr>
        <w:tc>
          <w:tcPr>
            <w:tcW w:type="dxa" w:w="2160"/>
            <w:vAlign w:val="center"/>
            <w:shd w:fill="002D62"/>
          </w:tcPr>
          <w:p>
            <w:r/>
            <w:r>
              <w:rPr>
                <w:b/>
                <w:color w:val="FFFFFF"/>
                <w:sz w:val="18"/>
              </w:rPr>
              <w:t>Módulo</w:t>
            </w:r>
          </w:p>
        </w:tc>
        <w:tc>
          <w:tcPr>
            <w:tcW w:type="dxa" w:w="3456"/>
            <w:vAlign w:val="center"/>
            <w:shd w:fill="002D62"/>
          </w:tcPr>
          <w:p>
            <w:r/>
            <w:r>
              <w:rPr>
                <w:b/>
                <w:color w:val="FFFFFF"/>
                <w:sz w:val="18"/>
              </w:rPr>
              <w:t>Requerimiento clave</w:t>
            </w:r>
          </w:p>
        </w:tc>
        <w:tc>
          <w:tcPr>
            <w:tcW w:type="dxa" w:w="4896"/>
            <w:vAlign w:val="center"/>
            <w:shd w:fill="002D62"/>
          </w:tcPr>
          <w:p>
            <w:r/>
            <w:r>
              <w:rPr>
                <w:b/>
                <w:color w:val="FFFFFF"/>
                <w:sz w:val="18"/>
              </w:rPr>
              <w:t>Evidencia técnica</w:t>
            </w:r>
          </w:p>
        </w:tc>
      </w:tr>
      <w:tr>
        <w:tc>
          <w:tcPr>
            <w:tcW w:type="dxa" w:w="2160"/>
            <w:vAlign w:val="center"/>
          </w:tcPr>
          <w:p>
            <w:r/>
            <w:r>
              <w:rPr>
                <w:b w:val="0"/>
                <w:sz w:val="17"/>
              </w:rPr>
              <w:t>Auth/Usuarios</w:t>
            </w:r>
          </w:p>
        </w:tc>
        <w:tc>
          <w:tcPr>
            <w:tcW w:type="dxa" w:w="3456"/>
            <w:vAlign w:val="center"/>
          </w:tcPr>
          <w:p>
            <w:r/>
            <w:r>
              <w:rPr>
                <w:b w:val="0"/>
                <w:sz w:val="17"/>
              </w:rPr>
              <w:t>Validación de identidad y rol</w:t>
            </w:r>
          </w:p>
        </w:tc>
        <w:tc>
          <w:tcPr>
            <w:tcW w:type="dxa" w:w="4896"/>
            <w:vAlign w:val="center"/>
          </w:tcPr>
          <w:p>
            <w:r/>
            <w:r>
              <w:rPr>
                <w:b w:val="0"/>
                <w:sz w:val="17"/>
              </w:rPr>
              <w:t>Firebase Auth, JWT, Custom Claims, PostgreSQL usuarios.</w:t>
            </w:r>
          </w:p>
        </w:tc>
      </w:tr>
      <w:tr>
        <w:tc>
          <w:tcPr>
            <w:tcW w:type="dxa" w:w="2160"/>
            <w:vAlign w:val="center"/>
            <w:shd w:fill="F8FAFC"/>
          </w:tcPr>
          <w:p>
            <w:r/>
            <w:r>
              <w:rPr>
                <w:b w:val="0"/>
                <w:sz w:val="17"/>
              </w:rPr>
              <w:t>OS</w:t>
            </w:r>
          </w:p>
        </w:tc>
        <w:tc>
          <w:tcPr>
            <w:tcW w:type="dxa" w:w="3456"/>
            <w:vAlign w:val="center"/>
            <w:shd w:fill="F8FAFC"/>
          </w:tcPr>
          <w:p>
            <w:r/>
            <w:r>
              <w:rPr>
                <w:b w:val="0"/>
                <w:sz w:val="17"/>
              </w:rPr>
              <w:t>Ciclo de vida controlado</w:t>
            </w:r>
          </w:p>
        </w:tc>
        <w:tc>
          <w:tcPr>
            <w:tcW w:type="dxa" w:w="4896"/>
            <w:vAlign w:val="center"/>
            <w:shd w:fill="F8FAFC"/>
          </w:tcPr>
          <w:p>
            <w:r/>
            <w:r>
              <w:rPr>
                <w:b w:val="0"/>
                <w:sz w:val="17"/>
              </w:rPr>
              <w:t xml:space="preserve">ordenes_servicio, flujo_eventos, escaneos y relaciones explícitas del caso.</w:t>
            </w:r>
          </w:p>
        </w:tc>
      </w:tr>
      <w:tr>
        <w:tc>
          <w:tcPr>
            <w:tcW w:type="dxa" w:w="2160"/>
            <w:vAlign w:val="center"/>
          </w:tcPr>
          <w:p>
            <w:r/>
            <w:r>
              <w:rPr>
                <w:b w:val="0"/>
                <w:sz w:val="17"/>
              </w:rPr>
              <w:t>Bodega</w:t>
            </w:r>
          </w:p>
        </w:tc>
        <w:tc>
          <w:tcPr>
            <w:tcW w:type="dxa" w:w="3456"/>
            <w:vAlign w:val="center"/>
          </w:tcPr>
          <w:p>
            <w:r/>
            <w:r>
              <w:rPr>
                <w:b w:val="0"/>
                <w:sz w:val="17"/>
              </w:rPr>
              <w:t>Hub logístico</w:t>
            </w:r>
          </w:p>
        </w:tc>
        <w:tc>
          <w:tcPr>
            <w:tcW w:type="dxa" w:w="4896"/>
            <w:vAlign w:val="center"/>
          </w:tcPr>
          <w:p>
            <w:r/>
            <w:r>
              <w:rPr>
                <w:b w:val="0"/>
                <w:sz w:val="17"/>
              </w:rPr>
              <w:t>Recepción, despacho, stock, guías y control de race condition.</w:t>
            </w:r>
          </w:p>
        </w:tc>
      </w:tr>
      <w:tr>
        <w:tc>
          <w:tcPr>
            <w:tcW w:type="dxa" w:w="2160"/>
            <w:vAlign w:val="center"/>
            <w:shd w:fill="F8FAFC"/>
          </w:tcPr>
          <w:p>
            <w:r/>
            <w:r>
              <w:rPr>
                <w:b w:val="0"/>
                <w:sz w:val="17"/>
              </w:rPr>
              <w:t>Laboratorio</w:t>
            </w:r>
          </w:p>
        </w:tc>
        <w:tc>
          <w:tcPr>
            <w:tcW w:type="dxa" w:w="3456"/>
            <w:vAlign w:val="center"/>
            <w:shd w:fill="F8FAFC"/>
          </w:tcPr>
          <w:p>
            <w:r/>
            <w:r>
              <w:rPr>
                <w:b w:val="0"/>
                <w:sz w:val="17"/>
              </w:rPr>
              <w:t>Diagnóstico y reparación</w:t>
            </w:r>
          </w:p>
        </w:tc>
        <w:tc>
          <w:tcPr>
            <w:tcW w:type="dxa" w:w="4896"/>
            <w:vAlign w:val="center"/>
            <w:shd w:fill="F8FAFC"/>
          </w:tcPr>
          <w:p>
            <w:r/>
            <w:r>
              <w:rPr>
                <w:b w:val="0"/>
                <w:sz w:val="17"/>
              </w:rPr>
              <w:t>Bitácoras, consumo de repuestos, colas por equipo.</w:t>
            </w:r>
          </w:p>
        </w:tc>
      </w:tr>
      <w:tr>
        <w:tc>
          <w:tcPr>
            <w:tcW w:type="dxa" w:w="2160"/>
            <w:vAlign w:val="center"/>
          </w:tcPr>
          <w:p>
            <w:r/>
            <w:r>
              <w:rPr>
                <w:b w:val="0"/>
                <w:sz w:val="17"/>
              </w:rPr>
              <w:t>QA</w:t>
            </w:r>
          </w:p>
        </w:tc>
        <w:tc>
          <w:tcPr>
            <w:tcW w:type="dxa" w:w="3456"/>
            <w:vAlign w:val="center"/>
          </w:tcPr>
          <w:p>
            <w:r/>
            <w:r>
              <w:rPr>
                <w:b w:val="0"/>
                <w:sz w:val="17"/>
              </w:rPr>
              <w:t>Control de calidad</w:t>
            </w:r>
          </w:p>
        </w:tc>
        <w:tc>
          <w:tcPr>
            <w:tcW w:type="dxa" w:w="4896"/>
            <w:vAlign w:val="center"/>
          </w:tcPr>
          <w:p>
            <w:r/>
            <w:r>
              <w:rPr>
                <w:b w:val="0"/>
                <w:sz w:val="17"/>
              </w:rPr>
              <w:t xml:space="preserve">Aprobación/rechazo y retorno físico a Bodega; stock reparado elegible sin crear IN al recibir.</w:t>
            </w:r>
          </w:p>
        </w:tc>
      </w:tr>
      <w:tr>
        <w:tc>
          <w:tcPr>
            <w:tcW w:type="dxa" w:w="2160"/>
            <w:vAlign w:val="center"/>
            <w:shd w:fill="F8FAFC"/>
          </w:tcPr>
          <w:p>
            <w:r/>
            <w:r>
              <w:rPr>
                <w:b w:val="0"/>
                <w:sz w:val="17"/>
              </w:rPr>
              <w:t>IA</w:t>
            </w:r>
          </w:p>
        </w:tc>
        <w:tc>
          <w:tcPr>
            <w:tcW w:type="dxa" w:w="3456"/>
            <w:vAlign w:val="center"/>
            <w:shd w:fill="F8FAFC"/>
          </w:tcPr>
          <w:p>
            <w:r/>
            <w:r>
              <w:rPr>
                <w:b w:val="0"/>
                <w:sz w:val="17"/>
              </w:rPr>
              <w:t>Predicción de riesgo</w:t>
            </w:r>
          </w:p>
        </w:tc>
        <w:tc>
          <w:tcPr>
            <w:tcW w:type="dxa" w:w="4896"/>
            <w:vAlign w:val="center"/>
            <w:shd w:fill="F8FAFC"/>
          </w:tcPr>
          <w:p>
            <w:r/>
            <w:r>
              <w:rPr>
                <w:b w:val="0"/>
                <w:sz w:val="17"/>
              </w:rPr>
              <w:t>Random Forest, MTBF, score de riesgo y casos de estudio.</w:t>
            </w:r>
          </w:p>
        </w:tc>
      </w:tr>
    </w:tbl>
    <w:p>
      <w:pPr>
        <w:widowControl/>
      </w:pPr>
    </w:p>
    <w:p>
      <w:pPr>
        <w:widowControl/>
      </w:pPr>
      <w:r>
        <w:rPr>
          <w:rFonts w:ascii="Calibri" w:hAnsi="Calibri" w:eastAsia="Calibri"/>
        </w:rPr>
        <w:br w:type="page"/>
      </w:r>
    </w:p>
    <w:p>
      <w:pPr>
        <w:pStyle w:val="Heading1"/>
        <w:widowControl/>
      </w:pPr>
      <w:r>
        <w:rPr>
          <w:rFonts w:ascii="Calibri" w:hAnsi="Calibri" w:eastAsia="Calibri"/>
        </w:rPr>
        <w:t>8. Arquitectura de la solución</w:t>
      </w:r>
    </w:p>
    <w:p>
      <w:pPr>
        <w:pStyle w:val="Heading2"/>
        <w:widowControl/>
      </w:pPr>
      <w:r>
        <w:rPr>
          <w:rFonts w:ascii="Calibri" w:hAnsi="Calibri" w:eastAsia="Calibri"/>
        </w:rPr>
        <w:t>8.1 Vista de contexto C4</w:t>
      </w:r>
    </w:p>
    <w:p>
      <w:pPr>
        <w:widowControl/>
      </w:pPr>
      <w:r>
        <w:rPr>
          <w:rFonts w:ascii="Calibri" w:hAnsi="Calibri" w:eastAsia="Calibri"/>
        </w:rPr>
        <w:t>La vista de contexto identifica a los usuarios principales de PMP Suite y su relación con sistemas externos. El usuario PMP pertenece a uno de los seis roles oficiales definidos para el sistema: admin, gerente, logistica, qa, tecnico_laboratorio y tecnico_terreno. El sistema se integra con Firebase Authentication para identidad y con servicios de correo para recuperación de contraseña y notificaciones.</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2880"/>
            <w:vAlign w:val="center"/>
            <w:shd w:fill="002D62"/>
          </w:tcPr>
          <w:p>
            <w:r/>
            <w:r>
              <w:rPr>
                <w:b/>
                <w:color w:val="FFFFFF"/>
                <w:sz w:val="18"/>
              </w:rPr>
              <w:t>Elemento</w:t>
            </w:r>
          </w:p>
        </w:tc>
        <w:tc>
          <w:tcPr>
            <w:tcW w:type="dxa" w:w="7632"/>
            <w:vAlign w:val="center"/>
            <w:shd w:fill="002D62"/>
          </w:tcPr>
          <w:p>
            <w:r/>
            <w:r>
              <w:rPr>
                <w:b/>
                <w:color w:val="FFFFFF"/>
                <w:sz w:val="18"/>
              </w:rPr>
              <w:t>Responsabilidad</w:t>
            </w:r>
          </w:p>
        </w:tc>
      </w:tr>
      <w:tr>
        <w:tc>
          <w:tcPr>
            <w:tcW w:type="dxa" w:w="2880"/>
            <w:vAlign w:val="center"/>
          </w:tcPr>
          <w:p>
            <w:r/>
            <w:r>
              <w:rPr>
                <w:b w:val="0"/>
                <w:sz w:val="17"/>
              </w:rPr>
              <w:t>Usuario PMP</w:t>
            </w:r>
          </w:p>
        </w:tc>
        <w:tc>
          <w:tcPr>
            <w:tcW w:type="dxa" w:w="7632"/>
            <w:vAlign w:val="center"/>
          </w:tcPr>
          <w:p>
            <w:r/>
            <w:r>
              <w:rPr>
                <w:b w:val="0"/>
                <w:sz w:val="17"/>
              </w:rPr>
              <w:t>Opera los módulos según su rol: terreno, bodega, laboratorio, QA, administración.</w:t>
            </w:r>
          </w:p>
        </w:tc>
      </w:tr>
      <w:tr>
        <w:tc>
          <w:tcPr>
            <w:tcW w:type="dxa" w:w="2880"/>
            <w:vAlign w:val="center"/>
            <w:shd w:fill="F8FAFC"/>
          </w:tcPr>
          <w:p>
            <w:r/>
            <w:r>
              <w:rPr>
                <w:b w:val="0"/>
                <w:sz w:val="17"/>
              </w:rPr>
              <w:t>PMP Suite</w:t>
            </w:r>
          </w:p>
        </w:tc>
        <w:tc>
          <w:tcPr>
            <w:tcW w:type="dxa" w:w="7632"/>
            <w:vAlign w:val="center"/>
            <w:shd w:fill="F8FAFC"/>
          </w:tcPr>
          <w:p>
            <w:r/>
            <w:r>
              <w:rPr>
                <w:b w:val="0"/>
                <w:sz w:val="17"/>
              </w:rPr>
              <w:t>Gestiona activos, OS, estados, repuestos, QA, trazabilidad, dashboards e IA.</w:t>
            </w:r>
          </w:p>
        </w:tc>
      </w:tr>
      <w:tr>
        <w:tc>
          <w:tcPr>
            <w:tcW w:type="dxa" w:w="2880"/>
            <w:vAlign w:val="center"/>
          </w:tcPr>
          <w:p>
            <w:r/>
            <w:r>
              <w:rPr>
                <w:b w:val="0"/>
                <w:sz w:val="17"/>
              </w:rPr>
              <w:t>Firebase Authentication</w:t>
            </w:r>
          </w:p>
        </w:tc>
        <w:tc>
          <w:tcPr>
            <w:tcW w:type="dxa" w:w="7632"/>
            <w:vAlign w:val="center"/>
          </w:tcPr>
          <w:p>
            <w:r/>
            <w:r>
              <w:rPr>
                <w:b w:val="0"/>
                <w:sz w:val="17"/>
              </w:rPr>
              <w:t>Autenticación externa, emisión de tokens y gestión de identidad.</w:t>
            </w:r>
          </w:p>
        </w:tc>
      </w:tr>
      <w:tr>
        <w:tc>
          <w:tcPr>
            <w:tcW w:type="dxa" w:w="2880"/>
            <w:vAlign w:val="center"/>
            <w:shd w:fill="F8FAFC"/>
          </w:tcPr>
          <w:p>
            <w:r/>
            <w:r>
              <w:rPr>
                <w:b w:val="0"/>
                <w:sz w:val="17"/>
              </w:rPr>
              <w:t>Sistema de correo</w:t>
            </w:r>
          </w:p>
        </w:tc>
        <w:tc>
          <w:tcPr>
            <w:tcW w:type="dxa" w:w="7632"/>
            <w:vAlign w:val="center"/>
            <w:shd w:fill="F8FAFC"/>
          </w:tcPr>
          <w:p>
            <w:r/>
            <w:r>
              <w:rPr>
                <w:b w:val="0"/>
                <w:sz w:val="17"/>
              </w:rPr>
              <w:t>Notificaciones, recuperación de contraseña y comunicaciones automáticas.</w:t>
            </w:r>
          </w:p>
        </w:tc>
      </w:tr>
    </w:tbl>
    <w:p>
      <w:pPr>
        <w:widowControl/>
      </w:pPr>
    </w:p>
    <w:p>
      <w:pPr>
        <w:pStyle w:val="Heading2"/>
        <w:widowControl/>
      </w:pPr>
      <w:r>
        <w:rPr>
          <w:rFonts w:ascii="Calibri" w:hAnsi="Calibri" w:eastAsia="Calibri"/>
        </w:rPr>
        <w:t>8.2 Arquitectura backend</w:t>
      </w:r>
    </w:p>
    <w:p>
      <w:pPr>
        <w:widowControl/>
      </w:pPr>
      <w:r>
        <w:rPr>
          <w:rFonts w:ascii="Calibri" w:hAnsi="Calibri" w:eastAsia="Calibri"/>
        </w:rPr>
        <w:t>El backend corresponde a una API RESTful de alto desempeño desarrollada con Node.js y Express.js. Centraliza la lógica de negocio, valida tokens, aplica autorización, gestiona transiciones y coordina la persistencia en PostgreSQL.</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3168"/>
            <w:vAlign w:val="center"/>
            <w:shd w:fill="002D62"/>
          </w:tcPr>
          <w:p>
            <w:r/>
            <w:r>
              <w:rPr>
                <w:b/>
                <w:color w:val="FFFFFF"/>
                <w:sz w:val="18"/>
              </w:rPr>
              <w:t>Componente backend</w:t>
            </w:r>
          </w:p>
        </w:tc>
        <w:tc>
          <w:tcPr>
            <w:tcW w:type="dxa" w:w="7344"/>
            <w:vAlign w:val="center"/>
            <w:shd w:fill="002D62"/>
          </w:tcPr>
          <w:p>
            <w:r/>
            <w:r>
              <w:rPr>
                <w:b/>
                <w:color w:val="FFFFFF"/>
                <w:sz w:val="18"/>
              </w:rPr>
              <w:t>Función</w:t>
            </w:r>
          </w:p>
        </w:tc>
      </w:tr>
      <w:tr>
        <w:tc>
          <w:tcPr>
            <w:tcW w:type="dxa" w:w="3168"/>
            <w:vAlign w:val="center"/>
          </w:tcPr>
          <w:p>
            <w:r/>
            <w:r>
              <w:rPr>
                <w:b w:val="0"/>
                <w:sz w:val="17"/>
              </w:rPr>
              <w:t>Servidor API Node.js/Express</w:t>
            </w:r>
          </w:p>
        </w:tc>
        <w:tc>
          <w:tcPr>
            <w:tcW w:type="dxa" w:w="7344"/>
            <w:vAlign w:val="center"/>
          </w:tcPr>
          <w:p>
            <w:r/>
            <w:r>
              <w:rPr>
                <w:b w:val="0"/>
                <w:sz w:val="17"/>
              </w:rPr>
              <w:t>Expone endpoints REST, rutas por módulo y middleware de errores.</w:t>
            </w:r>
          </w:p>
        </w:tc>
      </w:tr>
      <w:tr>
        <w:tc>
          <w:tcPr>
            <w:tcW w:type="dxa" w:w="3168"/>
            <w:vAlign w:val="center"/>
            <w:shd w:fill="F8FAFC"/>
          </w:tcPr>
          <w:p>
            <w:r/>
            <w:r>
              <w:rPr>
                <w:b w:val="0"/>
                <w:sz w:val="17"/>
              </w:rPr>
              <w:t>Firebase Admin SDK</w:t>
            </w:r>
          </w:p>
        </w:tc>
        <w:tc>
          <w:tcPr>
            <w:tcW w:type="dxa" w:w="7344"/>
            <w:vAlign w:val="center"/>
            <w:shd w:fill="F8FAFC"/>
          </w:tcPr>
          <w:p>
            <w:r/>
            <w:r>
              <w:rPr>
                <w:b w:val="0"/>
                <w:sz w:val="17"/>
              </w:rPr>
              <w:t>Verifica tokens JWT y sincroniza identidad.</w:t>
            </w:r>
          </w:p>
        </w:tc>
      </w:tr>
      <w:tr>
        <w:tc>
          <w:tcPr>
            <w:tcW w:type="dxa" w:w="3168"/>
            <w:vAlign w:val="center"/>
          </w:tcPr>
          <w:p>
            <w:r/>
            <w:r>
              <w:rPr>
                <w:b w:val="0"/>
                <w:sz w:val="17"/>
              </w:rPr>
              <w:t>Middlewares RBAC</w:t>
            </w:r>
          </w:p>
        </w:tc>
        <w:tc>
          <w:tcPr>
            <w:tcW w:type="dxa" w:w="7344"/>
            <w:vAlign w:val="center"/>
          </w:tcPr>
          <w:p>
            <w:r/>
            <w:r>
              <w:rPr>
                <w:b w:val="0"/>
                <w:sz w:val="17"/>
              </w:rPr>
              <w:t>Protegen endpoints mediante ensureUser y requireAnyRole.</w:t>
            </w:r>
          </w:p>
        </w:tc>
      </w:tr>
      <w:tr>
        <w:tc>
          <w:tcPr>
            <w:tcW w:type="dxa" w:w="3168"/>
            <w:vAlign w:val="center"/>
            <w:shd w:fill="F8FAFC"/>
          </w:tcPr>
          <w:p>
            <w:r/>
            <w:r>
              <w:rPr>
                <w:b w:val="0"/>
                <w:sz w:val="17"/>
              </w:rPr>
              <w:t>PostgreSQL Pool</w:t>
            </w:r>
          </w:p>
        </w:tc>
        <w:tc>
          <w:tcPr>
            <w:tcW w:type="dxa" w:w="7344"/>
            <w:vAlign w:val="center"/>
            <w:shd w:fill="F8FAFC"/>
          </w:tcPr>
          <w:p>
            <w:r/>
            <w:r>
              <w:rPr>
                <w:b w:val="0"/>
                <w:sz w:val="17"/>
              </w:rPr>
              <w:t>Administra conexiones, consultas, transacciones y bloqueos.</w:t>
            </w:r>
          </w:p>
        </w:tc>
      </w:tr>
      <w:tr>
        <w:tc>
          <w:tcPr>
            <w:tcW w:type="dxa" w:w="3168"/>
            <w:vAlign w:val="center"/>
          </w:tcPr>
          <w:p>
            <w:r/>
            <w:r>
              <w:rPr>
                <w:b w:val="0"/>
                <w:sz w:val="17"/>
              </w:rPr>
              <w:t>OS State Machine</w:t>
            </w:r>
          </w:p>
        </w:tc>
        <w:tc>
          <w:tcPr>
            <w:tcW w:type="dxa" w:w="7344"/>
            <w:vAlign w:val="center"/>
          </w:tcPr>
          <w:p>
            <w:r/>
            <w:r>
              <w:rPr>
                <w:b w:val="0"/>
                <w:sz w:val="17"/>
              </w:rPr>
              <w:t>Valida transiciones, comentarios, guías y cambios de estado.</w:t>
            </w:r>
          </w:p>
        </w:tc>
      </w:tr>
      <w:tr>
        <w:tc>
          <w:tcPr>
            <w:tcW w:type="dxa" w:w="3168"/>
            <w:vAlign w:val="center"/>
            <w:shd w:fill="F8FAFC"/>
          </w:tcPr>
          <w:p>
            <w:r/>
            <w:r>
              <w:rPr>
                <w:b w:val="0"/>
                <w:sz w:val="17"/>
              </w:rPr>
              <w:t xml:space="preserve">Bridge de correlación externa</w:t>
            </w:r>
          </w:p>
        </w:tc>
        <w:tc>
          <w:tcPr>
            <w:tcW w:type="dxa" w:w="7344"/>
            <w:vAlign w:val="center"/>
            <w:shd w:fill="F8FAFC"/>
          </w:tcPr>
          <w:p>
            <w:r/>
            <w:r>
              <w:rPr>
                <w:b w:val="0"/>
                <w:sz w:val="17"/>
              </w:rPr>
              <w:t xml:space="preserve">Vincula referencia externa y OS existente del activo. No crea, asigna, despacha ni modifica stock.</w:t>
            </w:r>
          </w:p>
        </w:tc>
      </w:tr>
      <w:tr>
        <w:tc>
          <w:tcPr>
            <w:tcW w:type="dxa" w:w="3168"/>
            <w:vAlign w:val="center"/>
          </w:tcPr>
          <w:p>
            <w:r/>
            <w:r>
              <w:rPr>
                <w:b w:val="0"/>
                <w:sz w:val="17"/>
              </w:rPr>
              <w:t>Hybrid Bridge IA</w:t>
            </w:r>
          </w:p>
        </w:tc>
        <w:tc>
          <w:tcPr>
            <w:tcW w:type="dxa" w:w="7344"/>
            <w:vAlign w:val="center"/>
          </w:tcPr>
          <w:p>
            <w:r/>
            <w:r>
              <w:rPr>
                <w:b w:val="0"/>
                <w:sz w:val="17"/>
              </w:rPr>
              <w:t>Orquesta scripts Python y devuelve resultados JSON.</w:t>
            </w:r>
          </w:p>
        </w:tc>
      </w:tr>
    </w:tbl>
    <w:p>
      <w:pPr>
        <w:widowControl/>
      </w:pPr>
    </w:p>
    <w:p>
      <w:pPr>
        <w:pStyle w:val="Heading2"/>
        <w:widowControl/>
      </w:pPr>
      <w:r>
        <w:rPr>
          <w:rFonts w:ascii="Calibri" w:hAnsi="Calibri" w:eastAsia="Calibri"/>
        </w:rPr>
        <w:t>8.3 Arquitectura frontend web</w:t>
      </w:r>
    </w:p>
    <w:p>
      <w:pPr>
        <w:widowControl/>
      </w:pPr>
      <w:r>
        <w:rPr>
          <w:rFonts w:ascii="Calibri" w:hAnsi="Calibri" w:eastAsia="Calibri"/>
        </w:rPr>
        <w:t>La aplicación web se implementa como Single Page Application con React, TypeScript y Vite. Entrega vistas por rol, dashboards analíticos, protección de rutas, consumo API, contexto de sesión y visualización de KPIs.</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3168"/>
            <w:vAlign w:val="center"/>
            <w:shd w:fill="002D62"/>
          </w:tcPr>
          <w:p>
            <w:r/>
            <w:r>
              <w:rPr>
                <w:b/>
                <w:color w:val="FFFFFF"/>
                <w:sz w:val="18"/>
              </w:rPr>
              <w:t>Componente web</w:t>
            </w:r>
          </w:p>
        </w:tc>
        <w:tc>
          <w:tcPr>
            <w:tcW w:type="dxa" w:w="7344"/>
            <w:vAlign w:val="center"/>
            <w:shd w:fill="002D62"/>
          </w:tcPr>
          <w:p>
            <w:r/>
            <w:r>
              <w:rPr>
                <w:b/>
                <w:color w:val="FFFFFF"/>
                <w:sz w:val="18"/>
              </w:rPr>
              <w:t>Función</w:t>
            </w:r>
          </w:p>
        </w:tc>
      </w:tr>
      <w:tr>
        <w:tc>
          <w:tcPr>
            <w:tcW w:type="dxa" w:w="3168"/>
            <w:vAlign w:val="center"/>
          </w:tcPr>
          <w:p>
            <w:r/>
            <w:r>
              <w:rPr>
                <w:b w:val="0"/>
                <w:sz w:val="17"/>
              </w:rPr>
              <w:t>React SPA</w:t>
            </w:r>
          </w:p>
        </w:tc>
        <w:tc>
          <w:tcPr>
            <w:tcW w:type="dxa" w:w="7344"/>
            <w:vAlign w:val="center"/>
          </w:tcPr>
          <w:p>
            <w:r/>
            <w:r>
              <w:rPr>
                <w:b w:val="0"/>
                <w:sz w:val="17"/>
              </w:rPr>
              <w:t>Interfaz principal, rutas y vistas por módulo.</w:t>
            </w:r>
          </w:p>
        </w:tc>
      </w:tr>
      <w:tr>
        <w:tc>
          <w:tcPr>
            <w:tcW w:type="dxa" w:w="3168"/>
            <w:vAlign w:val="center"/>
            <w:shd w:fill="F8FAFC"/>
          </w:tcPr>
          <w:p>
            <w:r/>
            <w:r>
              <w:rPr>
                <w:b w:val="0"/>
                <w:sz w:val="17"/>
              </w:rPr>
              <w:t>Firebase Client SDK</w:t>
            </w:r>
          </w:p>
        </w:tc>
        <w:tc>
          <w:tcPr>
            <w:tcW w:type="dxa" w:w="7344"/>
            <w:vAlign w:val="center"/>
            <w:shd w:fill="F8FAFC"/>
          </w:tcPr>
          <w:p>
            <w:r/>
            <w:r>
              <w:rPr>
                <w:b w:val="0"/>
                <w:sz w:val="17"/>
              </w:rPr>
              <w:t>Inicio de sesión y obtención de token.</w:t>
            </w:r>
          </w:p>
        </w:tc>
      </w:tr>
      <w:tr>
        <w:tc>
          <w:tcPr>
            <w:tcW w:type="dxa" w:w="3168"/>
            <w:vAlign w:val="center"/>
          </w:tcPr>
          <w:p>
            <w:r/>
            <w:r>
              <w:rPr>
                <w:b w:val="0"/>
                <w:sz w:val="17"/>
              </w:rPr>
              <w:t>Axios</w:t>
            </w:r>
          </w:p>
        </w:tc>
        <w:tc>
          <w:tcPr>
            <w:tcW w:type="dxa" w:w="7344"/>
            <w:vAlign w:val="center"/>
          </w:tcPr>
          <w:p>
            <w:r/>
            <w:r>
              <w:rPr>
                <w:b w:val="0"/>
                <w:sz w:val="17"/>
              </w:rPr>
              <w:t>Comunicación HTTP con inyección de JWT.</w:t>
            </w:r>
          </w:p>
        </w:tc>
      </w:tr>
      <w:tr>
        <w:tc>
          <w:tcPr>
            <w:tcW w:type="dxa" w:w="3168"/>
            <w:vAlign w:val="center"/>
            <w:shd w:fill="F8FAFC"/>
          </w:tcPr>
          <w:p>
            <w:r/>
            <w:r>
              <w:rPr>
                <w:b w:val="0"/>
                <w:sz w:val="17"/>
              </w:rPr>
              <w:t>React Context</w:t>
            </w:r>
          </w:p>
        </w:tc>
        <w:tc>
          <w:tcPr>
            <w:tcW w:type="dxa" w:w="7344"/>
            <w:vAlign w:val="center"/>
            <w:shd w:fill="F8FAFC"/>
          </w:tcPr>
          <w:p>
            <w:r/>
            <w:r>
              <w:rPr>
                <w:b w:val="0"/>
                <w:sz w:val="17"/>
              </w:rPr>
              <w:t>Estado global de usuario, sesión y rol.</w:t>
            </w:r>
          </w:p>
        </w:tc>
      </w:tr>
      <w:tr>
        <w:tc>
          <w:tcPr>
            <w:tcW w:type="dxa" w:w="3168"/>
            <w:vAlign w:val="center"/>
          </w:tcPr>
          <w:p>
            <w:r/>
            <w:r>
              <w:rPr>
                <w:b w:val="0"/>
                <w:sz w:val="17"/>
              </w:rPr>
              <w:t>ProtectedRoute</w:t>
            </w:r>
          </w:p>
        </w:tc>
        <w:tc>
          <w:tcPr>
            <w:tcW w:type="dxa" w:w="7344"/>
            <w:vAlign w:val="center"/>
          </w:tcPr>
          <w:p>
            <w:r/>
            <w:r>
              <w:rPr>
                <w:b w:val="0"/>
                <w:sz w:val="17"/>
              </w:rPr>
              <w:t>Control de acceso visual y navegación por rol.</w:t>
            </w:r>
          </w:p>
        </w:tc>
      </w:tr>
      <w:tr>
        <w:tc>
          <w:tcPr>
            <w:tcW w:type="dxa" w:w="3168"/>
            <w:vAlign w:val="center"/>
            <w:shd w:fill="F8FAFC"/>
          </w:tcPr>
          <w:p>
            <w:r/>
            <w:r>
              <w:rPr>
                <w:b w:val="0"/>
                <w:sz w:val="17"/>
              </w:rPr>
              <w:t>Recharts</w:t>
            </w:r>
          </w:p>
        </w:tc>
        <w:tc>
          <w:tcPr>
            <w:tcW w:type="dxa" w:w="7344"/>
            <w:vAlign w:val="center"/>
            <w:shd w:fill="F8FAFC"/>
          </w:tcPr>
          <w:p>
            <w:r/>
            <w:r>
              <w:rPr>
                <w:b w:val="0"/>
                <w:sz w:val="17"/>
              </w:rPr>
              <w:t>Dashboards, gráficos y paneles de indicadores.</w:t>
            </w:r>
          </w:p>
        </w:tc>
      </w:tr>
      <w:tr>
        <w:tc>
          <w:tcPr>
            <w:tcW w:type="dxa" w:w="3168"/>
            <w:vAlign w:val="center"/>
          </w:tcPr>
          <w:p>
            <w:r/>
            <w:r>
              <w:rPr>
                <w:b w:val="0"/>
                <w:sz w:val="17"/>
              </w:rPr>
              <w:t>Diseño premium</w:t>
            </w:r>
          </w:p>
        </w:tc>
        <w:tc>
          <w:tcPr>
            <w:tcW w:type="dxa" w:w="7344"/>
            <w:vAlign w:val="center"/>
          </w:tcPr>
          <w:p>
            <w:r/>
            <w:r>
              <w:rPr>
                <w:b w:val="0"/>
                <w:sz w:val="17"/>
              </w:rPr>
              <w:t>Glassmorphism, dark/light mode y sistema visual moderno.</w:t>
            </w:r>
          </w:p>
        </w:tc>
      </w:tr>
    </w:tbl>
    <w:p>
      <w:pPr>
        <w:widowControl/>
      </w:pPr>
    </w:p>
    <w:p>
      <w:pPr>
        <w:pStyle w:val="Heading2"/>
        <w:widowControl/>
      </w:pPr>
      <w:r>
        <w:rPr>
          <w:rFonts w:ascii="Calibri" w:hAnsi="Calibri" w:eastAsia="Calibri"/>
        </w:rPr>
        <w:t>8.4 Arquitectura frontend móvil</w:t>
      </w:r>
    </w:p>
    <w:p>
      <w:pPr>
        <w:widowControl/>
      </w:pPr>
      <w:r>
        <w:rPr>
          <w:rFonts w:ascii="Calibri" w:hAnsi="Calibri" w:eastAsia="Calibri"/>
        </w:rPr>
        <w:t xml:space="preserve">Mobile utiliza React Native y Expo SDK 57 para las tareas de terreno: reportar fallas de activos existentes, ejecutar IN asignadas y consultar su historial por tipo + serie. La exportación de bundles no sustituye la prueba en un dispositivo físico.</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3168"/>
            <w:vAlign w:val="center"/>
            <w:shd w:fill="002D62"/>
          </w:tcPr>
          <w:p>
            <w:r/>
            <w:r>
              <w:rPr>
                <w:b/>
                <w:color w:val="FFFFFF"/>
                <w:sz w:val="18"/>
              </w:rPr>
              <w:t>Componente móvil</w:t>
            </w:r>
          </w:p>
        </w:tc>
        <w:tc>
          <w:tcPr>
            <w:tcW w:type="dxa" w:w="7344"/>
            <w:vAlign w:val="center"/>
            <w:shd w:fill="002D62"/>
          </w:tcPr>
          <w:p>
            <w:r/>
            <w:r>
              <w:rPr>
                <w:b/>
                <w:color w:val="FFFFFF"/>
                <w:sz w:val="18"/>
              </w:rPr>
              <w:t>Función</w:t>
            </w:r>
          </w:p>
        </w:tc>
      </w:tr>
      <w:tr>
        <w:tc>
          <w:tcPr>
            <w:tcW w:type="dxa" w:w="3168"/>
            <w:vAlign w:val="center"/>
          </w:tcPr>
          <w:p>
            <w:r/>
            <w:r>
              <w:rPr>
                <w:b w:val="0"/>
                <w:sz w:val="17"/>
              </w:rPr>
              <w:t>React Native / Expo</w:t>
            </w:r>
          </w:p>
        </w:tc>
        <w:tc>
          <w:tcPr>
            <w:tcW w:type="dxa" w:w="7344"/>
            <w:vAlign w:val="center"/>
          </w:tcPr>
          <w:p>
            <w:r/>
            <w:r>
              <w:rPr>
                <w:b w:val="0"/>
                <w:sz w:val="17"/>
              </w:rPr>
              <w:t>Interfaz móvil para técnicos de terreno y roles operativos.</w:t>
            </w:r>
          </w:p>
        </w:tc>
      </w:tr>
      <w:tr>
        <w:tc>
          <w:tcPr>
            <w:tcW w:type="dxa" w:w="3168"/>
            <w:vAlign w:val="center"/>
            <w:shd w:fill="F8FAFC"/>
          </w:tcPr>
          <w:p>
            <w:r/>
            <w:r>
              <w:rPr>
                <w:b w:val="0"/>
                <w:sz w:val="17"/>
              </w:rPr>
              <w:t>React Navigation</w:t>
            </w:r>
          </w:p>
        </w:tc>
        <w:tc>
          <w:tcPr>
            <w:tcW w:type="dxa" w:w="7344"/>
            <w:vAlign w:val="center"/>
            <w:shd w:fill="F8FAFC"/>
          </w:tcPr>
          <w:p>
            <w:r/>
            <w:r>
              <w:rPr>
                <w:b w:val="0"/>
                <w:sz w:val="17"/>
              </w:rPr>
              <w:t>Navegación entre pantallas móviles.</w:t>
            </w:r>
          </w:p>
        </w:tc>
      </w:tr>
      <w:tr>
        <w:tc>
          <w:tcPr>
            <w:tcW w:type="dxa" w:w="3168"/>
            <w:vAlign w:val="center"/>
          </w:tcPr>
          <w:p>
            <w:r/>
            <w:r>
              <w:rPr>
                <w:b w:val="0"/>
                <w:sz w:val="17"/>
              </w:rPr>
              <w:t>Firebase Client SDK</w:t>
            </w:r>
          </w:p>
        </w:tc>
        <w:tc>
          <w:tcPr>
            <w:tcW w:type="dxa" w:w="7344"/>
            <w:vAlign w:val="center"/>
          </w:tcPr>
          <w:p>
            <w:r/>
            <w:r>
              <w:rPr>
                <w:b w:val="0"/>
                <w:sz w:val="17"/>
              </w:rPr>
              <w:t>Autenticación desde dispositivo móvil.</w:t>
            </w:r>
          </w:p>
        </w:tc>
      </w:tr>
      <w:tr>
        <w:tc>
          <w:tcPr>
            <w:tcW w:type="dxa" w:w="3168"/>
            <w:vAlign w:val="center"/>
            <w:shd w:fill="F8FAFC"/>
          </w:tcPr>
          <w:p>
            <w:r/>
            <w:r>
              <w:rPr>
                <w:b w:val="0"/>
                <w:sz w:val="17"/>
              </w:rPr>
              <w:t>Axios</w:t>
            </w:r>
          </w:p>
        </w:tc>
        <w:tc>
          <w:tcPr>
            <w:tcW w:type="dxa" w:w="7344"/>
            <w:vAlign w:val="center"/>
            <w:shd w:fill="F8FAFC"/>
          </w:tcPr>
          <w:p>
            <w:r/>
            <w:r>
              <w:rPr>
                <w:b w:val="0"/>
                <w:sz w:val="17"/>
              </w:rPr>
              <w:t>Consumo de API REST con token.</w:t>
            </w:r>
          </w:p>
        </w:tc>
      </w:tr>
      <w:tr>
        <w:tc>
          <w:tcPr>
            <w:tcW w:type="dxa" w:w="3168"/>
            <w:vAlign w:val="center"/>
          </w:tcPr>
          <w:p>
            <w:r/>
            <w:r>
              <w:rPr>
                <w:b w:val="0"/>
                <w:sz w:val="17"/>
              </w:rPr>
              <w:t>Secure Storage</w:t>
            </w:r>
          </w:p>
        </w:tc>
        <w:tc>
          <w:tcPr>
            <w:tcW w:type="dxa" w:w="7344"/>
            <w:vAlign w:val="center"/>
          </w:tcPr>
          <w:p>
            <w:r/>
            <w:r>
              <w:rPr>
                <w:b w:val="0"/>
                <w:sz w:val="17"/>
              </w:rPr>
              <w:t>Resguardo de credenciales en Keychain/Keystore.</w:t>
            </w:r>
          </w:p>
        </w:tc>
      </w:tr>
    </w:tbl>
    <w:p>
      <w:pPr>
        <w:widowControl/>
      </w:pPr>
    </w:p>
    <w:p>
      <w:pPr>
        <w:pStyle w:val="Heading2"/>
        <w:widowControl/>
      </w:pPr>
      <w:r>
        <w:rPr>
          <w:rFonts w:ascii="Calibri" w:hAnsi="Calibri" w:eastAsia="Calibri"/>
        </w:rPr>
        <w:t>8.5 Vista de despliegue</w:t>
      </w:r>
    </w:p>
    <w:p>
      <w:pPr>
        <w:widowControl/>
      </w:pPr>
      <w:r>
        <w:rPr>
          <w:rFonts w:ascii="Calibri" w:hAnsi="Calibri" w:eastAsia="Calibri"/>
        </w:rPr>
        <w:t xml:space="preserve">El entorno validado es local: PostgreSQL, API Node/Express, Python, Vite y Expo SDK 57. Ubuntu con Nginx y PM2 es una proyección pendiente de validación específica, no un despliegue acreditado. Docker no forma parte del alcance.</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360"/>
        <w:gridCol w:w="3360"/>
        <w:gridCol w:w="3360"/>
      </w:tblGrid>
      <w:tr>
        <w:trPr>
          <w:tblHeader w:val="true"/>
        </w:trPr>
        <w:tc>
          <w:tcPr>
            <w:tcW w:type="dxa" w:w="2304"/>
            <w:vAlign w:val="center"/>
            <w:shd w:fill="002D62"/>
          </w:tcPr>
          <w:p>
            <w:r/>
            <w:r>
              <w:rPr>
                <w:b/>
                <w:color w:val="FFFFFF"/>
                <w:sz w:val="18"/>
              </w:rPr>
              <w:t>Capa</w:t>
            </w:r>
          </w:p>
        </w:tc>
        <w:tc>
          <w:tcPr>
            <w:tcW w:type="dxa" w:w="2880"/>
            <w:vAlign w:val="center"/>
            <w:shd w:fill="002D62"/>
          </w:tcPr>
          <w:p>
            <w:r/>
            <w:r>
              <w:rPr>
                <w:b/>
                <w:color w:val="FFFFFF"/>
                <w:sz w:val="18"/>
              </w:rPr>
              <w:t>Tecnología</w:t>
            </w:r>
          </w:p>
        </w:tc>
        <w:tc>
          <w:tcPr>
            <w:tcW w:type="dxa" w:w="5328"/>
            <w:vAlign w:val="center"/>
            <w:shd w:fill="002D62"/>
          </w:tcPr>
          <w:p>
            <w:r/>
            <w:r>
              <w:rPr>
                <w:b/>
                <w:color w:val="FFFFFF"/>
                <w:sz w:val="18"/>
              </w:rPr>
              <w:t>Responsabilidad</w:t>
            </w:r>
          </w:p>
        </w:tc>
      </w:tr>
      <w:tr>
        <w:tc>
          <w:tcPr>
            <w:tcW w:type="dxa" w:w="2304"/>
            <w:vAlign w:val="center"/>
          </w:tcPr>
          <w:p>
            <w:r/>
            <w:r>
              <w:rPr>
                <w:b w:val="0"/>
                <w:sz w:val="17"/>
              </w:rPr>
              <w:t>Cliente web</w:t>
            </w:r>
          </w:p>
        </w:tc>
        <w:tc>
          <w:tcPr>
            <w:tcW w:type="dxa" w:w="2880"/>
            <w:vAlign w:val="center"/>
          </w:tcPr>
          <w:p>
            <w:r/>
            <w:r>
              <w:rPr>
                <w:b w:val="0"/>
                <w:sz w:val="17"/>
              </w:rPr>
              <w:t>React + Vite</w:t>
            </w:r>
          </w:p>
        </w:tc>
        <w:tc>
          <w:tcPr>
            <w:tcW w:type="dxa" w:w="5328"/>
            <w:vAlign w:val="center"/>
          </w:tcPr>
          <w:p>
            <w:r/>
            <w:r>
              <w:rPr>
                <w:b w:val="0"/>
                <w:sz w:val="17"/>
              </w:rPr>
              <w:t>Interfaz en navegador.</w:t>
            </w:r>
          </w:p>
        </w:tc>
      </w:tr>
      <w:tr>
        <w:tc>
          <w:tcPr>
            <w:tcW w:type="dxa" w:w="2304"/>
            <w:vAlign w:val="center"/>
            <w:shd w:fill="F8FAFC"/>
          </w:tcPr>
          <w:p>
            <w:r/>
            <w:r>
              <w:rPr>
                <w:b w:val="0"/>
                <w:sz w:val="17"/>
              </w:rPr>
              <w:t>Cliente móvil</w:t>
            </w:r>
          </w:p>
        </w:tc>
        <w:tc>
          <w:tcPr>
            <w:tcW w:type="dxa" w:w="2880"/>
            <w:vAlign w:val="center"/>
            <w:shd w:fill="F8FAFC"/>
          </w:tcPr>
          <w:p>
            <w:r/>
            <w:r>
              <w:rPr>
                <w:b w:val="0"/>
                <w:sz w:val="17"/>
              </w:rPr>
              <w:t>React Native + Expo</w:t>
            </w:r>
          </w:p>
        </w:tc>
        <w:tc>
          <w:tcPr>
            <w:tcW w:type="dxa" w:w="5328"/>
            <w:vAlign w:val="center"/>
            <w:shd w:fill="F8FAFC"/>
          </w:tcPr>
          <w:p>
            <w:r/>
            <w:r>
              <w:rPr>
                <w:b w:val="0"/>
                <w:sz w:val="17"/>
              </w:rPr>
              <w:t>Operación en dispositivos móviles.</w:t>
            </w:r>
          </w:p>
        </w:tc>
      </w:tr>
      <w:tr>
        <w:tc>
          <w:tcPr>
            <w:tcW w:type="dxa" w:w="2304"/>
            <w:vAlign w:val="center"/>
          </w:tcPr>
          <w:p>
            <w:r/>
            <w:r>
              <w:rPr>
                <w:b w:val="0"/>
                <w:sz w:val="17"/>
              </w:rPr>
              <w:t>Backend</w:t>
            </w:r>
          </w:p>
        </w:tc>
        <w:tc>
          <w:tcPr>
            <w:tcW w:type="dxa" w:w="2880"/>
            <w:vAlign w:val="center"/>
          </w:tcPr>
          <w:p>
            <w:r/>
            <w:r>
              <w:rPr>
                <w:b w:val="0"/>
                <w:sz w:val="17"/>
              </w:rPr>
              <w:t>Node.js 20 + Express</w:t>
            </w:r>
          </w:p>
        </w:tc>
        <w:tc>
          <w:tcPr>
            <w:tcW w:type="dxa" w:w="5328"/>
            <w:vAlign w:val="center"/>
          </w:tcPr>
          <w:p>
            <w:r/>
            <w:r>
              <w:rPr>
                <w:b w:val="0"/>
                <w:sz w:val="17"/>
              </w:rPr>
              <w:t>API, reglas de negocio y seguridad.</w:t>
            </w:r>
          </w:p>
        </w:tc>
      </w:tr>
      <w:tr>
        <w:tc>
          <w:tcPr>
            <w:tcW w:type="dxa" w:w="2304"/>
            <w:vAlign w:val="center"/>
            <w:shd w:fill="F8FAFC"/>
          </w:tcPr>
          <w:p>
            <w:r/>
            <w:r>
              <w:rPr>
                <w:b w:val="0"/>
                <w:sz w:val="17"/>
              </w:rPr>
              <w:t>Base de datos</w:t>
            </w:r>
          </w:p>
        </w:tc>
        <w:tc>
          <w:tcPr>
            <w:tcW w:type="dxa" w:w="2880"/>
            <w:vAlign w:val="center"/>
            <w:shd w:fill="F8FAFC"/>
          </w:tcPr>
          <w:p>
            <w:r/>
            <w:r>
              <w:rPr>
                <w:b w:val="0"/>
                <w:sz w:val="17"/>
              </w:rPr>
              <w:t>PostgreSQL 16</w:t>
            </w:r>
          </w:p>
        </w:tc>
        <w:tc>
          <w:tcPr>
            <w:tcW w:type="dxa" w:w="5328"/>
            <w:vAlign w:val="center"/>
            <w:shd w:fill="F8FAFC"/>
          </w:tcPr>
          <w:p>
            <w:r/>
            <w:r>
              <w:rPr>
                <w:b w:val="0"/>
                <w:sz w:val="17"/>
              </w:rPr>
              <w:t>Persistencia transaccional y consistencia.</w:t>
            </w:r>
          </w:p>
        </w:tc>
      </w:tr>
      <w:tr>
        <w:tc>
          <w:tcPr>
            <w:tcW w:type="dxa" w:w="2304"/>
            <w:vAlign w:val="center"/>
          </w:tcPr>
          <w:p>
            <w:r/>
            <w:r>
              <w:rPr>
                <w:b w:val="0"/>
                <w:sz w:val="17"/>
              </w:rPr>
              <w:t>IA</w:t>
            </w:r>
          </w:p>
        </w:tc>
        <w:tc>
          <w:tcPr>
            <w:tcW w:type="dxa" w:w="2880"/>
            <w:vAlign w:val="center"/>
          </w:tcPr>
          <w:p>
            <w:r/>
            <w:r>
              <w:rPr>
                <w:b w:val="0"/>
                <w:sz w:val="17"/>
              </w:rPr>
              <w:t>Python 3.11 + Scikit-learn</w:t>
            </w:r>
          </w:p>
        </w:tc>
        <w:tc>
          <w:tcPr>
            <w:tcW w:type="dxa" w:w="5328"/>
            <w:vAlign w:val="center"/>
          </w:tcPr>
          <w:p>
            <w:r/>
            <w:r>
              <w:rPr>
                <w:b w:val="0"/>
                <w:sz w:val="17"/>
              </w:rPr>
              <w:t>Inferencia, análisis y predicción.</w:t>
            </w:r>
          </w:p>
        </w:tc>
      </w:tr>
      <w:tr>
        <w:tc>
          <w:tcPr>
            <w:tcW w:type="dxa" w:w="2304"/>
            <w:vAlign w:val="center"/>
            <w:shd w:fill="F8FAFC"/>
          </w:tcPr>
          <w:p>
            <w:r/>
            <w:r>
              <w:rPr>
                <w:b w:val="0"/>
                <w:sz w:val="17"/>
              </w:rPr>
              <w:t>Servidor web</w:t>
            </w:r>
          </w:p>
        </w:tc>
        <w:tc>
          <w:tcPr>
            <w:tcW w:type="dxa" w:w="2880"/>
            <w:vAlign w:val="center"/>
            <w:shd w:fill="F8FAFC"/>
          </w:tcPr>
          <w:p>
            <w:r/>
            <w:r>
              <w:rPr>
                <w:b w:val="0"/>
                <w:sz w:val="17"/>
              </w:rPr>
              <w:t>Nginx</w:t>
            </w:r>
          </w:p>
        </w:tc>
        <w:tc>
          <w:tcPr>
            <w:tcW w:type="dxa" w:w="5328"/>
            <w:vAlign w:val="center"/>
            <w:shd w:fill="F8FAFC"/>
          </w:tcPr>
          <w:p>
            <w:r/>
            <w:r>
              <w:rPr>
                <w:b w:val="0"/>
                <w:sz w:val="17"/>
              </w:rPr>
              <w:t>Web estática y proxy inverso /api.</w:t>
            </w:r>
          </w:p>
        </w:tc>
      </w:tr>
      <w:tr>
        <w:tc>
          <w:tcPr>
            <w:tcW w:type="dxa" w:w="2304"/>
            <w:vAlign w:val="center"/>
          </w:tcPr>
          <w:p>
            <w:r/>
            <w:r>
              <w:rPr>
                <w:b w:val="0"/>
                <w:sz w:val="17"/>
              </w:rPr>
              <w:t>Gestor de procesos</w:t>
            </w:r>
          </w:p>
        </w:tc>
        <w:tc>
          <w:tcPr>
            <w:tcW w:type="dxa" w:w="2880"/>
            <w:vAlign w:val="center"/>
          </w:tcPr>
          <w:p>
            <w:r/>
            <w:r>
              <w:rPr>
                <w:b w:val="0"/>
                <w:sz w:val="17"/>
              </w:rPr>
              <w:t>PM2</w:t>
            </w:r>
          </w:p>
        </w:tc>
        <w:tc>
          <w:tcPr>
            <w:tcW w:type="dxa" w:w="5328"/>
            <w:vAlign w:val="center"/>
          </w:tcPr>
          <w:p>
            <w:r/>
            <w:r>
              <w:rPr>
                <w:b w:val="0"/>
                <w:sz w:val="17"/>
              </w:rPr>
              <w:t>Mantener backend vivo y reiniciar ante caídas.</w:t>
            </w:r>
          </w:p>
        </w:tc>
      </w:tr>
    </w:tbl>
    <w:p>
      <w:pPr>
        <w:widowControl/>
      </w:pPr>
    </w:p>
    <w:p>
      <w:pPr>
        <w:widowControl/>
      </w:pPr>
      <w:r>
        <w:rPr>
          <w:rFonts w:ascii="Calibri" w:hAnsi="Calibri" w:eastAsia="Calibri"/>
        </w:rPr>
        <w:br w:type="page"/>
      </w:r>
    </w:p>
    <w:p>
      <w:pPr>
        <w:pStyle w:val="Heading1"/>
        <w:widowControl/>
      </w:pPr>
      <w:r>
        <w:rPr>
          <w:rFonts w:ascii="Calibri" w:hAnsi="Calibri" w:eastAsia="Calibri"/>
        </w:rPr>
        <w:t>9. Diseño de datos, seguridad e integridad</w:t>
      </w:r>
    </w:p>
    <w:p>
      <w:pPr>
        <w:pStyle w:val="Heading2"/>
        <w:widowControl/>
      </w:pPr>
      <w:r>
        <w:rPr>
          <w:rFonts w:ascii="Calibri" w:hAnsi="Calibri" w:eastAsia="Calibri"/>
        </w:rPr>
        <w:t>9.1 Modelo de datos</w:t>
      </w:r>
    </w:p>
    <w:p>
      <w:pPr>
        <w:widowControl/>
      </w:pPr>
      <w:r>
        <w:rPr>
          <w:rFonts w:ascii="Calibri" w:hAnsi="Calibri" w:eastAsia="Calibri"/>
        </w:rPr>
        <w:t xml:space="preserve">El esquema pmp separa maestros, casos, OS, correlaciones, escaneos y eventos. Migraciones 003–006 incorporan casos, correlativo IN independiente, procedencia del maestro y recepción inicial sin OS, conservando identificadores y datos históricos.</w:t>
      </w:r>
    </w:p>
    <w:p>
      <w:pPr>
        <w:widowControl/>
      </w:pPr>
      <w:r>
        <w:rPr>
          <w:rFonts w:ascii="Calibri" w:hAnsi="Calibri" w:eastAsia="Calibri"/>
        </w:rPr>
        <w:t xml:space="preserve">pmp.casos_operacionales agrupa necesidades; pmp.bridge_referencias correlaciona referencias externas con OS existentes. pmp.escaneos_equipos registra evidencia física y pmp.flujo_eventos permite ALTA_ACTIVO, ESCANEO_BODEGA, RECEPCION_INICIAL y HABILITADO_INSTALACION por tipo + serie sin OS.</w:t>
      </w:r>
    </w:p>
    <w:p>
      <w:pPr>
        <w:widowControl/>
      </w:pPr>
      <w:r>
        <w:rPr>
          <w:rFonts w:ascii="Calibri" w:hAnsi="Calibri" w:eastAsia="Calibri"/>
        </w:rPr>
        <w:t xml:space="preserve">La 003 agrega casos y relaciones; la 004 reemplaza la numeración IN por caso con pmp.seq_in; la 005 agrega metadata del maestro; la 006 habilita recepción inicial sin OS y stock_origen_evento. El origen de stock es el evento inicial o la OS de reparación, sin inventario paralelo ni renumeración histórica.</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3600"/>
            <w:vAlign w:val="center"/>
            <w:shd w:fill="002D62"/>
          </w:tcPr>
          <w:p>
            <w:r/>
            <w:r>
              <w:rPr>
                <w:b/>
                <w:color w:val="FFFFFF"/>
                <w:sz w:val="18"/>
              </w:rPr>
              <w:t>Entidad</w:t>
            </w:r>
          </w:p>
        </w:tc>
        <w:tc>
          <w:tcPr>
            <w:tcW w:type="dxa" w:w="6912"/>
            <w:vAlign w:val="center"/>
            <w:shd w:fill="002D62"/>
          </w:tcPr>
          <w:p>
            <w:r/>
            <w:r>
              <w:rPr>
                <w:b/>
                <w:color w:val="FFFFFF"/>
                <w:sz w:val="18"/>
              </w:rPr>
              <w:t>Propósito</w:t>
            </w:r>
          </w:p>
        </w:tc>
      </w:tr>
      <w:tr>
        <w:tc>
          <w:tcPr>
            <w:tcW w:type="dxa" w:w="3600"/>
            <w:vAlign w:val="center"/>
          </w:tcPr>
          <w:p>
            <w:r/>
            <w:r>
              <w:rPr>
                <w:b w:val="0"/>
                <w:sz w:val="17"/>
              </w:rPr>
              <w:t>pmp.usuarios</w:t>
            </w:r>
          </w:p>
        </w:tc>
        <w:tc>
          <w:tcPr>
            <w:tcW w:type="dxa" w:w="6912"/>
            <w:vAlign w:val="center"/>
          </w:tcPr>
          <w:p>
            <w:r/>
            <w:r>
              <w:rPr>
                <w:b w:val="0"/>
                <w:sz w:val="17"/>
              </w:rPr>
              <w:t>Usuarios del sistema, roles, estado activo y vínculo Firebase UID.</w:t>
            </w:r>
          </w:p>
        </w:tc>
      </w:tr>
      <w:tr>
        <w:tc>
          <w:tcPr>
            <w:tcW w:type="dxa" w:w="3600"/>
            <w:vAlign w:val="center"/>
            <w:shd w:fill="F8FAFC"/>
          </w:tcPr>
          <w:p>
            <w:r/>
            <w:r>
              <w:rPr>
                <w:b w:val="0"/>
                <w:sz w:val="17"/>
              </w:rPr>
              <w:t>pmp.ordenes_servicio</w:t>
            </w:r>
          </w:p>
        </w:tc>
        <w:tc>
          <w:tcPr>
            <w:tcW w:type="dxa" w:w="6912"/>
            <w:vAlign w:val="center"/>
            <w:shd w:fill="F8FAFC"/>
          </w:tcPr>
          <w:p>
            <w:r/>
            <w:r>
              <w:rPr>
                <w:b w:val="0"/>
                <w:sz w:val="17"/>
              </w:rPr>
              <w:t xml:space="preserve">Intervención por activo; caso_id, os_origen y origen de stock por OS o evento inicial.</w:t>
            </w:r>
          </w:p>
        </w:tc>
      </w:tr>
      <w:tr>
        <w:tc>
          <w:tcPr>
            <w:tcW w:type="dxa" w:w="3600"/>
            <w:vAlign w:val="center"/>
          </w:tcPr>
          <w:p>
            <w:r/>
            <w:r>
              <w:rPr>
                <w:b w:val="0"/>
                <w:sz w:val="17"/>
              </w:rPr>
              <w:t xml:space="preserve">pmp.flujo_eventos</w:t>
            </w:r>
          </w:p>
        </w:tc>
        <w:tc>
          <w:tcPr>
            <w:tcW w:type="dxa" w:w="6912"/>
            <w:vAlign w:val="center"/>
          </w:tcPr>
          <w:p>
            <w:r/>
            <w:r>
              <w:rPr>
                <w:b w:val="0"/>
                <w:sz w:val="17"/>
              </w:rPr>
              <w:t xml:space="preserve">Auditoría por activo/OS; admite eventos iniciales con tipo + serie y codigo_os nulo.</w:t>
            </w:r>
          </w:p>
        </w:tc>
      </w:tr>
      <w:tr>
        <w:tc>
          <w:tcPr>
            <w:tcW w:type="dxa" w:w="3600"/>
            <w:vAlign w:val="center"/>
            <w:shd w:fill="F8FAFC"/>
          </w:tcPr>
          <w:p>
            <w:r/>
            <w:r>
              <w:rPr>
                <w:b w:val="0"/>
                <w:sz w:val="17"/>
              </w:rPr>
              <w:t>pmp.os_transiciones</w:t>
            </w:r>
          </w:p>
        </w:tc>
        <w:tc>
          <w:tcPr>
            <w:tcW w:type="dxa" w:w="6912"/>
            <w:vAlign w:val="center"/>
            <w:shd w:fill="F8FAFC"/>
          </w:tcPr>
          <w:p>
            <w:r/>
            <w:r>
              <w:rPr>
                <w:b w:val="0"/>
                <w:sz w:val="17"/>
              </w:rPr>
              <w:t>Reglas de transición por estado origen, destino y rol requerido.</w:t>
            </w:r>
          </w:p>
        </w:tc>
      </w:tr>
      <w:tr>
        <w:tc>
          <w:tcPr>
            <w:tcW w:type="dxa" w:w="3600"/>
            <w:vAlign w:val="center"/>
          </w:tcPr>
          <w:p>
            <w:r/>
            <w:r>
              <w:rPr>
                <w:b w:val="0"/>
                <w:sz w:val="17"/>
              </w:rPr>
              <w:t>pmp.ubicaciones</w:t>
            </w:r>
          </w:p>
        </w:tc>
        <w:tc>
          <w:tcPr>
            <w:tcW w:type="dxa" w:w="6912"/>
            <w:vAlign w:val="center"/>
          </w:tcPr>
          <w:p>
            <w:r/>
            <w:r>
              <w:rPr>
                <w:b w:val="0"/>
                <w:sz w:val="17"/>
              </w:rPr>
              <w:t>Bodegas, laboratorios, QA y puntos físicos.</w:t>
            </w:r>
          </w:p>
        </w:tc>
      </w:tr>
      <w:tr>
        <w:tc>
          <w:tcPr>
            <w:tcW w:type="dxa" w:w="3600"/>
            <w:vAlign w:val="center"/>
            <w:shd w:fill="F8FAFC"/>
          </w:tcPr>
          <w:p>
            <w:r/>
            <w:r>
              <w:rPr>
                <w:b w:val="0"/>
                <w:sz w:val="17"/>
              </w:rPr>
              <w:t>pmp.repuestos</w:t>
            </w:r>
          </w:p>
        </w:tc>
        <w:tc>
          <w:tcPr>
            <w:tcW w:type="dxa" w:w="6912"/>
            <w:vAlign w:val="center"/>
            <w:shd w:fill="F8FAFC"/>
          </w:tcPr>
          <w:p>
            <w:r/>
            <w:r>
              <w:rPr>
                <w:b w:val="0"/>
                <w:sz w:val="17"/>
              </w:rPr>
              <w:t>Catálogo y stock de repuestos.</w:t>
            </w:r>
          </w:p>
        </w:tc>
      </w:tr>
      <w:tr>
        <w:tc>
          <w:tcPr>
            <w:tcW w:type="dxa" w:w="3600"/>
            <w:vAlign w:val="center"/>
          </w:tcPr>
          <w:p>
            <w:r/>
            <w:r>
              <w:rPr>
                <w:b w:val="0"/>
                <w:sz w:val="17"/>
              </w:rPr>
              <w:t>pmp.solicitudes_repuestos / items</w:t>
            </w:r>
          </w:p>
        </w:tc>
        <w:tc>
          <w:tcPr>
            <w:tcW w:type="dxa" w:w="6912"/>
            <w:vAlign w:val="center"/>
          </w:tcPr>
          <w:p>
            <w:r/>
            <w:r>
              <w:rPr>
                <w:b w:val="0"/>
                <w:sz w:val="17"/>
              </w:rPr>
              <w:t>Solicitudes y detalle de insumos requeridos por laboratorio.</w:t>
            </w:r>
          </w:p>
        </w:tc>
      </w:tr>
      <w:tr>
        <w:tc>
          <w:tcPr>
            <w:tcW w:type="dxa" w:w="3600"/>
            <w:vAlign w:val="center"/>
            <w:shd w:fill="F8FAFC"/>
          </w:tcPr>
          <w:p>
            <w:r/>
            <w:r>
              <w:rPr>
                <w:b w:val="0"/>
                <w:sz w:val="17"/>
              </w:rPr>
              <w:t>pmp.guias / guia_detalle</w:t>
            </w:r>
          </w:p>
        </w:tc>
        <w:tc>
          <w:tcPr>
            <w:tcW w:type="dxa" w:w="6912"/>
            <w:vAlign w:val="center"/>
            <w:shd w:fill="F8FAFC"/>
          </w:tcPr>
          <w:p>
            <w:r/>
            <w:r>
              <w:rPr>
                <w:b w:val="0"/>
                <w:sz w:val="17"/>
              </w:rPr>
              <w:t>Despachos, recepciones y trazabilidad de movimientos.</w:t>
            </w:r>
          </w:p>
        </w:tc>
      </w:tr>
    </w:tbl>
    <w:p>
      <w:pPr>
        <w:widowControl/>
      </w:pPr>
    </w:p>
    <w:p>
      <w:pPr>
        <w:pStyle w:val="Heading2"/>
        <w:widowControl/>
      </w:pPr>
      <w:r>
        <w:rPr>
          <w:rFonts w:ascii="Calibri" w:hAnsi="Calibri" w:eastAsia="Calibri"/>
        </w:rPr>
        <w:t>9.2 Seguridad</w:t>
      </w:r>
    </w:p>
    <w:p>
      <w:pPr>
        <w:pStyle w:val="ListBullet"/>
        <w:widowControl/>
        <w:ind w:left="360"/>
      </w:pPr>
      <w:r>
        <w:rPr>
          <w:rFonts w:ascii="Calibri" w:hAnsi="Calibri" w:eastAsia="Calibri"/>
        </w:rPr>
        <w:t>Autenticación centralizada mediante Firebase Authentication.</w:t>
      </w:r>
    </w:p>
    <w:p>
      <w:pPr>
        <w:pStyle w:val="ListBullet"/>
        <w:widowControl/>
        <w:ind w:left="360"/>
      </w:pPr>
      <w:r>
        <w:rPr>
          <w:rFonts w:ascii="Calibri" w:hAnsi="Calibri" w:eastAsia="Calibri"/>
        </w:rPr>
        <w:t>Uso de tokens JWT firmados y validados en backend mediante Firebase Admin SDK.</w:t>
      </w:r>
    </w:p>
    <w:p>
      <w:pPr>
        <w:pStyle w:val="ListBullet"/>
        <w:widowControl/>
        <w:ind w:left="360"/>
      </w:pPr>
      <w:r>
        <w:rPr>
          <w:rFonts w:ascii="Calibri" w:hAnsi="Calibri" w:eastAsia="Calibri"/>
        </w:rPr>
        <w:t>Validación del usuario activo y rol en PostgreSQL en cada ruta protegida.</w:t>
      </w:r>
    </w:p>
    <w:p>
      <w:pPr>
        <w:pStyle w:val="ListBullet"/>
        <w:widowControl/>
        <w:ind w:left="360"/>
      </w:pPr>
      <w:r>
        <w:rPr>
          <w:rFonts w:ascii="Calibri" w:hAnsi="Calibri" w:eastAsia="Calibri"/>
        </w:rPr>
        <w:t>Control de acceso por roles en frontend y backend para evitar acceso por URL manual o peticiones directas.</w:t>
      </w:r>
    </w:p>
    <w:p>
      <w:pPr>
        <w:pStyle w:val="ListBullet"/>
        <w:widowControl/>
        <w:ind w:left="360"/>
      </w:pPr>
      <w:r>
        <w:rPr>
          <w:rFonts w:ascii="Calibri" w:hAnsi="Calibri" w:eastAsia="Calibri"/>
        </w:rPr>
        <w:t>Rutas críticas protegidas por middlewares ensureUser y requireAnyRole.</w:t>
      </w:r>
    </w:p>
    <w:p>
      <w:pPr>
        <w:pStyle w:val="ListBullet"/>
        <w:widowControl/>
        <w:ind w:left="360"/>
      </w:pPr>
      <w:r>
        <w:rPr>
          <w:rFonts w:ascii="Calibri" w:hAnsi="Calibri" w:eastAsia="Calibri"/>
        </w:rPr>
        <w:t>Gestión de credenciales sensibles mediante variables de entorno y almacenamiento seguro en móvil.</w:t>
      </w:r>
    </w:p>
    <w:p>
      <w:pPr>
        <w:pStyle w:val="Heading2"/>
        <w:widowControl/>
      </w:pPr>
      <w:r>
        <w:rPr>
          <w:rFonts w:ascii="Calibri" w:hAnsi="Calibri" w:eastAsia="Calibri"/>
        </w:rPr>
        <w:t>9.3 Integridad y concurrencia</w:t>
      </w:r>
    </w:p>
    <w:p>
      <w:pPr>
        <w:pStyle w:val="ListBullet"/>
        <w:widowControl/>
        <w:ind w:left="360"/>
      </w:pPr>
      <w:r>
        <w:rPr>
          <w:rFonts w:ascii="Calibri" w:hAnsi="Calibri" w:eastAsia="Calibri"/>
        </w:rPr>
        <w:t>Transiciones de OS controladas por catálogo de estados y roles.</w:t>
      </w:r>
    </w:p>
    <w:p>
      <w:pPr>
        <w:pStyle w:val="ListBullet"/>
        <w:widowControl/>
        <w:ind w:left="360"/>
      </w:pPr>
      <w:r>
        <w:rPr>
          <w:rFonts w:ascii="Calibri" w:hAnsi="Calibri" w:eastAsia="Calibri"/>
        </w:rPr>
        <w:t>Validación de ubicación física compatible con el estado lógico del equipo.</w:t>
      </w:r>
    </w:p>
    <w:p>
      <w:pPr>
        <w:pStyle w:val="ListBullet"/>
        <w:widowControl/>
        <w:ind w:left="360"/>
      </w:pPr>
      <w:r>
        <w:rPr>
          <w:rFonts w:ascii="Calibri" w:hAnsi="Calibri" w:eastAsia="Calibri"/>
        </w:rPr>
        <w:t xml:space="preserve">MV/MC/PDV/PDC según proceso; IN-xxxxxx por pmp.seq_in independiente del caso y de Aranda.</w:t>
      </w:r>
    </w:p>
    <w:p>
      <w:pPr>
        <w:pStyle w:val="ListBullet"/>
        <w:widowControl/>
        <w:ind w:left="360"/>
      </w:pPr>
      <w:r>
        <w:rPr>
          <w:rFonts w:ascii="Calibri" w:hAnsi="Calibri" w:eastAsia="Calibri"/>
        </w:rPr>
        <w:t xml:space="preserve">Eventos e historial por tipo + serie, con o sin OS según la etapa de vida del activo.</w:t>
      </w:r>
    </w:p>
    <w:p>
      <w:pPr>
        <w:pStyle w:val="ListBullet"/>
        <w:widowControl/>
        <w:ind w:left="360"/>
      </w:pPr>
      <w:r>
        <w:rPr>
          <w:rFonts w:ascii="Calibri" w:hAnsi="Calibri" w:eastAsia="Calibri"/>
        </w:rPr>
        <w:t>Descuento de repuestos vinculado a reparaciones y movimientos de stock.</w:t>
      </w:r>
    </w:p>
    <w:p>
      <w:pPr>
        <w:pStyle w:val="ListBullet"/>
        <w:widowControl/>
        <w:ind w:left="360"/>
      </w:pPr>
      <w:r>
        <w:rPr>
          <w:rFonts w:ascii="Calibri" w:hAnsi="Calibri" w:eastAsia="Calibri"/>
        </w:rPr>
        <w:t>Uso de transacciones y SELECT ... FOR UPDATE para evitar race conditions.</w:t>
      </w:r>
    </w:p>
    <w:p>
      <w:pPr>
        <w:widowControl/>
      </w:pPr>
      <w:r>
        <w:rPr>
          <w:rFonts w:ascii="Calibri" w:hAnsi="Calibri" w:eastAsia="Calibri"/>
        </w:rPr>
        <w:br w:type="page"/>
      </w:r>
    </w:p>
    <w:p>
      <w:pPr>
        <w:pStyle w:val="Heading1"/>
        <w:widowControl/>
      </w:pPr>
      <w:r>
        <w:rPr>
          <w:rFonts w:ascii="Calibri" w:hAnsi="Calibri" w:eastAsia="Calibri"/>
        </w:rPr>
        <w:t>10. Implementación funcional por módulos</w:t>
      </w:r>
    </w:p>
    <w:p>
      <w:pPr>
        <w:pStyle w:val="Heading2"/>
        <w:widowControl/>
      </w:pPr>
      <w:r>
        <w:rPr>
          <w:rFonts w:ascii="Calibri" w:hAnsi="Calibri" w:eastAsia="Calibri"/>
        </w:rPr>
        <w:t>10.1 Flujo operacional End-to-End</w:t>
      </w:r>
    </w:p>
    <w:p>
      <w:pPr>
        <w:pStyle w:val="ListNumber"/>
        <w:widowControl/>
      </w:pPr>
      <w:r>
        <w:rPr>
          <w:rFonts w:ascii="Calibri" w:hAnsi="Calibri" w:eastAsia="Calibri"/>
        </w:rPr>
        <w:t xml:space="preserve">Ingreso de requerimientos (admin/logistica) selecciona un activo existente vinculado al bus y crea caso y OS MV/MC/PDV/PDC. No crea maestro; una referencia externa se conserva mediante correlación.</w:t>
      </w:r>
    </w:p>
    <w:p>
      <w:pPr>
        <w:pStyle w:val="ListNumber"/>
        <w:widowControl/>
      </w:pPr>
      <w:r>
        <w:rPr>
          <w:rFonts w:ascii="Calibri" w:hAnsi="Calibri" w:eastAsia="Calibri"/>
        </w:rPr>
        <w:t>Bodega recepciona el equipo, actualiza su ubicación física y decide envío a laboratorio.</w:t>
      </w:r>
    </w:p>
    <w:p>
      <w:pPr>
        <w:pStyle w:val="ListNumber"/>
        <w:widowControl/>
      </w:pPr>
      <w:r>
        <w:rPr>
          <w:rFonts w:ascii="Calibri" w:hAnsi="Calibri" w:eastAsia="Calibri"/>
        </w:rPr>
        <w:t>Laboratorio diagnostica, registra bitácora, utiliza o solicita repuestos y finaliza reparación.</w:t>
      </w:r>
    </w:p>
    <w:p>
      <w:pPr>
        <w:pStyle w:val="ListNumber"/>
        <w:widowControl/>
      </w:pPr>
      <w:r>
        <w:rPr>
          <w:rFonts w:ascii="Calibri" w:hAnsi="Calibri" w:eastAsia="Calibri"/>
        </w:rPr>
        <w:t>El rol admin despacha equipos finalizados hacia QA.</w:t>
      </w:r>
    </w:p>
    <w:p>
      <w:pPr>
        <w:pStyle w:val="ListNumber"/>
        <w:widowControl/>
      </w:pPr>
      <w:r>
        <w:rPr>
          <w:rFonts w:ascii="Calibri" w:hAnsi="Calibri" w:eastAsia="Calibri"/>
        </w:rPr>
        <w:t>QA inspecciona, aprueba o rechaza el equipo.</w:t>
      </w:r>
    </w:p>
    <w:p>
      <w:pPr>
        <w:pStyle w:val="ListNumber"/>
        <w:widowControl/>
      </w:pPr>
      <w:r>
        <w:rPr>
          <w:rFonts w:ascii="Calibri" w:hAnsi="Calibri" w:eastAsia="Calibri"/>
        </w:rPr>
        <w:t xml:space="preserve">Si QA aprueba, Bodega confirma la recepción física y puede cerrar la reparación y habilitar stock reparado elegible. Esta recepción no crea una IN.</w:t>
      </w:r>
    </w:p>
    <w:p>
      <w:pPr>
        <w:pStyle w:val="ListNumber"/>
        <w:widowControl/>
      </w:pPr>
      <w:r>
        <w:rPr>
          <w:rFonts w:ascii="Calibri" w:hAnsi="Calibri" w:eastAsia="Calibri"/>
        </w:rPr>
        <w:t>Si QA rechaza, el equipo vuelve a Bodega y luego retorna a Laboratorio para corrección.</w:t>
      </w:r>
    </w:p>
    <w:p>
      <w:pPr>
        <w:widowControl/>
      </w:pPr>
      <w:r>
        <w:rPr>
          <w:rFonts w:ascii="Calibri" w:hAnsi="Calibri" w:eastAsia="Calibri"/>
        </w:rPr>
        <w:t xml:space="preserve">Un activo nuevo se registra en Gestión de activos sin OS ni stock. Recepcionar activo nuevo exige escaneo BODEGA y conformidad inicial: registra ESCANEO_BODEGA, RECEPCION_INICIAL y HABILITADO_INSTALACION sin bus ficticio ni mantenimiento/QA. ALTA_ACTIVO conserva el registro del maestro.</w:t>
      </w:r>
    </w:p>
    <w:p>
      <w:pPr>
        <w:widowControl/>
      </w:pPr>
      <w:r>
        <w:rPr>
          <w:rFonts w:ascii="Calibri" w:hAnsi="Calibri" w:eastAsia="Calibri"/>
        </w:rPr>
        <w:t xml:space="preserve">Stock inicial conforme y reparado aprobado comparten Listos para instalación. Logística define contexto, toma y escanea un equipo. Solo confirmar despacho crea IN-xxxxxx independiente, asigna técnico y registra SALIDA_BODEGA_TERRENO con su origen de stock. La lectura de recepción no sustituye la de despacho.</w:t>
      </w:r>
    </w:p>
    <w:p>
      <w:pPr>
        <w:pStyle w:val="Heading2"/>
        <w:widowControl/>
      </w:pPr>
      <w:r>
        <w:rPr>
          <w:rFonts w:ascii="Calibri" w:hAnsi="Calibri" w:eastAsia="Calibri"/>
        </w:rPr>
        <w:t>10.2 Estado operativo principal</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2592"/>
            <w:vAlign w:val="center"/>
            <w:shd w:fill="002D62"/>
          </w:tcPr>
          <w:p>
            <w:r/>
            <w:r>
              <w:rPr>
                <w:b/>
                <w:color w:val="FFFFFF"/>
                <w:sz w:val="18"/>
              </w:rPr>
              <w:t>ID / Estado</w:t>
            </w:r>
          </w:p>
        </w:tc>
        <w:tc>
          <w:tcPr>
            <w:tcW w:type="dxa" w:w="7920"/>
            <w:vAlign w:val="center"/>
            <w:shd w:fill="002D62"/>
          </w:tcPr>
          <w:p>
            <w:r/>
            <w:r>
              <w:rPr>
                <w:b/>
                <w:color w:val="FFFFFF"/>
                <w:sz w:val="18"/>
              </w:rPr>
              <w:t>Significado operativo</w:t>
            </w:r>
          </w:p>
        </w:tc>
      </w:tr>
      <w:tr>
        <w:tc>
          <w:tcPr>
            <w:tcW w:type="dxa" w:w="2592"/>
            <w:vAlign w:val="center"/>
          </w:tcPr>
          <w:p>
            <w:r/>
            <w:r>
              <w:rPr>
                <w:b w:val="0"/>
                <w:sz w:val="17"/>
              </w:rPr>
              <w:t>2 / EN_TRANSITO</w:t>
            </w:r>
          </w:p>
        </w:tc>
        <w:tc>
          <w:tcPr>
            <w:tcW w:type="dxa" w:w="7920"/>
            <w:vAlign w:val="center"/>
          </w:tcPr>
          <w:p>
            <w:r/>
            <w:r>
              <w:rPr>
                <w:b w:val="0"/>
                <w:sz w:val="17"/>
              </w:rPr>
              <w:t>Equipo viajando desde Terreno a Bodega.</w:t>
            </w:r>
          </w:p>
        </w:tc>
      </w:tr>
      <w:tr>
        <w:tc>
          <w:tcPr>
            <w:tcW w:type="dxa" w:w="2592"/>
            <w:vAlign w:val="center"/>
            <w:shd w:fill="F8FAFC"/>
          </w:tcPr>
          <w:p>
            <w:r/>
            <w:r>
              <w:rPr>
                <w:b w:val="0"/>
                <w:sz w:val="17"/>
              </w:rPr>
              <w:t>3 / EN_BODEGA</w:t>
            </w:r>
          </w:p>
        </w:tc>
        <w:tc>
          <w:tcPr>
            <w:tcW w:type="dxa" w:w="7920"/>
            <w:vAlign w:val="center"/>
            <w:shd w:fill="F8FAFC"/>
          </w:tcPr>
          <w:p>
            <w:r/>
            <w:r>
              <w:rPr>
                <w:b w:val="0"/>
                <w:sz w:val="17"/>
              </w:rPr>
              <w:t>Equipo recepcionado físicamente en Bodega.</w:t>
            </w:r>
          </w:p>
        </w:tc>
      </w:tr>
      <w:tr>
        <w:tc>
          <w:tcPr>
            <w:tcW w:type="dxa" w:w="2592"/>
            <w:vAlign w:val="center"/>
          </w:tcPr>
          <w:p>
            <w:r/>
            <w:r>
              <w:rPr>
                <w:b w:val="0"/>
                <w:sz w:val="17"/>
              </w:rPr>
              <w:t>4 / EN_DIAGNOSTICO</w:t>
            </w:r>
          </w:p>
        </w:tc>
        <w:tc>
          <w:tcPr>
            <w:tcW w:type="dxa" w:w="7920"/>
            <w:vAlign w:val="center"/>
          </w:tcPr>
          <w:p>
            <w:r/>
            <w:r>
              <w:rPr>
                <w:b w:val="0"/>
                <w:sz w:val="17"/>
              </w:rPr>
              <w:t>Equipo en Laboratorio para revisión técnica.</w:t>
            </w:r>
          </w:p>
        </w:tc>
      </w:tr>
      <w:tr>
        <w:tc>
          <w:tcPr>
            <w:tcW w:type="dxa" w:w="2592"/>
            <w:vAlign w:val="center"/>
            <w:shd w:fill="F8FAFC"/>
          </w:tcPr>
          <w:p>
            <w:r/>
            <w:r>
              <w:rPr>
                <w:b w:val="0"/>
                <w:sz w:val="17"/>
              </w:rPr>
              <w:t>6 / EN_QA</w:t>
            </w:r>
          </w:p>
        </w:tc>
        <w:tc>
          <w:tcPr>
            <w:tcW w:type="dxa" w:w="7920"/>
            <w:vAlign w:val="center"/>
            <w:shd w:fill="F8FAFC"/>
          </w:tcPr>
          <w:p>
            <w:r/>
            <w:r>
              <w:rPr>
                <w:b w:val="0"/>
                <w:sz w:val="17"/>
              </w:rPr>
              <w:t>Equipo en revisión de calidad.</w:t>
            </w:r>
          </w:p>
        </w:tc>
      </w:tr>
      <w:tr>
        <w:tc>
          <w:tcPr>
            <w:tcW w:type="dxa" w:w="2592"/>
            <w:vAlign w:val="center"/>
          </w:tcPr>
          <w:p>
            <w:r/>
            <w:r>
              <w:rPr>
                <w:b w:val="0"/>
                <w:sz w:val="17"/>
              </w:rPr>
              <w:t xml:space="preserve">7 / DISPONIBLE (compatibilidad histórica)</w:t>
            </w:r>
          </w:p>
        </w:tc>
        <w:tc>
          <w:tcPr>
            <w:tcW w:type="dxa" w:w="7920"/>
            <w:vAlign w:val="center"/>
          </w:tcPr>
          <w:p>
            <w:r/>
            <w:r>
              <w:rPr>
                <w:b w:val="0"/>
                <w:sz w:val="17"/>
              </w:rPr>
              <w:t xml:space="preserve">No define por sí solo el stock actual; la disponibilidad inicial o reparada exige evidencia y elegibilidad.</w:t>
            </w:r>
          </w:p>
        </w:tc>
      </w:tr>
      <w:tr>
        <w:tc>
          <w:tcPr>
            <w:tcW w:type="dxa" w:w="2592"/>
            <w:vAlign w:val="center"/>
            <w:shd w:fill="F8FAFC"/>
          </w:tcPr>
          <w:p>
            <w:r/>
            <w:r>
              <w:rPr>
                <w:b w:val="0"/>
                <w:sz w:val="17"/>
              </w:rPr>
              <w:t>10 / FINALIZADO_TALLER</w:t>
            </w:r>
          </w:p>
        </w:tc>
        <w:tc>
          <w:tcPr>
            <w:tcW w:type="dxa" w:w="7920"/>
            <w:vAlign w:val="center"/>
            <w:shd w:fill="F8FAFC"/>
          </w:tcPr>
          <w:p>
            <w:r/>
            <w:r>
              <w:rPr>
                <w:b w:val="0"/>
                <w:sz w:val="17"/>
              </w:rPr>
              <w:t>Reparación completada esperando despacho.</w:t>
            </w:r>
          </w:p>
        </w:tc>
      </w:tr>
      <w:tr>
        <w:tc>
          <w:tcPr>
            <w:tcW w:type="dxa" w:w="2592"/>
            <w:vAlign w:val="center"/>
          </w:tcPr>
          <w:p>
            <w:r/>
            <w:r>
              <w:rPr>
                <w:b w:val="0"/>
                <w:sz w:val="17"/>
              </w:rPr>
              <w:t>11 / EN_TRAYECTO_BODEGA</w:t>
            </w:r>
          </w:p>
        </w:tc>
        <w:tc>
          <w:tcPr>
            <w:tcW w:type="dxa" w:w="7920"/>
            <w:vAlign w:val="center"/>
          </w:tcPr>
          <w:p>
            <w:r/>
            <w:r>
              <w:rPr>
                <w:b w:val="0"/>
                <w:sz w:val="17"/>
              </w:rPr>
              <w:t>Equipo saliendo desde Lab/QA hacia Bodega.</w:t>
            </w:r>
          </w:p>
        </w:tc>
      </w:tr>
      <w:tr>
        <w:tc>
          <w:tcPr>
            <w:tcW w:type="dxa" w:w="2592"/>
            <w:vAlign w:val="center"/>
            <w:shd w:fill="F8FAFC"/>
          </w:tcPr>
          <w:p>
            <w:r/>
            <w:r>
              <w:rPr>
                <w:b w:val="0"/>
                <w:sz w:val="17"/>
              </w:rPr>
              <w:t>13 / CERRADA</w:t>
            </w:r>
          </w:p>
        </w:tc>
        <w:tc>
          <w:tcPr>
            <w:tcW w:type="dxa" w:w="7920"/>
            <w:vAlign w:val="center"/>
            <w:shd w:fill="F8FAFC"/>
          </w:tcPr>
          <w:p>
            <w:r/>
            <w:r>
              <w:rPr>
                <w:b w:val="0"/>
                <w:sz w:val="17"/>
              </w:rPr>
              <w:t>OS de reparación cerrada por ciclo completo.</w:t>
            </w:r>
          </w:p>
        </w:tc>
      </w:tr>
    </w:tbl>
    <w:p>
      <w:pPr>
        <w:widowControl/>
      </w:pPr>
    </w:p>
    <w:p>
      <w:pPr>
        <w:pStyle w:val="Heading2"/>
        <w:widowControl/>
      </w:pPr>
      <w:r>
        <w:rPr>
          <w:rFonts w:ascii="Calibri" w:hAnsi="Calibri" w:eastAsia="Calibri"/>
        </w:rPr>
        <w:t>10.3 Matriz funcional por rol</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360"/>
        <w:gridCol w:w="3360"/>
        <w:gridCol w:w="3360"/>
      </w:tblGrid>
      <w:tr>
        <w:trPr>
          <w:tblHeader w:val="true"/>
        </w:trPr>
        <w:tc>
          <w:tcPr>
            <w:tcW w:type="dxa" w:w="2448"/>
            <w:vAlign w:val="center"/>
            <w:shd w:fill="002D62"/>
          </w:tcPr>
          <w:p>
            <w:r/>
            <w:r>
              <w:rPr>
                <w:b/>
                <w:color w:val="FFFFFF"/>
                <w:sz w:val="18"/>
              </w:rPr>
              <w:t>Rol</w:t>
            </w:r>
          </w:p>
        </w:tc>
        <w:tc>
          <w:tcPr>
            <w:tcW w:type="dxa" w:w="4752"/>
            <w:vAlign w:val="center"/>
            <w:shd w:fill="002D62"/>
          </w:tcPr>
          <w:p>
            <w:r/>
            <w:r>
              <w:rPr>
                <w:b/>
                <w:color w:val="FFFFFF"/>
                <w:sz w:val="18"/>
              </w:rPr>
              <w:t>Funcionalidad principal</w:t>
            </w:r>
          </w:p>
        </w:tc>
        <w:tc>
          <w:tcPr>
            <w:tcW w:type="dxa" w:w="3312"/>
            <w:vAlign w:val="center"/>
            <w:shd w:fill="002D62"/>
          </w:tcPr>
          <w:p>
            <w:r/>
            <w:r>
              <w:rPr>
                <w:b/>
                <w:color w:val="FFFFFF"/>
                <w:sz w:val="18"/>
              </w:rPr>
              <w:t>Restricciones</w:t>
            </w:r>
          </w:p>
        </w:tc>
      </w:tr>
      <w:tr>
        <w:tc>
          <w:tcPr>
            <w:tcW w:type="dxa" w:w="2448"/>
            <w:vAlign w:val="center"/>
          </w:tcPr>
          <w:p>
            <w:r/>
            <w:r>
              <w:rPr>
                <w:b w:val="0"/>
                <w:sz w:val="17"/>
              </w:rPr>
              <w:t>tecnico_terreno</w:t>
            </w:r>
          </w:p>
        </w:tc>
        <w:tc>
          <w:tcPr>
            <w:tcW w:type="dxa" w:w="4752"/>
            <w:vAlign w:val="center"/>
          </w:tcPr>
          <w:p>
            <w:r/>
            <w:r>
              <w:rPr>
                <w:b w:val="0"/>
                <w:sz w:val="17"/>
              </w:rPr>
              <w:t>Ejecutar OS propias e IN asignadas; registrar retiros, PPU y evidencia.</w:t>
            </w:r>
          </w:p>
        </w:tc>
        <w:tc>
          <w:tcPr>
            <w:tcW w:type="dxa" w:w="3312"/>
            <w:vAlign w:val="center"/>
          </w:tcPr>
          <w:p>
            <w:r/>
            <w:r>
              <w:rPr>
                <w:b w:val="0"/>
                <w:sz w:val="17"/>
              </w:rPr>
              <w:t>No accede a funciones internas de bodega, laboratorio o QA.</w:t>
            </w:r>
          </w:p>
        </w:tc>
      </w:tr>
      <w:tr>
        <w:tc>
          <w:tcPr>
            <w:tcW w:type="dxa" w:w="2448"/>
            <w:vAlign w:val="center"/>
            <w:shd w:fill="F8FAFC"/>
          </w:tcPr>
          <w:p>
            <w:r/>
            <w:r>
              <w:rPr>
                <w:b w:val="0"/>
                <w:sz w:val="17"/>
              </w:rPr>
              <w:t>logistica</w:t>
            </w:r>
          </w:p>
        </w:tc>
        <w:tc>
          <w:tcPr>
            <w:tcW w:type="dxa" w:w="4752"/>
            <w:vAlign w:val="center"/>
            <w:shd w:fill="F8FAFC"/>
          </w:tcPr>
          <w:p>
            <w:r/>
            <w:r>
              <w:rPr>
                <w:b w:val="0"/>
                <w:sz w:val="17"/>
              </w:rPr>
              <w:t>Recepcionar, despachar, gestionar stock, guías y ubicación.</w:t>
            </w:r>
          </w:p>
        </w:tc>
        <w:tc>
          <w:tcPr>
            <w:tcW w:type="dxa" w:w="3312"/>
            <w:vAlign w:val="center"/>
            <w:shd w:fill="F8FAFC"/>
          </w:tcPr>
          <w:p>
            <w:r/>
            <w:r>
              <w:rPr>
                <w:b w:val="0"/>
                <w:sz w:val="17"/>
              </w:rPr>
              <w:t>No procesa QA ni finaliza reparaciones técnicas.</w:t>
            </w:r>
          </w:p>
        </w:tc>
      </w:tr>
      <w:tr>
        <w:tc>
          <w:tcPr>
            <w:tcW w:type="dxa" w:w="2448"/>
            <w:vAlign w:val="center"/>
          </w:tcPr>
          <w:p>
            <w:r/>
            <w:r>
              <w:rPr>
                <w:b w:val="0"/>
                <w:sz w:val="17"/>
              </w:rPr>
              <w:t>tecnico_laboratorio</w:t>
            </w:r>
          </w:p>
        </w:tc>
        <w:tc>
          <w:tcPr>
            <w:tcW w:type="dxa" w:w="4752"/>
            <w:vAlign w:val="center"/>
          </w:tcPr>
          <w:p>
            <w:r/>
            <w:r>
              <w:rPr>
                <w:b w:val="0"/>
                <w:sz w:val="17"/>
              </w:rPr>
              <w:t>Diagnosticar, reparar, solicitar repuestos y registrar bitácoras.</w:t>
            </w:r>
          </w:p>
        </w:tc>
        <w:tc>
          <w:tcPr>
            <w:tcW w:type="dxa" w:w="3312"/>
            <w:vAlign w:val="center"/>
          </w:tcPr>
          <w:p>
            <w:r/>
            <w:r>
              <w:rPr>
                <w:b w:val="0"/>
                <w:sz w:val="17"/>
              </w:rPr>
              <w:t>No aprueba QA ni ajusta inventario sin autorización.</w:t>
            </w:r>
          </w:p>
        </w:tc>
      </w:tr>
      <w:tr>
        <w:tc>
          <w:tcPr>
            <w:tcW w:type="dxa" w:w="2448"/>
            <w:vAlign w:val="center"/>
            <w:shd w:fill="F8FAFC"/>
          </w:tcPr>
          <w:p>
            <w:r/>
            <w:r>
              <w:rPr>
                <w:b w:val="0"/>
                <w:sz w:val="17"/>
              </w:rPr>
              <w:t>qa</w:t>
            </w:r>
          </w:p>
        </w:tc>
        <w:tc>
          <w:tcPr>
            <w:tcW w:type="dxa" w:w="4752"/>
            <w:vAlign w:val="center"/>
            <w:shd w:fill="F8FAFC"/>
          </w:tcPr>
          <w:p>
            <w:r/>
            <w:r>
              <w:rPr>
                <w:b w:val="0"/>
                <w:sz w:val="17"/>
              </w:rPr>
              <w:t>Inspeccionar, aprobar o rechazar equipos.</w:t>
            </w:r>
          </w:p>
        </w:tc>
        <w:tc>
          <w:tcPr>
            <w:tcW w:type="dxa" w:w="3312"/>
            <w:vAlign w:val="center"/>
            <w:shd w:fill="F8FAFC"/>
          </w:tcPr>
          <w:p>
            <w:r/>
            <w:r>
              <w:rPr>
                <w:b w:val="0"/>
                <w:sz w:val="17"/>
              </w:rPr>
              <w:t>No crea usuarios ni recepciona en bodega.</w:t>
            </w:r>
          </w:p>
        </w:tc>
      </w:tr>
      <w:tr>
        <w:tc>
          <w:tcPr>
            <w:tcW w:type="dxa" w:w="2448"/>
            <w:vAlign w:val="center"/>
          </w:tcPr>
          <w:p>
            <w:r/>
            <w:r>
              <w:rPr>
                <w:b w:val="0"/>
                <w:sz w:val="17"/>
              </w:rPr>
              <w:t>gerente</w:t>
            </w:r>
          </w:p>
        </w:tc>
        <w:tc>
          <w:tcPr>
            <w:tcW w:type="dxa" w:w="4752"/>
            <w:vAlign w:val="center"/>
          </w:tcPr>
          <w:p>
            <w:r/>
            <w:r>
              <w:rPr>
                <w:b w:val="0"/>
                <w:sz w:val="17"/>
              </w:rPr>
              <w:t>Consulta ejecutiva global y revisión de métricas.</w:t>
            </w:r>
          </w:p>
        </w:tc>
        <w:tc>
          <w:tcPr>
            <w:tcW w:type="dxa" w:w="3312"/>
            <w:vAlign w:val="center"/>
          </w:tcPr>
          <w:p>
            <w:r/>
            <w:r>
              <w:rPr>
                <w:b w:val="0"/>
                <w:sz w:val="17"/>
              </w:rPr>
              <w:t>Sin escritura operacional.</w:t>
            </w:r>
          </w:p>
        </w:tc>
      </w:tr>
      <w:tr>
        <w:tc>
          <w:tcPr>
            <w:tcW w:type="dxa" w:w="2448"/>
            <w:vAlign w:val="center"/>
            <w:shd w:fill="F8FAFC"/>
          </w:tcPr>
          <w:p>
            <w:r/>
            <w:r>
              <w:rPr>
                <w:b w:val="0"/>
                <w:sz w:val="17"/>
              </w:rPr>
              <w:t>admin</w:t>
            </w:r>
          </w:p>
        </w:tc>
        <w:tc>
          <w:tcPr>
            <w:tcW w:type="dxa" w:w="4752"/>
            <w:vAlign w:val="center"/>
            <w:shd w:fill="F8FAFC"/>
          </w:tcPr>
          <w:p>
            <w:r/>
            <w:r>
              <w:rPr>
                <w:b w:val="0"/>
                <w:sz w:val="17"/>
              </w:rPr>
              <w:t>Gestión global, usuarios, asignaciones y control físico en laboratorio.</w:t>
            </w:r>
          </w:p>
        </w:tc>
        <w:tc>
          <w:tcPr>
            <w:tcW w:type="dxa" w:w="3312"/>
            <w:vAlign w:val="center"/>
            <w:shd w:fill="F8FAFC"/>
          </w:tcPr>
          <w:p>
            <w:r/>
            <w:r>
              <w:rPr>
                <w:b w:val="0"/>
                <w:sz w:val="17"/>
              </w:rPr>
              <w:t>Acceso total controlado y auditable.</w:t>
            </w:r>
          </w:p>
        </w:tc>
      </w:tr>
    </w:tbl>
    <w:p>
      <w:pPr>
        <w:widowControl/>
      </w:pPr>
    </w:p>
    <w:p>
      <w:pPr>
        <w:widowControl/>
      </w:pPr>
      <w:r>
        <w:rPr>
          <w:rFonts w:ascii="Calibri" w:hAnsi="Calibri" w:eastAsia="Calibri"/>
        </w:rPr>
      </w:r>
    </w:p>
    <w:p>
      <w:pPr>
        <w:pStyle w:val="Heading1"/>
        <w:widowControl/>
      </w:pPr>
      <w:r>
        <w:rPr>
          <w:rFonts w:ascii="Calibri" w:hAnsi="Calibri" w:eastAsia="Calibri"/>
        </w:rPr>
        <w:t>11. Inteligencia Artificial y mantenimiento predictivo</w:t>
      </w:r>
    </w:p>
    <w:p>
      <w:pPr>
        <w:pStyle w:val="Heading2"/>
        <w:widowControl/>
      </w:pPr>
      <w:r>
        <w:rPr>
          <w:rFonts w:ascii="Calibri" w:hAnsi="Calibri" w:eastAsia="Calibri"/>
        </w:rPr>
        <w:t>11.1 Problema abordado por la IA</w:t>
      </w:r>
    </w:p>
    <w:p>
      <w:pPr>
        <w:widowControl/>
      </w:pPr>
      <w:r>
        <w:rPr>
          <w:rFonts w:ascii="Calibri" w:hAnsi="Calibri" w:eastAsia="Calibri"/>
        </w:rPr>
        <w:t>El módulo de IA busca reducir el mantenimiento reactivo detectando equipos con alta probabilidad de falla futura. El foco está en identificar equipos “limón”, activos con bajo MTBF, fallas crónicas por componente y patrones sospechosos por lote o tipo de equipo.</w:t>
      </w:r>
    </w:p>
    <w:p>
      <w:pPr>
        <w:pStyle w:val="Heading2"/>
        <w:widowControl/>
      </w:pPr>
      <w:r>
        <w:rPr>
          <w:rFonts w:ascii="Calibri" w:hAnsi="Calibri" w:eastAsia="Calibri"/>
        </w:rPr>
        <w:t>11.2 Modelo principal</w:t>
      </w:r>
    </w:p>
    <w:p>
      <w:pPr>
        <w:widowControl/>
      </w:pPr>
      <w:r>
        <w:rPr>
          <w:rFonts w:ascii="Calibri" w:hAnsi="Calibri" w:eastAsia="Calibri"/>
        </w:rPr>
        <w:t>Se utiliza Random Forest como algoritmo principal debido a su robustez frente a relaciones no lineales, bajo riesgo de overfitting relativo y capacidad para ponderar variables de importancia. El modelo clasifica activos según riesgo de reincidencia y genera un score visible en dashboards.</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2880"/>
            <w:vAlign w:val="center"/>
            <w:shd w:fill="002D62"/>
          </w:tcPr>
          <w:p>
            <w:r/>
            <w:r>
              <w:rPr>
                <w:b/>
                <w:color w:val="FFFFFF"/>
                <w:sz w:val="18"/>
              </w:rPr>
              <w:t>Variable / Feature</w:t>
            </w:r>
          </w:p>
        </w:tc>
        <w:tc>
          <w:tcPr>
            <w:tcW w:type="dxa" w:w="7632"/>
            <w:vAlign w:val="center"/>
            <w:shd w:fill="002D62"/>
          </w:tcPr>
          <w:p>
            <w:r/>
            <w:r>
              <w:rPr>
                <w:b/>
                <w:color w:val="FFFFFF"/>
                <w:sz w:val="18"/>
              </w:rPr>
              <w:t>Uso dentro del modelo</w:t>
            </w:r>
          </w:p>
        </w:tc>
      </w:tr>
      <w:tr>
        <w:tc>
          <w:tcPr>
            <w:tcW w:type="dxa" w:w="2880"/>
            <w:vAlign w:val="center"/>
          </w:tcPr>
          <w:p>
            <w:r/>
            <w:r>
              <w:rPr>
                <w:b w:val="0"/>
                <w:sz w:val="17"/>
              </w:rPr>
              <w:t>MTBF</w:t>
            </w:r>
          </w:p>
        </w:tc>
        <w:tc>
          <w:tcPr>
            <w:tcW w:type="dxa" w:w="7632"/>
            <w:vAlign w:val="center"/>
          </w:tcPr>
          <w:p>
            <w:r/>
            <w:r>
              <w:rPr>
                <w:b w:val="0"/>
                <w:sz w:val="17"/>
              </w:rPr>
              <w:t>Tiempo medio entre fallas; valores bajos elevan el riesgo.</w:t>
            </w:r>
          </w:p>
        </w:tc>
      </w:tr>
      <w:tr>
        <w:tc>
          <w:tcPr>
            <w:tcW w:type="dxa" w:w="2880"/>
            <w:vAlign w:val="center"/>
            <w:shd w:fill="F8FAFC"/>
          </w:tcPr>
          <w:p>
            <w:r/>
            <w:r>
              <w:rPr>
                <w:b w:val="0"/>
                <w:sz w:val="17"/>
              </w:rPr>
              <w:t>FailureCount</w:t>
            </w:r>
          </w:p>
        </w:tc>
        <w:tc>
          <w:tcPr>
            <w:tcW w:type="dxa" w:w="7632"/>
            <w:vAlign w:val="center"/>
            <w:shd w:fill="F8FAFC"/>
          </w:tcPr>
          <w:p>
            <w:r/>
            <w:r>
              <w:rPr>
                <w:b w:val="0"/>
                <w:sz w:val="17"/>
              </w:rPr>
              <w:t>Cantidad total de ingresos al laboratorio o reincidencias.</w:t>
            </w:r>
          </w:p>
        </w:tc>
      </w:tr>
      <w:tr>
        <w:tc>
          <w:tcPr>
            <w:tcW w:type="dxa" w:w="2880"/>
            <w:vAlign w:val="center"/>
          </w:tcPr>
          <w:p>
            <w:r/>
            <w:r>
              <w:rPr>
                <w:b w:val="0"/>
                <w:sz w:val="17"/>
              </w:rPr>
              <w:t>CommonIssue</w:t>
            </w:r>
          </w:p>
        </w:tc>
        <w:tc>
          <w:tcPr>
            <w:tcW w:type="dxa" w:w="7632"/>
            <w:vAlign w:val="center"/>
          </w:tcPr>
          <w:p>
            <w:r/>
            <w:r>
              <w:rPr>
                <w:b w:val="0"/>
                <w:sz w:val="17"/>
              </w:rPr>
              <w:t>Tipo de falla recurrente: EMV, QR, alimentación, display, comunicación.</w:t>
            </w:r>
          </w:p>
        </w:tc>
      </w:tr>
      <w:tr>
        <w:tc>
          <w:tcPr>
            <w:tcW w:type="dxa" w:w="2880"/>
            <w:vAlign w:val="center"/>
            <w:shd w:fill="F8FAFC"/>
          </w:tcPr>
          <w:p>
            <w:r/>
            <w:r>
              <w:rPr>
                <w:b w:val="0"/>
                <w:sz w:val="17"/>
              </w:rPr>
              <w:t>Age / edad del registro</w:t>
            </w:r>
          </w:p>
        </w:tc>
        <w:tc>
          <w:tcPr>
            <w:tcW w:type="dxa" w:w="7632"/>
            <w:vAlign w:val="center"/>
            <w:shd w:fill="F8FAFC"/>
          </w:tcPr>
          <w:p>
            <w:r/>
            <w:r>
              <w:rPr>
                <w:b w:val="0"/>
                <w:sz w:val="17"/>
              </w:rPr>
              <w:t>Antigüedad del activo o del historial asociado.</w:t>
            </w:r>
          </w:p>
        </w:tc>
      </w:tr>
      <w:tr>
        <w:tc>
          <w:tcPr>
            <w:tcW w:type="dxa" w:w="2880"/>
            <w:vAlign w:val="center"/>
          </w:tcPr>
          <w:p>
            <w:r/>
            <w:r>
              <w:rPr>
                <w:b w:val="0"/>
                <w:sz w:val="17"/>
              </w:rPr>
              <w:t>Frecuencia 6m / 12m</w:t>
            </w:r>
          </w:p>
        </w:tc>
        <w:tc>
          <w:tcPr>
            <w:tcW w:type="dxa" w:w="7632"/>
            <w:vAlign w:val="center"/>
          </w:tcPr>
          <w:p>
            <w:r/>
            <w:r>
              <w:rPr>
                <w:b w:val="0"/>
                <w:sz w:val="17"/>
              </w:rPr>
              <w:t>Cantidad de reparaciones recientes para capturar tendencia.</w:t>
            </w:r>
          </w:p>
        </w:tc>
      </w:tr>
      <w:tr>
        <w:tc>
          <w:tcPr>
            <w:tcW w:type="dxa" w:w="2880"/>
            <w:vAlign w:val="center"/>
            <w:shd w:fill="F8FAFC"/>
          </w:tcPr>
          <w:p>
            <w:r/>
            <w:r>
              <w:rPr>
                <w:b w:val="0"/>
                <w:sz w:val="17"/>
              </w:rPr>
              <w:t>Días desde última reparación</w:t>
            </w:r>
          </w:p>
        </w:tc>
        <w:tc>
          <w:tcPr>
            <w:tcW w:type="dxa" w:w="7632"/>
            <w:vAlign w:val="center"/>
            <w:shd w:fill="F8FAFC"/>
          </w:tcPr>
          <w:p>
            <w:r/>
            <w:r>
              <w:rPr>
                <w:b w:val="0"/>
                <w:sz w:val="17"/>
              </w:rPr>
              <w:t>Evalúa cercanía de la última intervención y probabilidad de reingreso.</w:t>
            </w:r>
          </w:p>
        </w:tc>
      </w:tr>
    </w:tbl>
    <w:p>
      <w:pPr>
        <w:widowControl/>
      </w:pPr>
    </w:p>
    <w:p>
      <w:pPr>
        <w:pStyle w:val="Heading2"/>
        <w:widowControl/>
      </w:pPr>
      <w:r>
        <w:rPr>
          <w:rFonts w:ascii="Calibri" w:hAnsi="Calibri" w:eastAsia="Calibri"/>
        </w:rPr>
        <w:t>11.3 Arquitectura del módulo IA</w:t>
      </w:r>
    </w:p>
    <w:p>
      <w:pPr>
        <w:pStyle w:val="ListNumber"/>
        <w:widowControl/>
      </w:pPr>
      <w:r>
        <w:rPr>
          <w:rFonts w:ascii="Calibri" w:hAnsi="Calibri" w:eastAsia="Calibri"/>
        </w:rPr>
        <w:t>El backend solicita un análisis predictivo desde una ruta de API o dashboard.</w:t>
      </w:r>
    </w:p>
    <w:p>
      <w:pPr>
        <w:pStyle w:val="ListNumber"/>
        <w:widowControl/>
      </w:pPr>
      <w:r>
        <w:rPr>
          <w:rFonts w:ascii="Calibri" w:hAnsi="Calibri" w:eastAsia="Calibri"/>
        </w:rPr>
        <w:t>Node.js ejecuta el script Python mediante un proceso controlado.</w:t>
      </w:r>
    </w:p>
    <w:p>
      <w:pPr>
        <w:pStyle w:val="ListNumber"/>
        <w:widowControl/>
      </w:pPr>
      <w:r>
        <w:rPr>
          <w:rFonts w:ascii="Calibri" w:hAnsi="Calibri" w:eastAsia="Calibri"/>
        </w:rPr>
        <w:t>El script Python consulta PostgreSQL para extraer historial de fallas, OS y eventos.</w:t>
      </w:r>
    </w:p>
    <w:p>
      <w:pPr>
        <w:pStyle w:val="ListNumber"/>
        <w:widowControl/>
      </w:pPr>
      <w:r>
        <w:rPr>
          <w:rFonts w:ascii="Calibri" w:hAnsi="Calibri" w:eastAsia="Calibri"/>
        </w:rPr>
        <w:t>El motor procesa features, calcula riesgo y retorna JSON estructurado.</w:t>
      </w:r>
    </w:p>
    <w:p>
      <w:pPr>
        <w:pStyle w:val="ListNumber"/>
        <w:widowControl/>
      </w:pPr>
      <w:r>
        <w:rPr>
          <w:rFonts w:ascii="Calibri" w:hAnsi="Calibri" w:eastAsia="Calibri"/>
        </w:rPr>
        <w:t>El frontend visualiza el resultado en AIRiskPanel con semáforos de riesgo.</w:t>
      </w:r>
    </w:p>
    <w:p>
      <w:pPr>
        <w:pStyle w:val="Heading2"/>
        <w:widowControl/>
      </w:pPr>
      <w:r>
        <w:rPr>
          <w:rFonts w:ascii="Calibri" w:hAnsi="Calibri" w:eastAsia="Calibri"/>
        </w:rPr>
        <w:t>11.4 Niveles de riesgo</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20"/>
        <w:gridCol w:w="2520"/>
        <w:gridCol w:w="2520"/>
        <w:gridCol w:w="2520"/>
      </w:tblGrid>
      <w:tr>
        <w:trPr>
          <w:tblHeader w:val="true"/>
        </w:trPr>
        <w:tc>
          <w:tcPr>
            <w:tcW w:type="dxa" w:w="1728"/>
            <w:vAlign w:val="center"/>
            <w:shd w:fill="002D62"/>
          </w:tcPr>
          <w:p>
            <w:r/>
            <w:r>
              <w:rPr>
                <w:b/>
                <w:color w:val="FFFFFF"/>
                <w:sz w:val="18"/>
              </w:rPr>
              <w:t>Nivel</w:t>
            </w:r>
          </w:p>
        </w:tc>
        <w:tc>
          <w:tcPr>
            <w:tcW w:type="dxa" w:w="2160"/>
            <w:vAlign w:val="center"/>
            <w:shd w:fill="002D62"/>
          </w:tcPr>
          <w:p>
            <w:r/>
            <w:r>
              <w:rPr>
                <w:b/>
                <w:color w:val="FFFFFF"/>
                <w:sz w:val="18"/>
              </w:rPr>
              <w:t>Rango referencial</w:t>
            </w:r>
          </w:p>
        </w:tc>
        <w:tc>
          <w:tcPr>
            <w:tcW w:type="dxa" w:w="3456"/>
            <w:vAlign w:val="center"/>
            <w:shd w:fill="002D62"/>
          </w:tcPr>
          <w:p>
            <w:r/>
            <w:r>
              <w:rPr>
                <w:b/>
                <w:color w:val="FFFFFF"/>
                <w:sz w:val="18"/>
              </w:rPr>
              <w:t>Interpretación</w:t>
            </w:r>
          </w:p>
        </w:tc>
        <w:tc>
          <w:tcPr>
            <w:tcW w:type="dxa" w:w="3168"/>
            <w:vAlign w:val="center"/>
            <w:shd w:fill="002D62"/>
          </w:tcPr>
          <w:p>
            <w:r/>
            <w:r>
              <w:rPr>
                <w:b/>
                <w:color w:val="FFFFFF"/>
                <w:sz w:val="18"/>
              </w:rPr>
              <w:t>Acción sugerida</w:t>
            </w:r>
          </w:p>
        </w:tc>
      </w:tr>
      <w:tr>
        <w:tc>
          <w:tcPr>
            <w:tcW w:type="dxa" w:w="1728"/>
            <w:vAlign w:val="center"/>
          </w:tcPr>
          <w:p>
            <w:r/>
            <w:r>
              <w:rPr>
                <w:b w:val="0"/>
                <w:sz w:val="17"/>
              </w:rPr>
              <w:t>Crítico</w:t>
            </w:r>
          </w:p>
        </w:tc>
        <w:tc>
          <w:tcPr>
            <w:tcW w:type="dxa" w:w="2160"/>
            <w:vAlign w:val="center"/>
          </w:tcPr>
          <w:p>
            <w:r/>
            <w:r>
              <w:rPr>
                <w:b w:val="0"/>
                <w:sz w:val="17"/>
              </w:rPr>
              <w:t>&gt; 70%</w:t>
            </w:r>
          </w:p>
        </w:tc>
        <w:tc>
          <w:tcPr>
            <w:tcW w:type="dxa" w:w="3456"/>
            <w:vAlign w:val="center"/>
          </w:tcPr>
          <w:p>
            <w:r/>
            <w:r>
              <w:rPr>
                <w:b w:val="0"/>
                <w:sz w:val="17"/>
              </w:rPr>
              <w:t>Alta probabilidad de falla inminente.</w:t>
            </w:r>
          </w:p>
        </w:tc>
        <w:tc>
          <w:tcPr>
            <w:tcW w:type="dxa" w:w="3168"/>
            <w:vAlign w:val="center"/>
          </w:tcPr>
          <w:p>
            <w:r/>
            <w:r>
              <w:rPr>
                <w:b w:val="0"/>
                <w:sz w:val="17"/>
              </w:rPr>
              <w:t>Retiro preventivo, peritaje o revisión profunda.</w:t>
            </w:r>
          </w:p>
        </w:tc>
      </w:tr>
      <w:tr>
        <w:tc>
          <w:tcPr>
            <w:tcW w:type="dxa" w:w="1728"/>
            <w:vAlign w:val="center"/>
            <w:shd w:fill="F8FAFC"/>
          </w:tcPr>
          <w:p>
            <w:r/>
            <w:r>
              <w:rPr>
                <w:b w:val="0"/>
                <w:sz w:val="17"/>
              </w:rPr>
              <w:t>Medio</w:t>
            </w:r>
          </w:p>
        </w:tc>
        <w:tc>
          <w:tcPr>
            <w:tcW w:type="dxa" w:w="2160"/>
            <w:vAlign w:val="center"/>
            <w:shd w:fill="F8FAFC"/>
          </w:tcPr>
          <w:p>
            <w:r/>
            <w:r>
              <w:rPr>
                <w:b w:val="0"/>
                <w:sz w:val="17"/>
              </w:rPr>
              <w:t>40% - 70%</w:t>
            </w:r>
          </w:p>
        </w:tc>
        <w:tc>
          <w:tcPr>
            <w:tcW w:type="dxa" w:w="3456"/>
            <w:vAlign w:val="center"/>
            <w:shd w:fill="F8FAFC"/>
          </w:tcPr>
          <w:p>
            <w:r/>
            <w:r>
              <w:rPr>
                <w:b w:val="0"/>
                <w:sz w:val="17"/>
              </w:rPr>
              <w:t>Reincidencia moderada o patrón sospechoso.</w:t>
            </w:r>
          </w:p>
        </w:tc>
        <w:tc>
          <w:tcPr>
            <w:tcW w:type="dxa" w:w="3168"/>
            <w:vAlign w:val="center"/>
            <w:shd w:fill="F8FAFC"/>
          </w:tcPr>
          <w:p>
            <w:r/>
            <w:r>
              <w:rPr>
                <w:b w:val="0"/>
                <w:sz w:val="17"/>
              </w:rPr>
              <w:t>Monitorear, priorizar pruebas y seguimiento.</w:t>
            </w:r>
          </w:p>
        </w:tc>
      </w:tr>
      <w:tr>
        <w:tc>
          <w:tcPr>
            <w:tcW w:type="dxa" w:w="1728"/>
            <w:vAlign w:val="center"/>
          </w:tcPr>
          <w:p>
            <w:r/>
            <w:r>
              <w:rPr>
                <w:b w:val="0"/>
                <w:sz w:val="17"/>
              </w:rPr>
              <w:t>Bajo</w:t>
            </w:r>
          </w:p>
        </w:tc>
        <w:tc>
          <w:tcPr>
            <w:tcW w:type="dxa" w:w="2160"/>
            <w:vAlign w:val="center"/>
          </w:tcPr>
          <w:p>
            <w:r/>
            <w:r>
              <w:rPr>
                <w:b w:val="0"/>
                <w:sz w:val="17"/>
              </w:rPr>
              <w:t>&lt; 40%</w:t>
            </w:r>
          </w:p>
        </w:tc>
        <w:tc>
          <w:tcPr>
            <w:tcW w:type="dxa" w:w="3456"/>
            <w:vAlign w:val="center"/>
          </w:tcPr>
          <w:p>
            <w:r/>
            <w:r>
              <w:rPr>
                <w:b w:val="0"/>
                <w:sz w:val="17"/>
              </w:rPr>
              <w:t>Equipo estable con comportamiento normal.</w:t>
            </w:r>
          </w:p>
        </w:tc>
        <w:tc>
          <w:tcPr>
            <w:tcW w:type="dxa" w:w="3168"/>
            <w:vAlign w:val="center"/>
          </w:tcPr>
          <w:p>
            <w:r/>
            <w:r>
              <w:rPr>
                <w:b w:val="0"/>
                <w:sz w:val="17"/>
              </w:rPr>
              <w:t>Mantener operación regular.</w:t>
            </w:r>
          </w:p>
        </w:tc>
      </w:tr>
    </w:tbl>
    <w:p>
      <w:pPr>
        <w:widowControl/>
      </w:pPr>
    </w:p>
    <w:p>
      <w:pPr>
        <w:widowControl/>
      </w:pPr>
      <w:r>
        <w:rPr>
          <w:rFonts w:ascii="Calibri" w:hAnsi="Calibri" w:eastAsia="Calibri"/>
        </w:rPr>
        <w:br w:type="page"/>
      </w:r>
    </w:p>
    <w:p>
      <w:pPr>
        <w:pStyle w:val="Heading1"/>
        <w:widowControl/>
      </w:pPr>
      <w:r>
        <w:rPr>
          <w:rFonts w:ascii="Calibri" w:hAnsi="Calibri" w:eastAsia="Calibri"/>
        </w:rPr>
        <w:t>12. Validación, pruebas y aseguramiento de calidad</w:t>
      </w:r>
    </w:p>
    <w:p>
      <w:pPr>
        <w:widowControl/>
      </w:pPr>
      <w:r>
        <w:rPr>
          <w:rFonts w:ascii="Calibri" w:hAnsi="Calibri" w:eastAsia="Calibri"/>
        </w:rPr>
        <w:t xml:space="preserve">Línea base vigente según el Plan de Pruebas v2.0 y RECEPCION_INICIAL_SIN_OS.md: 56/56 backend, 62/62 frontend, build web y exportaciones Android/iOS con Expo 57.0.22 aprobados; cuatro familias E2E de requerimientos/activos/recepción, escaneo, logística y Bridge aprobadas. Suites/builds registrados el 17 de septiembre de 2026; E2E de recepción repetido el 22. No se ejecutaron nuevamente en esta revisión documental.</w:t>
      </w:r>
    </w:p>
    <w:p>
      <w:pPr>
        <w:widowControl/>
      </w:pPr>
      <w:r>
        <w:rPr>
          <w:rFonts w:ascii="Calibri" w:hAnsi="Calibri" w:eastAsia="Calibri"/>
        </w:rPr>
        <w:t xml:space="preserve">Las tablas 12.1–12.4 conservan conteos y escenarios del informe anterior, cuyo periodo referencial es abril de 2026. No demuestran el flujo vigente ni una nueva ejecución. La creación de IN al recibir desde QA que aparece en esa evidencia corresponde al comportamiento retirado. El recorrido final con lector real y teléfono sigue pendiente.</w:t>
      </w:r>
    </w:p>
    <w:p>
      <w:pPr>
        <w:pStyle w:val="Heading2"/>
        <w:widowControl/>
      </w:pPr>
      <w:r>
        <w:rPr>
          <w:rFonts w:ascii="Calibri" w:hAnsi="Calibri" w:eastAsia="Calibri"/>
        </w:rPr>
        <w:t xml:space="preserve">12.1 Resultados históricos del informe referencial de abril de 2026</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016"/>
        <w:gridCol w:w="2016"/>
        <w:gridCol w:w="2016"/>
        <w:gridCol w:w="2016"/>
        <w:gridCol w:w="2016"/>
      </w:tblGrid>
      <w:tr>
        <w:trPr>
          <w:tblHeader w:val="true"/>
        </w:trPr>
        <w:tc>
          <w:tcPr>
            <w:tcW w:type="dxa" w:w="2880"/>
            <w:vAlign w:val="center"/>
            <w:shd w:fill="002D62"/>
          </w:tcPr>
          <w:p>
            <w:r/>
            <w:r>
              <w:rPr>
                <w:b/>
                <w:color w:val="FFFFFF"/>
                <w:sz w:val="18"/>
              </w:rPr>
              <w:t>Tipo de prueba</w:t>
            </w:r>
          </w:p>
        </w:tc>
        <w:tc>
          <w:tcPr>
            <w:tcW w:type="dxa" w:w="1584"/>
            <w:vAlign w:val="center"/>
            <w:shd w:fill="002D62"/>
          </w:tcPr>
          <w:p>
            <w:r/>
            <w:r>
              <w:rPr>
                <w:b/>
                <w:color w:val="FFFFFF"/>
                <w:sz w:val="18"/>
              </w:rPr>
              <w:t>Total</w:t>
            </w:r>
          </w:p>
        </w:tc>
        <w:tc>
          <w:tcPr>
            <w:tcW w:type="dxa" w:w="1584"/>
            <w:vAlign w:val="center"/>
            <w:shd w:fill="002D62"/>
          </w:tcPr>
          <w:p>
            <w:r/>
            <w:r>
              <w:rPr>
                <w:b/>
                <w:color w:val="FFFFFF"/>
                <w:sz w:val="18"/>
              </w:rPr>
              <w:t>Pasadas</w:t>
            </w:r>
          </w:p>
        </w:tc>
        <w:tc>
          <w:tcPr>
            <w:tcW w:type="dxa" w:w="1584"/>
            <w:vAlign w:val="center"/>
            <w:shd w:fill="002D62"/>
          </w:tcPr>
          <w:p>
            <w:r/>
            <w:r>
              <w:rPr>
                <w:b/>
                <w:color w:val="FFFFFF"/>
                <w:sz w:val="18"/>
              </w:rPr>
              <w:t>Falladas</w:t>
            </w:r>
          </w:p>
        </w:tc>
        <w:tc>
          <w:tcPr>
            <w:tcW w:type="dxa" w:w="2880"/>
            <w:vAlign w:val="center"/>
            <w:shd w:fill="002D62"/>
          </w:tcPr>
          <w:p>
            <w:r/>
            <w:r>
              <w:rPr>
                <w:b/>
                <w:color w:val="FFFFFF"/>
                <w:sz w:val="18"/>
              </w:rPr>
              <w:t>Resultado</w:t>
            </w:r>
          </w:p>
        </w:tc>
      </w:tr>
      <w:tr>
        <w:tc>
          <w:tcPr>
            <w:tcW w:type="dxa" w:w="2880"/>
            <w:vAlign w:val="center"/>
          </w:tcPr>
          <w:p>
            <w:r/>
            <w:r>
              <w:rPr>
                <w:b w:val="0"/>
                <w:sz w:val="17"/>
              </w:rPr>
              <w:t>End-to-End funcional</w:t>
            </w:r>
          </w:p>
        </w:tc>
        <w:tc>
          <w:tcPr>
            <w:tcW w:type="dxa" w:w="1584"/>
            <w:vAlign w:val="center"/>
          </w:tcPr>
          <w:p>
            <w:r/>
            <w:r>
              <w:rPr>
                <w:b w:val="0"/>
                <w:sz w:val="17"/>
              </w:rPr>
              <w:t>46</w:t>
            </w:r>
          </w:p>
        </w:tc>
        <w:tc>
          <w:tcPr>
            <w:tcW w:type="dxa" w:w="1584"/>
            <w:vAlign w:val="center"/>
          </w:tcPr>
          <w:p>
            <w:r/>
            <w:r>
              <w:rPr>
                <w:b w:val="0"/>
                <w:sz w:val="17"/>
              </w:rPr>
              <w:t>46</w:t>
            </w:r>
          </w:p>
        </w:tc>
        <w:tc>
          <w:tcPr>
            <w:tcW w:type="dxa" w:w="1584"/>
            <w:vAlign w:val="center"/>
          </w:tcPr>
          <w:p>
            <w:r/>
            <w:r>
              <w:rPr>
                <w:b w:val="0"/>
                <w:sz w:val="17"/>
              </w:rPr>
              <w:t>0</w:t>
            </w:r>
          </w:p>
        </w:tc>
        <w:tc>
          <w:tcPr>
            <w:tcW w:type="dxa" w:w="2880"/>
            <w:vAlign w:val="center"/>
          </w:tcPr>
          <w:p>
            <w:r/>
            <w:r>
              <w:rPr>
                <w:b w:val="0"/>
                <w:sz w:val="17"/>
              </w:rPr>
              <w:t>100% exitosas</w:t>
            </w:r>
          </w:p>
        </w:tc>
      </w:tr>
      <w:tr>
        <w:tc>
          <w:tcPr>
            <w:tcW w:type="dxa" w:w="2880"/>
            <w:vAlign w:val="center"/>
            <w:shd w:fill="F8FAFC"/>
          </w:tcPr>
          <w:p>
            <w:r/>
            <w:r>
              <w:rPr>
                <w:b w:val="0"/>
                <w:sz w:val="17"/>
              </w:rPr>
              <w:t>Estrés / rendimiento</w:t>
            </w:r>
          </w:p>
        </w:tc>
        <w:tc>
          <w:tcPr>
            <w:tcW w:type="dxa" w:w="1584"/>
            <w:vAlign w:val="center"/>
            <w:shd w:fill="F8FAFC"/>
          </w:tcPr>
          <w:p>
            <w:r/>
            <w:r>
              <w:rPr>
                <w:b w:val="0"/>
                <w:sz w:val="17"/>
              </w:rPr>
              <w:t>14</w:t>
            </w:r>
          </w:p>
        </w:tc>
        <w:tc>
          <w:tcPr>
            <w:tcW w:type="dxa" w:w="1584"/>
            <w:vAlign w:val="center"/>
            <w:shd w:fill="F8FAFC"/>
          </w:tcPr>
          <w:p>
            <w:r/>
            <w:r>
              <w:rPr>
                <w:b w:val="0"/>
                <w:sz w:val="17"/>
              </w:rPr>
              <w:t>14</w:t>
            </w:r>
          </w:p>
        </w:tc>
        <w:tc>
          <w:tcPr>
            <w:tcW w:type="dxa" w:w="1584"/>
            <w:vAlign w:val="center"/>
            <w:shd w:fill="F8FAFC"/>
          </w:tcPr>
          <w:p>
            <w:r/>
            <w:r>
              <w:rPr>
                <w:b w:val="0"/>
                <w:sz w:val="17"/>
              </w:rPr>
              <w:t>0</w:t>
            </w:r>
          </w:p>
        </w:tc>
        <w:tc>
          <w:tcPr>
            <w:tcW w:type="dxa" w:w="2880"/>
            <w:vAlign w:val="center"/>
            <w:shd w:fill="F8FAFC"/>
          </w:tcPr>
          <w:p>
            <w:r/>
            <w:r>
              <w:rPr>
                <w:b w:val="0"/>
                <w:sz w:val="17"/>
              </w:rPr>
              <w:t>100% exitosas</w:t>
            </w:r>
          </w:p>
        </w:tc>
      </w:tr>
    </w:tbl>
    <w:p>
      <w:pPr>
        <w:widowControl/>
      </w:pPr>
    </w:p>
    <w:p>
      <w:pPr>
        <w:pStyle w:val="Heading2"/>
        <w:widowControl/>
      </w:pPr>
      <w:r>
        <w:rPr>
          <w:rFonts w:ascii="Calibri" w:hAnsi="Calibri" w:eastAsia="Calibri"/>
        </w:rPr>
        <w:t xml:space="preserve">12.2 Cobertura E2E histórica</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360"/>
        <w:gridCol w:w="3360"/>
        <w:gridCol w:w="3360"/>
      </w:tblGrid>
      <w:tr>
        <w:trPr>
          <w:tblHeader w:val="true"/>
        </w:trPr>
        <w:tc>
          <w:tcPr>
            <w:tcW w:type="dxa" w:w="2592"/>
            <w:vAlign w:val="center"/>
            <w:shd w:fill="002D62"/>
          </w:tcPr>
          <w:p>
            <w:r/>
            <w:r>
              <w:rPr>
                <w:b/>
                <w:color w:val="FFFFFF"/>
                <w:sz w:val="18"/>
              </w:rPr>
              <w:t>Bloque</w:t>
            </w:r>
          </w:p>
        </w:tc>
        <w:tc>
          <w:tcPr>
            <w:tcW w:type="dxa" w:w="1440"/>
            <w:vAlign w:val="center"/>
            <w:shd w:fill="002D62"/>
          </w:tcPr>
          <w:p>
            <w:r/>
            <w:r>
              <w:rPr>
                <w:b/>
                <w:color w:val="FFFFFF"/>
                <w:sz w:val="18"/>
              </w:rPr>
              <w:t>Cantidad</w:t>
            </w:r>
          </w:p>
        </w:tc>
        <w:tc>
          <w:tcPr>
            <w:tcW w:type="dxa" w:w="6480"/>
            <w:vAlign w:val="center"/>
            <w:shd w:fill="002D62"/>
          </w:tcPr>
          <w:p>
            <w:r/>
            <w:r>
              <w:rPr>
                <w:b/>
                <w:color w:val="FFFFFF"/>
                <w:sz w:val="18"/>
              </w:rPr>
              <w:t>Descripción</w:t>
            </w:r>
          </w:p>
        </w:tc>
      </w:tr>
      <w:tr>
        <w:tc>
          <w:tcPr>
            <w:tcW w:type="dxa" w:w="2592"/>
            <w:vAlign w:val="center"/>
          </w:tcPr>
          <w:p>
            <w:r/>
            <w:r>
              <w:rPr>
                <w:b w:val="0"/>
                <w:sz w:val="17"/>
              </w:rPr>
              <w:t>Autenticación</w:t>
            </w:r>
          </w:p>
        </w:tc>
        <w:tc>
          <w:tcPr>
            <w:tcW w:type="dxa" w:w="1440"/>
            <w:vAlign w:val="center"/>
          </w:tcPr>
          <w:p>
            <w:r/>
            <w:r>
              <w:rPr>
                <w:b w:val="0"/>
                <w:sz w:val="17"/>
              </w:rPr>
              <w:t>5</w:t>
            </w:r>
          </w:p>
        </w:tc>
        <w:tc>
          <w:tcPr>
            <w:tcW w:type="dxa" w:w="6480"/>
            <w:vAlign w:val="center"/>
          </w:tcPr>
          <w:p>
            <w:r/>
            <w:r>
              <w:rPr>
                <w:b w:val="0"/>
                <w:sz w:val="17"/>
              </w:rPr>
              <w:t>Login de roles principales vía Firebase.</w:t>
            </w:r>
          </w:p>
        </w:tc>
      </w:tr>
      <w:tr>
        <w:tc>
          <w:tcPr>
            <w:tcW w:type="dxa" w:w="2592"/>
            <w:vAlign w:val="center"/>
            <w:shd w:fill="F8FAFC"/>
          </w:tcPr>
          <w:p>
            <w:r/>
            <w:r>
              <w:rPr>
                <w:b w:val="0"/>
                <w:sz w:val="17"/>
              </w:rPr>
              <w:t>RBAC</w:t>
            </w:r>
          </w:p>
        </w:tc>
        <w:tc>
          <w:tcPr>
            <w:tcW w:type="dxa" w:w="1440"/>
            <w:vAlign w:val="center"/>
            <w:shd w:fill="F8FAFC"/>
          </w:tcPr>
          <w:p>
            <w:r/>
            <w:r>
              <w:rPr>
                <w:b w:val="0"/>
                <w:sz w:val="17"/>
              </w:rPr>
              <w:t>12</w:t>
            </w:r>
          </w:p>
        </w:tc>
        <w:tc>
          <w:tcPr>
            <w:tcW w:type="dxa" w:w="6480"/>
            <w:vAlign w:val="center"/>
            <w:shd w:fill="F8FAFC"/>
          </w:tcPr>
          <w:p>
            <w:r/>
            <w:r>
              <w:rPr>
                <w:b w:val="0"/>
                <w:sz w:val="17"/>
              </w:rPr>
              <w:t>Acceso permitido/denegado por rol en endpoints críticos.</w:t>
            </w:r>
          </w:p>
        </w:tc>
      </w:tr>
      <w:tr>
        <w:tc>
          <w:tcPr>
            <w:tcW w:type="dxa" w:w="2592"/>
            <w:vAlign w:val="center"/>
          </w:tcPr>
          <w:p>
            <w:r/>
            <w:r>
              <w:rPr>
                <w:b w:val="0"/>
                <w:sz w:val="17"/>
              </w:rPr>
              <w:t>Datos maestros</w:t>
            </w:r>
          </w:p>
        </w:tc>
        <w:tc>
          <w:tcPr>
            <w:tcW w:type="dxa" w:w="1440"/>
            <w:vAlign w:val="center"/>
          </w:tcPr>
          <w:p>
            <w:r/>
            <w:r>
              <w:rPr>
                <w:b w:val="0"/>
                <w:sz w:val="17"/>
              </w:rPr>
              <w:t>5</w:t>
            </w:r>
          </w:p>
        </w:tc>
        <w:tc>
          <w:tcPr>
            <w:tcW w:type="dxa" w:w="6480"/>
            <w:vAlign w:val="center"/>
          </w:tcPr>
          <w:p>
            <w:r/>
            <w:r>
              <w:rPr>
                <w:b w:val="0"/>
                <w:sz w:val="17"/>
              </w:rPr>
              <w:t>Badges, repuestos y estructuras base.</w:t>
            </w:r>
          </w:p>
        </w:tc>
      </w:tr>
      <w:tr>
        <w:tc>
          <w:tcPr>
            <w:tcW w:type="dxa" w:w="2592"/>
            <w:vAlign w:val="center"/>
            <w:shd w:fill="F8FAFC"/>
          </w:tcPr>
          <w:p>
            <w:r/>
            <w:r>
              <w:rPr>
                <w:b w:val="0"/>
                <w:sz w:val="17"/>
              </w:rPr>
              <w:t>Flujo completo</w:t>
            </w:r>
          </w:p>
        </w:tc>
        <w:tc>
          <w:tcPr>
            <w:tcW w:type="dxa" w:w="1440"/>
            <w:vAlign w:val="center"/>
            <w:shd w:fill="F8FAFC"/>
          </w:tcPr>
          <w:p>
            <w:r/>
            <w:r>
              <w:rPr>
                <w:b w:val="0"/>
                <w:sz w:val="17"/>
              </w:rPr>
              <w:t>16</w:t>
            </w:r>
          </w:p>
        </w:tc>
        <w:tc>
          <w:tcPr>
            <w:tcW w:type="dxa" w:w="6480"/>
            <w:vAlign w:val="center"/>
            <w:shd w:fill="F8FAFC"/>
          </w:tcPr>
          <w:p>
            <w:r/>
            <w:r>
              <w:rPr>
                <w:b w:val="0"/>
                <w:sz w:val="17"/>
              </w:rPr>
              <w:t>Terreno → Bodega → Lab → QA → cierre e IN-.</w:t>
            </w:r>
          </w:p>
        </w:tc>
      </w:tr>
      <w:tr>
        <w:tc>
          <w:tcPr>
            <w:tcW w:type="dxa" w:w="2592"/>
            <w:vAlign w:val="center"/>
          </w:tcPr>
          <w:p>
            <w:r/>
            <w:r>
              <w:rPr>
                <w:b w:val="0"/>
                <w:sz w:val="17"/>
              </w:rPr>
              <w:t>Rechazo QA</w:t>
            </w:r>
          </w:p>
        </w:tc>
        <w:tc>
          <w:tcPr>
            <w:tcW w:type="dxa" w:w="1440"/>
            <w:vAlign w:val="center"/>
          </w:tcPr>
          <w:p>
            <w:r/>
            <w:r>
              <w:rPr>
                <w:b w:val="0"/>
                <w:sz w:val="17"/>
              </w:rPr>
              <w:t>8</w:t>
            </w:r>
          </w:p>
        </w:tc>
        <w:tc>
          <w:tcPr>
            <w:tcW w:type="dxa" w:w="6480"/>
            <w:vAlign w:val="center"/>
          </w:tcPr>
          <w:p>
            <w:r/>
            <w:r>
              <w:rPr>
                <w:b w:val="0"/>
                <w:sz w:val="17"/>
              </w:rPr>
              <w:t>Retorno controlado a laboratorio sin cierre indebido.</w:t>
            </w:r>
          </w:p>
        </w:tc>
      </w:tr>
    </w:tbl>
    <w:p>
      <w:pPr>
        <w:widowControl/>
      </w:pPr>
    </w:p>
    <w:p>
      <w:pPr>
        <w:pStyle w:val="Heading2"/>
        <w:widowControl/>
      </w:pPr>
      <w:r>
        <w:rPr>
          <w:rFonts w:ascii="Calibri" w:hAnsi="Calibri" w:eastAsia="Calibri"/>
        </w:rPr>
        <w:t xml:space="preserve">12.3 Estrés y concurrencia históricos</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360"/>
        <w:gridCol w:w="3360"/>
        <w:gridCol w:w="3360"/>
      </w:tblGrid>
      <w:tr>
        <w:trPr>
          <w:tblHeader w:val="true"/>
        </w:trPr>
        <w:tc>
          <w:tcPr>
            <w:tcW w:type="dxa" w:w="2880"/>
            <w:vAlign w:val="center"/>
            <w:shd w:fill="002D62"/>
          </w:tcPr>
          <w:p>
            <w:r/>
            <w:r>
              <w:rPr>
                <w:b/>
                <w:color w:val="FFFFFF"/>
                <w:sz w:val="18"/>
              </w:rPr>
              <w:t>Escenario</w:t>
            </w:r>
          </w:p>
        </w:tc>
        <w:tc>
          <w:tcPr>
            <w:tcW w:type="dxa" w:w="5328"/>
            <w:vAlign w:val="center"/>
            <w:shd w:fill="002D62"/>
          </w:tcPr>
          <w:p>
            <w:r/>
            <w:r>
              <w:rPr>
                <w:b/>
                <w:color w:val="FFFFFF"/>
                <w:sz w:val="18"/>
              </w:rPr>
              <w:t>Validación realizada</w:t>
            </w:r>
          </w:p>
        </w:tc>
        <w:tc>
          <w:tcPr>
            <w:tcW w:type="dxa" w:w="2304"/>
            <w:vAlign w:val="center"/>
            <w:shd w:fill="002D62"/>
          </w:tcPr>
          <w:p>
            <w:r/>
            <w:r>
              <w:rPr>
                <w:b/>
                <w:color w:val="FFFFFF"/>
                <w:sz w:val="18"/>
              </w:rPr>
              <w:t>Resultado</w:t>
            </w:r>
          </w:p>
        </w:tc>
      </w:tr>
      <w:tr>
        <w:tc>
          <w:tcPr>
            <w:tcW w:type="dxa" w:w="2880"/>
            <w:vAlign w:val="center"/>
          </w:tcPr>
          <w:p>
            <w:r/>
            <w:r>
              <w:rPr>
                <w:b w:val="0"/>
                <w:sz w:val="17"/>
              </w:rPr>
              <w:t>20 OS concurrentes</w:t>
            </w:r>
          </w:p>
        </w:tc>
        <w:tc>
          <w:tcPr>
            <w:tcW w:type="dxa" w:w="5328"/>
            <w:vAlign w:val="center"/>
          </w:tcPr>
          <w:p>
            <w:r/>
            <w:r>
              <w:rPr>
                <w:b w:val="0"/>
                <w:sz w:val="17"/>
              </w:rPr>
              <w:t>Generación de códigos únicos bajo alta concurrencia.</w:t>
            </w:r>
          </w:p>
        </w:tc>
        <w:tc>
          <w:tcPr>
            <w:tcW w:type="dxa" w:w="2304"/>
            <w:vAlign w:val="center"/>
          </w:tcPr>
          <w:p>
            <w:r/>
            <w:r>
              <w:rPr>
                <w:b w:val="0"/>
                <w:sz w:val="17"/>
              </w:rPr>
              <w:t>Correcto.</w:t>
            </w:r>
          </w:p>
        </w:tc>
      </w:tr>
      <w:tr>
        <w:tc>
          <w:tcPr>
            <w:tcW w:type="dxa" w:w="2880"/>
            <w:vAlign w:val="center"/>
            <w:shd w:fill="F8FAFC"/>
          </w:tcPr>
          <w:p>
            <w:r/>
            <w:r>
              <w:rPr>
                <w:b w:val="0"/>
                <w:sz w:val="17"/>
              </w:rPr>
              <w:t>Lecturas paralelas</w:t>
            </w:r>
          </w:p>
        </w:tc>
        <w:tc>
          <w:tcPr>
            <w:tcW w:type="dxa" w:w="5328"/>
            <w:vAlign w:val="center"/>
            <w:shd w:fill="F8FAFC"/>
          </w:tcPr>
          <w:p>
            <w:r/>
            <w:r>
              <w:rPr>
                <w:b w:val="0"/>
                <w:sz w:val="17"/>
              </w:rPr>
              <w:t>50 solicitudes por endpoint en colas, badges y repuestos.</w:t>
            </w:r>
          </w:p>
        </w:tc>
        <w:tc>
          <w:tcPr>
            <w:tcW w:type="dxa" w:w="2304"/>
            <w:vAlign w:val="center"/>
            <w:shd w:fill="F8FAFC"/>
          </w:tcPr>
          <w:p>
            <w:r/>
            <w:r>
              <w:rPr>
                <w:b w:val="0"/>
                <w:sz w:val="17"/>
              </w:rPr>
              <w:t>Correcto.</w:t>
            </w:r>
          </w:p>
        </w:tc>
      </w:tr>
      <w:tr>
        <w:tc>
          <w:tcPr>
            <w:tcW w:type="dxa" w:w="2880"/>
            <w:vAlign w:val="center"/>
          </w:tcPr>
          <w:p>
            <w:r/>
            <w:r>
              <w:rPr>
                <w:b w:val="0"/>
                <w:sz w:val="17"/>
              </w:rPr>
              <w:t>Race condition recepción</w:t>
            </w:r>
          </w:p>
        </w:tc>
        <w:tc>
          <w:tcPr>
            <w:tcW w:type="dxa" w:w="5328"/>
            <w:vAlign w:val="center"/>
          </w:tcPr>
          <w:p>
            <w:r/>
            <w:r>
              <w:rPr>
                <w:b w:val="0"/>
                <w:sz w:val="17"/>
              </w:rPr>
              <w:t>10 recepciones simultáneas sobre la misma OS.</w:t>
            </w:r>
          </w:p>
        </w:tc>
        <w:tc>
          <w:tcPr>
            <w:tcW w:type="dxa" w:w="2304"/>
            <w:vAlign w:val="center"/>
          </w:tcPr>
          <w:p>
            <w:r/>
            <w:r>
              <w:rPr>
                <w:b w:val="0"/>
                <w:sz w:val="17"/>
              </w:rPr>
              <w:t>Solo 1 exitosa; 9 bloqueadas con 409.</w:t>
            </w:r>
          </w:p>
        </w:tc>
      </w:tr>
      <w:tr>
        <w:tc>
          <w:tcPr>
            <w:tcW w:type="dxa" w:w="2880"/>
            <w:vAlign w:val="center"/>
            <w:shd w:fill="F8FAFC"/>
          </w:tcPr>
          <w:p>
            <w:r/>
            <w:r>
              <w:rPr>
                <w:b w:val="0"/>
                <w:sz w:val="17"/>
              </w:rPr>
              <w:t>Badges alta carga</w:t>
            </w:r>
          </w:p>
        </w:tc>
        <w:tc>
          <w:tcPr>
            <w:tcW w:type="dxa" w:w="5328"/>
            <w:vAlign w:val="center"/>
            <w:shd w:fill="F8FAFC"/>
          </w:tcPr>
          <w:p>
            <w:r/>
            <w:r>
              <w:rPr>
                <w:b w:val="0"/>
                <w:sz w:val="17"/>
              </w:rPr>
              <w:t>100 llamadas concurrentes al endpoint de indicadores.</w:t>
            </w:r>
          </w:p>
        </w:tc>
        <w:tc>
          <w:tcPr>
            <w:tcW w:type="dxa" w:w="2304"/>
            <w:vAlign w:val="center"/>
            <w:shd w:fill="F8FAFC"/>
          </w:tcPr>
          <w:p>
            <w:r/>
            <w:r>
              <w:rPr>
                <w:b w:val="0"/>
                <w:sz w:val="17"/>
              </w:rPr>
              <w:t>100/100 OK.</w:t>
            </w:r>
          </w:p>
        </w:tc>
      </w:tr>
      <w:tr>
        <w:tc>
          <w:tcPr>
            <w:tcW w:type="dxa" w:w="2880"/>
            <w:vAlign w:val="center"/>
          </w:tcPr>
          <w:p>
            <w:r/>
            <w:r>
              <w:rPr>
                <w:b w:val="0"/>
                <w:sz w:val="17"/>
              </w:rPr>
              <w:t>5 flujos completos paralelos</w:t>
            </w:r>
          </w:p>
        </w:tc>
        <w:tc>
          <w:tcPr>
            <w:tcW w:type="dxa" w:w="5328"/>
            <w:vAlign w:val="center"/>
          </w:tcPr>
          <w:p>
            <w:r/>
            <w:r>
              <w:rPr>
                <w:b w:val="0"/>
                <w:sz w:val="17"/>
              </w:rPr>
              <w:t>Ciclo completo de OS en paralelo.</w:t>
            </w:r>
          </w:p>
        </w:tc>
        <w:tc>
          <w:tcPr>
            <w:tcW w:type="dxa" w:w="2304"/>
            <w:vAlign w:val="center"/>
          </w:tcPr>
          <w:p>
            <w:r/>
            <w:r>
              <w:rPr>
                <w:b w:val="0"/>
                <w:sz w:val="17"/>
              </w:rPr>
              <w:t>5/5 cerradas y 5 IN- generadas.</w:t>
            </w:r>
          </w:p>
        </w:tc>
      </w:tr>
    </w:tbl>
    <w:p>
      <w:pPr>
        <w:widowControl/>
      </w:pPr>
    </w:p>
    <w:p>
      <w:pPr>
        <w:pStyle w:val="Heading2"/>
        <w:widowControl/>
      </w:pPr>
      <w:r>
        <w:rPr>
          <w:rFonts w:ascii="Calibri" w:hAnsi="Calibri" w:eastAsia="Calibri"/>
        </w:rPr>
        <w:t xml:space="preserve">12.4 Incidencias registradas en la entrega histórica</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20"/>
        <w:gridCol w:w="2520"/>
        <w:gridCol w:w="2520"/>
        <w:gridCol w:w="2520"/>
      </w:tblGrid>
      <w:tr>
        <w:trPr>
          <w:tblHeader w:val="true"/>
        </w:trPr>
        <w:tc>
          <w:tcPr>
            <w:tcW w:type="dxa" w:w="3168"/>
            <w:vAlign w:val="center"/>
            <w:shd w:fill="002D62"/>
          </w:tcPr>
          <w:p>
            <w:r/>
            <w:r>
              <w:rPr>
                <w:b/>
                <w:color w:val="FFFFFF"/>
                <w:sz w:val="18"/>
              </w:rPr>
              <w:t>Bug</w:t>
            </w:r>
          </w:p>
        </w:tc>
        <w:tc>
          <w:tcPr>
            <w:tcW w:type="dxa" w:w="1584"/>
            <w:vAlign w:val="center"/>
            <w:shd w:fill="002D62"/>
          </w:tcPr>
          <w:p>
            <w:r/>
            <w:r>
              <w:rPr>
                <w:b/>
                <w:color w:val="FFFFFF"/>
                <w:sz w:val="18"/>
              </w:rPr>
              <w:t>Severidad</w:t>
            </w:r>
          </w:p>
        </w:tc>
        <w:tc>
          <w:tcPr>
            <w:tcW w:type="dxa" w:w="3456"/>
            <w:vAlign w:val="center"/>
            <w:shd w:fill="002D62"/>
          </w:tcPr>
          <w:p>
            <w:r/>
            <w:r>
              <w:rPr>
                <w:b/>
                <w:color w:val="FFFFFF"/>
                <w:sz w:val="18"/>
              </w:rPr>
              <w:t>Causa</w:t>
            </w:r>
          </w:p>
        </w:tc>
        <w:tc>
          <w:tcPr>
            <w:tcW w:type="dxa" w:w="2304"/>
            <w:vAlign w:val="center"/>
            <w:shd w:fill="002D62"/>
          </w:tcPr>
          <w:p>
            <w:r/>
            <w:r>
              <w:rPr>
                <w:b/>
                <w:color w:val="FFFFFF"/>
                <w:sz w:val="18"/>
              </w:rPr>
              <w:t>Corrección</w:t>
            </w:r>
          </w:p>
        </w:tc>
      </w:tr>
      <w:tr>
        <w:tc>
          <w:tcPr>
            <w:tcW w:type="dxa" w:w="3168"/>
            <w:vAlign w:val="center"/>
          </w:tcPr>
          <w:p>
            <w:r/>
            <w:r>
              <w:rPr>
                <w:b w:val="0"/>
                <w:sz w:val="17"/>
              </w:rPr>
              <w:t>BUG-001 Race Condition en /api/bodega/receive</w:t>
            </w:r>
          </w:p>
        </w:tc>
        <w:tc>
          <w:tcPr>
            <w:tcW w:type="dxa" w:w="1584"/>
            <w:vAlign w:val="center"/>
          </w:tcPr>
          <w:p>
            <w:r/>
            <w:r>
              <w:rPr>
                <w:b w:val="0"/>
                <w:sz w:val="17"/>
              </w:rPr>
              <w:t>Crítica</w:t>
            </w:r>
          </w:p>
        </w:tc>
        <w:tc>
          <w:tcPr>
            <w:tcW w:type="dxa" w:w="3456"/>
            <w:vAlign w:val="center"/>
          </w:tcPr>
          <w:p>
            <w:r/>
            <w:r>
              <w:rPr>
                <w:b w:val="0"/>
                <w:sz w:val="17"/>
              </w:rPr>
              <w:t>SELECT inicial no bloqueaba la fila, permitiendo múltiples recepciones simultáneas.</w:t>
            </w:r>
          </w:p>
        </w:tc>
        <w:tc>
          <w:tcPr>
            <w:tcW w:type="dxa" w:w="2304"/>
            <w:vAlign w:val="center"/>
          </w:tcPr>
          <w:p>
            <w:r/>
            <w:r>
              <w:rPr>
                <w:b w:val="0"/>
                <w:sz w:val="17"/>
              </w:rPr>
              <w:t>Uso de SELECT ... FOR UPDATE e idempotencia con respuesta 409.</w:t>
            </w:r>
          </w:p>
        </w:tc>
      </w:tr>
      <w:tr>
        <w:tc>
          <w:tcPr>
            <w:tcW w:type="dxa" w:w="3168"/>
            <w:vAlign w:val="center"/>
            <w:shd w:fill="F8FAFC"/>
          </w:tcPr>
          <w:p>
            <w:r/>
            <w:r>
              <w:rPr>
                <w:b w:val="0"/>
                <w:sz w:val="17"/>
              </w:rPr>
              <w:t>BUG-002 RBAC incompleto</w:t>
            </w:r>
          </w:p>
        </w:tc>
        <w:tc>
          <w:tcPr>
            <w:tcW w:type="dxa" w:w="1584"/>
            <w:vAlign w:val="center"/>
            <w:shd w:fill="F8FAFC"/>
          </w:tcPr>
          <w:p>
            <w:r/>
            <w:r>
              <w:rPr>
                <w:b w:val="0"/>
                <w:sz w:val="17"/>
              </w:rPr>
              <w:t>Media</w:t>
            </w:r>
          </w:p>
        </w:tc>
        <w:tc>
          <w:tcPr>
            <w:tcW w:type="dxa" w:w="3456"/>
            <w:vAlign w:val="center"/>
            <w:shd w:fill="F8FAFC"/>
          </w:tcPr>
          <w:p>
            <w:r/>
            <w:r>
              <w:rPr>
                <w:b w:val="0"/>
                <w:sz w:val="17"/>
              </w:rPr>
              <w:t>Rutas operativas solo usaban autenticación sin autorización granular.</w:t>
            </w:r>
          </w:p>
        </w:tc>
        <w:tc>
          <w:tcPr>
            <w:tcW w:type="dxa" w:w="2304"/>
            <w:vAlign w:val="center"/>
            <w:shd w:fill="F8FAFC"/>
          </w:tcPr>
          <w:p>
            <w:r/>
            <w:r>
              <w:rPr>
                <w:b w:val="0"/>
                <w:sz w:val="17"/>
              </w:rPr>
              <w:t>Aplicación de ensureUser y requireAnyRole en rutas Lab, QA y Bodega.</w:t>
            </w:r>
          </w:p>
        </w:tc>
      </w:tr>
    </w:tbl>
    <w:p>
      <w:pPr>
        <w:widowControl/>
      </w:pPr>
    </w:p>
    <w:p>
      <w:pPr>
        <w:widowControl/>
      </w:pPr>
      <w:r>
        <w:rPr>
          <w:rFonts w:ascii="Calibri" w:hAnsi="Calibri" w:eastAsia="Calibri"/>
        </w:rPr>
        <w:br w:type="page"/>
      </w:r>
    </w:p>
    <w:p>
      <w:pPr>
        <w:pStyle w:val="Heading1"/>
        <w:widowControl/>
      </w:pPr>
      <w:r>
        <w:rPr>
          <w:rFonts w:ascii="Calibri" w:hAnsi="Calibri" w:eastAsia="Calibri"/>
        </w:rPr>
        <w:t>13. Despliegue, operación y continuidad</w:t>
      </w:r>
    </w:p>
    <w:p>
      <w:pPr>
        <w:pStyle w:val="Heading2"/>
        <w:widowControl/>
      </w:pPr>
      <w:r>
        <w:rPr>
          <w:rFonts w:ascii="Calibri" w:hAnsi="Calibri" w:eastAsia="Calibri"/>
        </w:rPr>
        <w:t xml:space="preserve">13.1 Proyección de preproducción Ubuntu</w:t>
      </w:r>
    </w:p>
    <w:p>
      <w:pPr>
        <w:widowControl/>
      </w:pPr>
      <w:r>
        <w:rPr>
          <w:rFonts w:ascii="Calibri" w:hAnsi="Calibri" w:eastAsia="Calibri"/>
        </w:rPr>
        <w:t xml:space="preserve">Ubuntu Server con Nginx y PM2 permanece como proyección. El Manual Técnico Capstone v2.0 define la ejecución local validada y sus versiones. Antes de otro despliegue deben comprobarse dependencias, respaldo, conectividad y migraciones; no usar scripts históricos de siembra o limpieza como carga productiva.</w:t>
      </w:r>
    </w:p>
    <w:p>
      <w:pPr>
        <w:widowControl/>
      </w:pPr>
      <w:r>
        <w:rPr>
          <w:rFonts w:ascii="Calibri" w:hAnsi="Calibri" w:eastAsia="Calibri"/>
        </w:rPr>
        <w:t xml:space="preserve">La carga inicial debe incorporar parque instalado y stock con relaciones y evidencia verificadas, sin inventar MV/MC para equipos preexistentes. El importador masivo sigue como extensión documentada. Ensayar migraciones 003–006 y aplicar únicamente en el entorno revisado; preservar las OS y referencias históricas.</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1152"/>
            <w:vAlign w:val="center"/>
            <w:shd w:fill="002D62"/>
          </w:tcPr>
          <w:p>
            <w:r/>
            <w:r>
              <w:rPr>
                <w:b/>
                <w:color w:val="FFFFFF"/>
                <w:sz w:val="18"/>
              </w:rPr>
              <w:t>Paso</w:t>
            </w:r>
          </w:p>
        </w:tc>
        <w:tc>
          <w:tcPr>
            <w:tcW w:type="dxa" w:w="9360"/>
            <w:vAlign w:val="center"/>
            <w:shd w:fill="002D62"/>
          </w:tcPr>
          <w:p>
            <w:r/>
            <w:r>
              <w:rPr>
                <w:b/>
                <w:color w:val="FFFFFF"/>
                <w:sz w:val="18"/>
              </w:rPr>
              <w:t>Acción</w:t>
            </w:r>
          </w:p>
        </w:tc>
      </w:tr>
      <w:tr>
        <w:tc>
          <w:tcPr>
            <w:tcW w:type="dxa" w:w="1152"/>
            <w:vAlign w:val="center"/>
          </w:tcPr>
          <w:p>
            <w:r/>
            <w:r>
              <w:rPr>
                <w:b w:val="0"/>
                <w:sz w:val="17"/>
              </w:rPr>
              <w:t>1</w:t>
            </w:r>
          </w:p>
        </w:tc>
        <w:tc>
          <w:tcPr>
            <w:tcW w:type="dxa" w:w="9360"/>
            <w:vAlign w:val="center"/>
          </w:tcPr>
          <w:p>
            <w:r/>
            <w:r>
              <w:rPr>
                <w:b w:val="0"/>
                <w:sz w:val="17"/>
              </w:rPr>
              <w:t xml:space="preserve">Validar versiones del proyecto en el entorno de destino y preparar Python en entorno virtual.</w:t>
            </w:r>
          </w:p>
        </w:tc>
      </w:tr>
      <w:tr>
        <w:tc>
          <w:tcPr>
            <w:tcW w:type="dxa" w:w="1152"/>
            <w:vAlign w:val="center"/>
            <w:shd w:fill="F8FAFC"/>
          </w:tcPr>
          <w:p>
            <w:r/>
            <w:r>
              <w:rPr>
                <w:b w:val="0"/>
                <w:sz w:val="17"/>
              </w:rPr>
              <w:t>2</w:t>
            </w:r>
          </w:p>
        </w:tc>
        <w:tc>
          <w:tcPr>
            <w:tcW w:type="dxa" w:w="9360"/>
            <w:vAlign w:val="center"/>
            <w:shd w:fill="F8FAFC"/>
          </w:tcPr>
          <w:p>
            <w:r/>
            <w:r>
              <w:rPr>
                <w:b w:val="0"/>
                <w:sz w:val="17"/>
              </w:rPr>
              <w:t xml:space="preserve">Preparar PostgreSQL, restaurar esquema y revisar prerrequisitos y migraciones 003–006 en orden.</w:t>
            </w:r>
          </w:p>
        </w:tc>
      </w:tr>
      <w:tr>
        <w:tc>
          <w:tcPr>
            <w:tcW w:type="dxa" w:w="1152"/>
            <w:vAlign w:val="center"/>
          </w:tcPr>
          <w:p>
            <w:r/>
            <w:r>
              <w:rPr>
                <w:b w:val="0"/>
                <w:sz w:val="17"/>
              </w:rPr>
              <w:t>3</w:t>
            </w:r>
          </w:p>
        </w:tc>
        <w:tc>
          <w:tcPr>
            <w:tcW w:type="dxa" w:w="9360"/>
            <w:vAlign w:val="center"/>
          </w:tcPr>
          <w:p>
            <w:r/>
            <w:r>
              <w:rPr>
                <w:b w:val="0"/>
                <w:sz w:val="17"/>
              </w:rPr>
              <w:t>Clonar/subir el código y configurar variables de entorno del backend.</w:t>
            </w:r>
          </w:p>
        </w:tc>
      </w:tr>
      <w:tr>
        <w:tc>
          <w:tcPr>
            <w:tcW w:type="dxa" w:w="1152"/>
            <w:vAlign w:val="center"/>
            <w:shd w:fill="F8FAFC"/>
          </w:tcPr>
          <w:p>
            <w:r/>
            <w:r>
              <w:rPr>
                <w:b w:val="0"/>
                <w:sz w:val="17"/>
              </w:rPr>
              <w:t>4</w:t>
            </w:r>
          </w:p>
        </w:tc>
        <w:tc>
          <w:tcPr>
            <w:tcW w:type="dxa" w:w="9360"/>
            <w:vAlign w:val="center"/>
            <w:shd w:fill="F8FAFC"/>
          </w:tcPr>
          <w:p>
            <w:r/>
            <w:r>
              <w:rPr>
                <w:b w:val="0"/>
                <w:sz w:val="17"/>
              </w:rPr>
              <w:t>Instalar dependencias backend y ejecutar server.js mediante PM2.</w:t>
            </w:r>
          </w:p>
        </w:tc>
      </w:tr>
      <w:tr>
        <w:tc>
          <w:tcPr>
            <w:tcW w:type="dxa" w:w="1152"/>
            <w:vAlign w:val="center"/>
          </w:tcPr>
          <w:p>
            <w:r/>
            <w:r>
              <w:rPr>
                <w:b w:val="0"/>
                <w:sz w:val="17"/>
              </w:rPr>
              <w:t>5</w:t>
            </w:r>
          </w:p>
        </w:tc>
        <w:tc>
          <w:tcPr>
            <w:tcW w:type="dxa" w:w="9360"/>
            <w:vAlign w:val="center"/>
          </w:tcPr>
          <w:p>
            <w:r/>
            <w:r>
              <w:rPr>
                <w:b w:val="0"/>
                <w:sz w:val="17"/>
              </w:rPr>
              <w:t>Compilar frontend con npm run build y servir dist con Nginx.</w:t>
            </w:r>
          </w:p>
        </w:tc>
      </w:tr>
      <w:tr>
        <w:tc>
          <w:tcPr>
            <w:tcW w:type="dxa" w:w="1152"/>
            <w:vAlign w:val="center"/>
            <w:shd w:fill="F8FAFC"/>
          </w:tcPr>
          <w:p>
            <w:r/>
            <w:r>
              <w:rPr>
                <w:b w:val="0"/>
                <w:sz w:val="17"/>
              </w:rPr>
              <w:t>6</w:t>
            </w:r>
          </w:p>
        </w:tc>
        <w:tc>
          <w:tcPr>
            <w:tcW w:type="dxa" w:w="9360"/>
            <w:vAlign w:val="center"/>
            <w:shd w:fill="F8FAFC"/>
          </w:tcPr>
          <w:p>
            <w:r/>
            <w:r>
              <w:rPr>
                <w:b w:val="0"/>
                <w:sz w:val="17"/>
              </w:rPr>
              <w:t>Configurar Nginx como proxy inverso para /api hacia localhost:4000.</w:t>
            </w:r>
          </w:p>
        </w:tc>
      </w:tr>
      <w:tr>
        <w:tc>
          <w:tcPr>
            <w:tcW w:type="dxa" w:w="1152"/>
            <w:vAlign w:val="center"/>
          </w:tcPr>
          <w:p>
            <w:r/>
            <w:r>
              <w:rPr>
                <w:b w:val="0"/>
                <w:sz w:val="17"/>
              </w:rPr>
              <w:t>7</w:t>
            </w:r>
          </w:p>
        </w:tc>
        <w:tc>
          <w:tcPr>
            <w:tcW w:type="dxa" w:w="9360"/>
            <w:vAlign w:val="center"/>
          </w:tcPr>
          <w:p>
            <w:r/>
            <w:r>
              <w:rPr>
                <w:b w:val="0"/>
                <w:sz w:val="17"/>
              </w:rPr>
              <w:t xml:space="preserve">Usar suites actuales y E2E aislados conforme al informe de recepción inicial; no probar sobre la base principal.</w:t>
            </w:r>
          </w:p>
        </w:tc>
      </w:tr>
    </w:tbl>
    <w:p>
      <w:pPr>
        <w:widowControl/>
      </w:pPr>
    </w:p>
    <w:p>
      <w:pPr>
        <w:pStyle w:val="Heading2"/>
        <w:widowControl/>
      </w:pPr>
      <w:r>
        <w:rPr>
          <w:rFonts w:ascii="Calibri" w:hAnsi="Calibri" w:eastAsia="Calibri"/>
        </w:rPr>
        <w:t>13.2 Operación local del sistema</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2304"/>
            <w:vAlign w:val="center"/>
            <w:shd w:fill="002D62"/>
          </w:tcPr>
          <w:p>
            <w:r/>
            <w:r>
              <w:rPr>
                <w:b/>
                <w:color w:val="FFFFFF"/>
                <w:sz w:val="18"/>
              </w:rPr>
              <w:t>Componente</w:t>
            </w:r>
          </w:p>
        </w:tc>
        <w:tc>
          <w:tcPr>
            <w:tcW w:type="dxa" w:w="8208"/>
            <w:vAlign w:val="center"/>
            <w:shd w:fill="002D62"/>
          </w:tcPr>
          <w:p>
            <w:r/>
            <w:r>
              <w:rPr>
                <w:b/>
                <w:color w:val="FFFFFF"/>
                <w:sz w:val="18"/>
              </w:rPr>
              <w:t>Comando / acción</w:t>
            </w:r>
          </w:p>
        </w:tc>
      </w:tr>
      <w:tr>
        <w:tc>
          <w:tcPr>
            <w:tcW w:type="dxa" w:w="2304"/>
            <w:vAlign w:val="center"/>
          </w:tcPr>
          <w:p>
            <w:r/>
            <w:r>
              <w:rPr>
                <w:b w:val="0"/>
                <w:sz w:val="17"/>
              </w:rPr>
              <w:t>Backend</w:t>
            </w:r>
          </w:p>
        </w:tc>
        <w:tc>
          <w:tcPr>
            <w:tcW w:type="dxa" w:w="8208"/>
            <w:vAlign w:val="center"/>
          </w:tcPr>
          <w:p>
            <w:r/>
            <w:r>
              <w:rPr>
                <w:b w:val="0"/>
                <w:sz w:val="17"/>
              </w:rPr>
              <w:t>cd 03_Backend/pmp-api &amp;&amp; npm install &amp;&amp; node server.js</w:t>
            </w:r>
          </w:p>
        </w:tc>
      </w:tr>
      <w:tr>
        <w:tc>
          <w:tcPr>
            <w:tcW w:type="dxa" w:w="2304"/>
            <w:vAlign w:val="center"/>
            <w:shd w:fill="F8FAFC"/>
          </w:tcPr>
          <w:p>
            <w:r/>
            <w:r>
              <w:rPr>
                <w:b w:val="0"/>
                <w:sz w:val="17"/>
              </w:rPr>
              <w:t>Frontend</w:t>
            </w:r>
          </w:p>
        </w:tc>
        <w:tc>
          <w:tcPr>
            <w:tcW w:type="dxa" w:w="8208"/>
            <w:vAlign w:val="center"/>
            <w:shd w:fill="F8FAFC"/>
          </w:tcPr>
          <w:p>
            <w:r/>
            <w:r>
              <w:rPr>
                <w:b w:val="0"/>
                <w:sz w:val="17"/>
              </w:rPr>
              <w:t>cd 04_Frontend &amp;&amp; npm install &amp;&amp; npm run dev</w:t>
            </w:r>
          </w:p>
        </w:tc>
      </w:tr>
      <w:tr>
        <w:tc>
          <w:tcPr>
            <w:tcW w:type="dxa" w:w="2304"/>
            <w:vAlign w:val="center"/>
          </w:tcPr>
          <w:p>
            <w:r/>
            <w:r>
              <w:rPr>
                <w:b w:val="0"/>
                <w:sz w:val="17"/>
              </w:rPr>
              <w:t>IA</w:t>
            </w:r>
          </w:p>
        </w:tc>
        <w:tc>
          <w:tcPr>
            <w:tcW w:type="dxa" w:w="8208"/>
            <w:vAlign w:val="center"/>
          </w:tcPr>
          <w:p>
            <w:r/>
            <w:r>
              <w:rPr>
                <w:b w:val="0"/>
                <w:sz w:val="17"/>
              </w:rPr>
              <w:t>cd 06_ModelosIA/src &amp;&amp; python analyzer.py</w:t>
            </w:r>
          </w:p>
        </w:tc>
      </w:tr>
      <w:tr>
        <w:tc>
          <w:tcPr>
            <w:tcW w:type="dxa" w:w="2304"/>
            <w:vAlign w:val="center"/>
            <w:shd w:fill="F8FAFC"/>
          </w:tcPr>
          <w:p>
            <w:r/>
            <w:r>
              <w:rPr>
                <w:b w:val="0"/>
                <w:sz w:val="17"/>
              </w:rPr>
              <w:t>E2E</w:t>
            </w:r>
          </w:p>
        </w:tc>
        <w:tc>
          <w:tcPr>
            <w:tcW w:type="dxa" w:w="8208"/>
            <w:vAlign w:val="center"/>
            <w:shd w:fill="F8FAFC"/>
          </w:tcPr>
          <w:p>
            <w:r/>
            <w:r>
              <w:rPr>
                <w:b w:val="0"/>
                <w:sz w:val="17"/>
              </w:rPr>
              <w:t xml:space="preserve">verification/requirements_flow_e2e.mjs y regresiones de escaneo, logística y Bridge, en entornos aislados.</w:t>
            </w:r>
          </w:p>
        </w:tc>
      </w:tr>
      <w:tr>
        <w:tc>
          <w:tcPr>
            <w:tcW w:type="dxa" w:w="2304"/>
            <w:vAlign w:val="center"/>
          </w:tcPr>
          <w:p>
            <w:r/>
            <w:r>
              <w:rPr>
                <w:b w:val="0"/>
                <w:sz w:val="17"/>
              </w:rPr>
              <w:t>Estrés</w:t>
            </w:r>
          </w:p>
        </w:tc>
        <w:tc>
          <w:tcPr>
            <w:tcW w:type="dxa" w:w="8208"/>
            <w:vAlign w:val="center"/>
          </w:tcPr>
          <w:p>
            <w:r/>
            <w:r>
              <w:rPr>
                <w:b w:val="0"/>
                <w:sz w:val="17"/>
              </w:rPr>
              <w:t xml:space="preserve">Evaluación específica en entorno desechable; conservar resultados históricos sin presentarlos como actuales.</w:t>
            </w:r>
          </w:p>
        </w:tc>
      </w:tr>
    </w:tbl>
    <w:p>
      <w:pPr>
        <w:widowControl/>
      </w:pPr>
    </w:p>
    <w:p>
      <w:pPr>
        <w:widowControl/>
      </w:pPr>
      <w:r>
        <w:rPr>
          <w:rFonts w:ascii="Calibri" w:hAnsi="Calibri" w:eastAsia="Calibri"/>
        </w:rPr>
        <w:br w:type="page"/>
      </w:r>
    </w:p>
    <w:p>
      <w:pPr>
        <w:pStyle w:val="Heading1"/>
        <w:widowControl/>
      </w:pPr>
      <w:r>
        <w:rPr>
          <w:rFonts w:ascii="Calibri" w:hAnsi="Calibri" w:eastAsia="Calibri"/>
        </w:rPr>
        <w:t>14. Evidencia de competencias del perfil de egreso</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3456"/>
            <w:vAlign w:val="center"/>
            <w:shd w:fill="002D62"/>
          </w:tcPr>
          <w:p>
            <w:r/>
            <w:r>
              <w:rPr>
                <w:b/>
                <w:color w:val="FFFFFF"/>
                <w:sz w:val="18"/>
              </w:rPr>
              <w:t>Competencia evidenciada</w:t>
            </w:r>
          </w:p>
        </w:tc>
        <w:tc>
          <w:tcPr>
            <w:tcW w:type="dxa" w:w="7056"/>
            <w:vAlign w:val="center"/>
            <w:shd w:fill="002D62"/>
          </w:tcPr>
          <w:p>
            <w:r/>
            <w:r>
              <w:rPr>
                <w:b/>
                <w:color w:val="FFFFFF"/>
                <w:sz w:val="18"/>
              </w:rPr>
              <w:t>Cómo se demuestra en el proyecto</w:t>
            </w:r>
          </w:p>
        </w:tc>
      </w:tr>
      <w:tr>
        <w:tc>
          <w:tcPr>
            <w:tcW w:type="dxa" w:w="3456"/>
            <w:vAlign w:val="center"/>
          </w:tcPr>
          <w:p>
            <w:r/>
            <w:r>
              <w:rPr>
                <w:b w:val="0"/>
                <w:sz w:val="17"/>
              </w:rPr>
              <w:t>Levantamiento y análisis de requerimientos</w:t>
            </w:r>
          </w:p>
        </w:tc>
        <w:tc>
          <w:tcPr>
            <w:tcW w:type="dxa" w:w="7056"/>
            <w:vAlign w:val="center"/>
          </w:tcPr>
          <w:p>
            <w:r/>
            <w:r>
              <w:rPr>
                <w:b w:val="0"/>
                <w:sz w:val="17"/>
              </w:rPr>
              <w:t>ERS, historias de usuario, casos de uso, matriz y trazabilidad por módulo.</w:t>
            </w:r>
          </w:p>
        </w:tc>
      </w:tr>
      <w:tr>
        <w:tc>
          <w:tcPr>
            <w:tcW w:type="dxa" w:w="3456"/>
            <w:vAlign w:val="center"/>
            <w:shd w:fill="F8FAFC"/>
          </w:tcPr>
          <w:p>
            <w:r/>
            <w:r>
              <w:rPr>
                <w:b w:val="0"/>
                <w:sz w:val="17"/>
              </w:rPr>
              <w:t>Diseño de software</w:t>
            </w:r>
          </w:p>
        </w:tc>
        <w:tc>
          <w:tcPr>
            <w:tcW w:type="dxa" w:w="7056"/>
            <w:vAlign w:val="center"/>
            <w:shd w:fill="F8FAFC"/>
          </w:tcPr>
          <w:p>
            <w:r/>
            <w:r>
              <w:rPr>
                <w:b w:val="0"/>
                <w:sz w:val="17"/>
              </w:rPr>
              <w:t>Arquitectura C4, separación de capas, frontend web, móvil, backend y base de datos.</w:t>
            </w:r>
          </w:p>
        </w:tc>
      </w:tr>
      <w:tr>
        <w:tc>
          <w:tcPr>
            <w:tcW w:type="dxa" w:w="3456"/>
            <w:vAlign w:val="center"/>
          </w:tcPr>
          <w:p>
            <w:r/>
            <w:r>
              <w:rPr>
                <w:b w:val="0"/>
                <w:sz w:val="17"/>
              </w:rPr>
              <w:t>Gestión de datos</w:t>
            </w:r>
          </w:p>
        </w:tc>
        <w:tc>
          <w:tcPr>
            <w:tcW w:type="dxa" w:w="7056"/>
            <w:vAlign w:val="center"/>
          </w:tcPr>
          <w:p>
            <w:r/>
            <w:r>
              <w:rPr>
                <w:b w:val="0"/>
                <w:sz w:val="17"/>
              </w:rPr>
              <w:t>Modelo PostgreSQL, ERD, triggers, relaciones, eventos, transacciones y reportabilidad.</w:t>
            </w:r>
          </w:p>
        </w:tc>
      </w:tr>
      <w:tr>
        <w:tc>
          <w:tcPr>
            <w:tcW w:type="dxa" w:w="3456"/>
            <w:vAlign w:val="center"/>
            <w:shd w:fill="F8FAFC"/>
          </w:tcPr>
          <w:p>
            <w:r/>
            <w:r>
              <w:rPr>
                <w:b w:val="0"/>
                <w:sz w:val="17"/>
              </w:rPr>
              <w:t>Desarrollo de aplicaciones</w:t>
            </w:r>
          </w:p>
        </w:tc>
        <w:tc>
          <w:tcPr>
            <w:tcW w:type="dxa" w:w="7056"/>
            <w:vAlign w:val="center"/>
            <w:shd w:fill="F8FAFC"/>
          </w:tcPr>
          <w:p>
            <w:r/>
            <w:r>
              <w:rPr>
                <w:b w:val="0"/>
                <w:sz w:val="17"/>
              </w:rPr>
              <w:t>API REST, SPA React, app móvil, dashboards, rutas protegidas y componentes UI.</w:t>
            </w:r>
          </w:p>
        </w:tc>
      </w:tr>
      <w:tr>
        <w:tc>
          <w:tcPr>
            <w:tcW w:type="dxa" w:w="3456"/>
            <w:vAlign w:val="center"/>
          </w:tcPr>
          <w:p>
            <w:r/>
            <w:r>
              <w:rPr>
                <w:b w:val="0"/>
                <w:sz w:val="17"/>
              </w:rPr>
              <w:t>Seguridad informática</w:t>
            </w:r>
          </w:p>
        </w:tc>
        <w:tc>
          <w:tcPr>
            <w:tcW w:type="dxa" w:w="7056"/>
            <w:vAlign w:val="center"/>
          </w:tcPr>
          <w:p>
            <w:r/>
            <w:r>
              <w:rPr>
                <w:b w:val="0"/>
                <w:sz w:val="17"/>
              </w:rPr>
              <w:t>Firebase Auth, JWT, RBAC, control backend y mitigación de accesos no autorizados.</w:t>
            </w:r>
          </w:p>
        </w:tc>
      </w:tr>
      <w:tr>
        <w:tc>
          <w:tcPr>
            <w:tcW w:type="dxa" w:w="3456"/>
            <w:vAlign w:val="center"/>
            <w:shd w:fill="F8FAFC"/>
          </w:tcPr>
          <w:p>
            <w:r/>
            <w:r>
              <w:rPr>
                <w:b w:val="0"/>
                <w:sz w:val="17"/>
              </w:rPr>
              <w:t>Calidad de software</w:t>
            </w:r>
          </w:p>
        </w:tc>
        <w:tc>
          <w:tcPr>
            <w:tcW w:type="dxa" w:w="7056"/>
            <w:vAlign w:val="center"/>
            <w:shd w:fill="F8FAFC"/>
          </w:tcPr>
          <w:p>
            <w:r/>
            <w:r>
              <w:rPr>
                <w:b w:val="0"/>
                <w:sz w:val="17"/>
              </w:rPr>
              <w:t xml:space="preserve">Resultados v2.0 referenciados y evidencias históricas separadas; pruebas físicas finales pendientes.</w:t>
            </w:r>
          </w:p>
        </w:tc>
      </w:tr>
      <w:tr>
        <w:tc>
          <w:tcPr>
            <w:tcW w:type="dxa" w:w="3456"/>
            <w:vAlign w:val="center"/>
          </w:tcPr>
          <w:p>
            <w:r/>
            <w:r>
              <w:rPr>
                <w:b w:val="0"/>
                <w:sz w:val="17"/>
              </w:rPr>
              <w:t>Innovación y análisis de datos</w:t>
            </w:r>
          </w:p>
        </w:tc>
        <w:tc>
          <w:tcPr>
            <w:tcW w:type="dxa" w:w="7056"/>
            <w:vAlign w:val="center"/>
          </w:tcPr>
          <w:p>
            <w:r/>
            <w:r>
              <w:rPr>
                <w:b w:val="0"/>
                <w:sz w:val="17"/>
              </w:rPr>
              <w:t>Módulo IA con Random Forest, MTBF, score de riesgo y detección de equipos limón.</w:t>
            </w:r>
          </w:p>
        </w:tc>
      </w:tr>
      <w:tr>
        <w:tc>
          <w:tcPr>
            <w:tcW w:type="dxa" w:w="3456"/>
            <w:vAlign w:val="center"/>
            <w:shd w:fill="F8FAFC"/>
          </w:tcPr>
          <w:p>
            <w:r/>
            <w:r>
              <w:rPr>
                <w:b w:val="0"/>
                <w:sz w:val="17"/>
              </w:rPr>
              <w:t>Gestión de proyectos</w:t>
            </w:r>
          </w:p>
        </w:tc>
        <w:tc>
          <w:tcPr>
            <w:tcW w:type="dxa" w:w="7056"/>
            <w:vAlign w:val="center"/>
            <w:shd w:fill="F8FAFC"/>
          </w:tcPr>
          <w:p>
            <w:r/>
            <w:r>
              <w:rPr>
                <w:b w:val="0"/>
                <w:sz w:val="17"/>
              </w:rPr>
              <w:t>Roadmap, roles, documentación, despliegue y evidencias de cierre Capstone.</w:t>
            </w:r>
          </w:p>
        </w:tc>
      </w:tr>
    </w:tbl>
    <w:p>
      <w:pPr>
        <w:widowControl/>
      </w:pPr>
    </w:p>
    <w:p>
      <w:pPr>
        <w:widowControl/>
      </w:pPr>
      <w:r>
        <w:rPr>
          <w:rFonts w:ascii="Calibri" w:hAnsi="Calibri" w:eastAsia="Calibri"/>
        </w:rPr>
        <w:br w:type="page"/>
      </w:r>
    </w:p>
    <w:p>
      <w:pPr>
        <w:pStyle w:val="Heading1"/>
        <w:widowControl/>
      </w:pPr>
      <w:r>
        <w:rPr>
          <w:rFonts w:ascii="Calibri" w:hAnsi="Calibri" w:eastAsia="Calibri"/>
        </w:rPr>
        <w:t>15. Conclusiones finales</w:t>
      </w:r>
    </w:p>
    <w:p>
      <w:pPr>
        <w:widowControl/>
      </w:pPr>
      <w:r>
        <w:rPr>
          <w:rFonts w:ascii="Calibri" w:hAnsi="Calibri" w:eastAsia="Calibri"/>
        </w:rPr>
        <w:t xml:space="preserve">PMP Suite conserva la identidad tipo + serie durante alta, recepción, intervenciones e instalación. El activo nuevo entra a Bodega con evidencia y conformidad sin OS; la primera IN nace al despacho real. Bridge solo correlaciona y los requerimientos utilizan activos existentes.</w:t>
      </w:r>
    </w:p>
    <w:p>
      <w:pPr>
        <w:widowControl/>
      </w:pPr>
      <w:r>
        <w:rPr>
          <w:rFonts w:ascii="Calibri" w:hAnsi="Calibri" w:eastAsia="Calibri"/>
        </w:rPr>
        <w:t>El ordenamiento final del informe permite observar con claridad la relación entre problema, objetivos, requerimientos, arquitectura, implementación, inteligencia artificial y validación. La solución no se limita a un CRUD académico, sino que incorpora flujos transaccionales, seguridad por rol, integridad de base de datos, pruebas de estrés y análisis predictivo.</w:t>
      </w:r>
    </w:p>
    <w:p>
      <w:pPr>
        <w:widowControl/>
      </w:pPr>
      <w:r>
        <w:rPr>
          <w:rFonts w:ascii="Calibri" w:hAnsi="Calibri" w:eastAsia="Calibri"/>
        </w:rPr>
        <w:t>Desde la perspectiva Capstone, el proyecto demuestra dominio técnico, gestión de requerimientos, arquitectura sistémica, buenas prácticas de desarrollo, aseguramiento de calidad y capacidad de innovación. La evidencia recopilada respalda que PMP Suite cumple los objetivos propuestos y se proyecta como una solución escalable para entornos reales de mantenimiento y logística tecnológica.</w:t>
      </w:r>
    </w:p>
    <w:p>
      <w:pPr>
        <w:widowControl/>
      </w:pPr>
      <w:r>
        <w:rPr>
          <w:rFonts w:ascii="Calibri" w:hAnsi="Calibri" w:eastAsia="Calibri"/>
        </w:rPr>
        <w:br w:type="page"/>
      </w:r>
    </w:p>
    <w:p>
      <w:pPr>
        <w:pStyle w:val="Heading1"/>
        <w:widowControl/>
      </w:pPr>
      <w:r>
        <w:rPr>
          <w:rFonts w:ascii="Calibri" w:hAnsi="Calibri" w:eastAsia="Calibri"/>
        </w:rPr>
        <w:t>Anexo A. Matriz resumida de requerimientos</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016"/>
        <w:gridCol w:w="2016"/>
        <w:gridCol w:w="2016"/>
        <w:gridCol w:w="2016"/>
        <w:gridCol w:w="2016"/>
      </w:tblGrid>
      <w:tr>
        <w:trPr>
          <w:tblHeader w:val="true"/>
        </w:trPr>
        <w:tc>
          <w:tcPr>
            <w:tcW w:type="dxa" w:w="1440"/>
            <w:vAlign w:val="center"/>
            <w:shd w:fill="002D62"/>
          </w:tcPr>
          <w:p>
            <w:r/>
            <w:r>
              <w:rPr>
                <w:b/>
                <w:color w:val="FFFFFF"/>
                <w:sz w:val="18"/>
              </w:rPr>
              <w:t>ID</w:t>
            </w:r>
          </w:p>
        </w:tc>
        <w:tc>
          <w:tcPr>
            <w:tcW w:type="dxa" w:w="1728"/>
            <w:vAlign w:val="center"/>
            <w:shd w:fill="002D62"/>
          </w:tcPr>
          <w:p>
            <w:r/>
            <w:r>
              <w:rPr>
                <w:b/>
                <w:color w:val="FFFFFF"/>
                <w:sz w:val="18"/>
              </w:rPr>
              <w:t>Módulo</w:t>
            </w:r>
          </w:p>
        </w:tc>
        <w:tc>
          <w:tcPr>
            <w:tcW w:type="dxa" w:w="4464"/>
            <w:vAlign w:val="center"/>
            <w:shd w:fill="002D62"/>
          </w:tcPr>
          <w:p>
            <w:r/>
            <w:r>
              <w:rPr>
                <w:b/>
                <w:color w:val="FFFFFF"/>
                <w:sz w:val="18"/>
              </w:rPr>
              <w:t>Requerimiento</w:t>
            </w:r>
          </w:p>
        </w:tc>
        <w:tc>
          <w:tcPr>
            <w:tcW w:type="dxa" w:w="1440"/>
            <w:vAlign w:val="center"/>
            <w:shd w:fill="002D62"/>
          </w:tcPr>
          <w:p>
            <w:r/>
            <w:r>
              <w:rPr>
                <w:b/>
                <w:color w:val="FFFFFF"/>
                <w:sz w:val="18"/>
              </w:rPr>
              <w:t>Prioridad</w:t>
            </w:r>
          </w:p>
        </w:tc>
        <w:tc>
          <w:tcPr>
            <w:tcW w:type="dxa" w:w="2880"/>
            <w:vAlign w:val="center"/>
            <w:shd w:fill="002D62"/>
          </w:tcPr>
          <w:p>
            <w:r/>
            <w:r>
              <w:rPr>
                <w:b/>
                <w:color w:val="FFFFFF"/>
                <w:sz w:val="18"/>
              </w:rPr>
              <w:t>Evidencia</w:t>
            </w:r>
          </w:p>
        </w:tc>
      </w:tr>
      <w:tr>
        <w:tc>
          <w:tcPr>
            <w:tcW w:type="dxa" w:w="1440"/>
            <w:vAlign w:val="center"/>
          </w:tcPr>
          <w:p>
            <w:r/>
            <w:r>
              <w:rPr>
                <w:b w:val="0"/>
                <w:sz w:val="17"/>
              </w:rPr>
              <w:t>RF.AU.1</w:t>
            </w:r>
          </w:p>
        </w:tc>
        <w:tc>
          <w:tcPr>
            <w:tcW w:type="dxa" w:w="1728"/>
            <w:vAlign w:val="center"/>
          </w:tcPr>
          <w:p>
            <w:r/>
            <w:r>
              <w:rPr>
                <w:b w:val="0"/>
                <w:sz w:val="17"/>
              </w:rPr>
              <w:t>Auth</w:t>
            </w:r>
          </w:p>
        </w:tc>
        <w:tc>
          <w:tcPr>
            <w:tcW w:type="dxa" w:w="4464"/>
            <w:vAlign w:val="center"/>
          </w:tcPr>
          <w:p>
            <w:r/>
            <w:r>
              <w:rPr>
                <w:b w:val="0"/>
                <w:sz w:val="17"/>
              </w:rPr>
              <w:t>Autenticación con Firebase y credenciales de usuario.</w:t>
            </w:r>
          </w:p>
        </w:tc>
        <w:tc>
          <w:tcPr>
            <w:tcW w:type="dxa" w:w="1440"/>
            <w:vAlign w:val="center"/>
          </w:tcPr>
          <w:p>
            <w:r/>
            <w:r>
              <w:rPr>
                <w:b w:val="0"/>
                <w:sz w:val="17"/>
              </w:rPr>
              <w:t>Alta</w:t>
            </w:r>
          </w:p>
        </w:tc>
        <w:tc>
          <w:tcPr>
            <w:tcW w:type="dxa" w:w="2880"/>
            <w:vAlign w:val="center"/>
          </w:tcPr>
          <w:p>
            <w:r/>
            <w:r>
              <w:rPr>
                <w:b w:val="0"/>
                <w:sz w:val="17"/>
              </w:rPr>
              <w:t>Login y tokens JWT validados.</w:t>
            </w:r>
          </w:p>
        </w:tc>
      </w:tr>
      <w:tr>
        <w:tc>
          <w:tcPr>
            <w:tcW w:type="dxa" w:w="1440"/>
            <w:vAlign w:val="center"/>
            <w:shd w:fill="F8FAFC"/>
          </w:tcPr>
          <w:p>
            <w:r/>
            <w:r>
              <w:rPr>
                <w:b w:val="0"/>
                <w:sz w:val="17"/>
              </w:rPr>
              <w:t>RF.OS.6</w:t>
            </w:r>
          </w:p>
        </w:tc>
        <w:tc>
          <w:tcPr>
            <w:tcW w:type="dxa" w:w="1728"/>
            <w:vAlign w:val="center"/>
            <w:shd w:fill="F8FAFC"/>
          </w:tcPr>
          <w:p>
            <w:r/>
            <w:r>
              <w:rPr>
                <w:b w:val="0"/>
                <w:sz w:val="17"/>
              </w:rPr>
              <w:t>OS</w:t>
            </w:r>
          </w:p>
        </w:tc>
        <w:tc>
          <w:tcPr>
            <w:tcW w:type="dxa" w:w="4464"/>
            <w:vAlign w:val="center"/>
            <w:shd w:fill="F8FAFC"/>
          </w:tcPr>
          <w:p>
            <w:r/>
            <w:r>
              <w:rPr>
                <w:b w:val="0"/>
                <w:sz w:val="17"/>
              </w:rPr>
              <w:t>Cambio de estado siguiendo reglas por rol.</w:t>
            </w:r>
          </w:p>
        </w:tc>
        <w:tc>
          <w:tcPr>
            <w:tcW w:type="dxa" w:w="1440"/>
            <w:vAlign w:val="center"/>
            <w:shd w:fill="F8FAFC"/>
          </w:tcPr>
          <w:p>
            <w:r/>
            <w:r>
              <w:rPr>
                <w:b w:val="0"/>
                <w:sz w:val="17"/>
              </w:rPr>
              <w:t>Alta</w:t>
            </w:r>
          </w:p>
        </w:tc>
        <w:tc>
          <w:tcPr>
            <w:tcW w:type="dxa" w:w="2880"/>
            <w:vAlign w:val="center"/>
            <w:shd w:fill="F8FAFC"/>
          </w:tcPr>
          <w:p>
            <w:r/>
            <w:r>
              <w:rPr>
                <w:b w:val="0"/>
                <w:sz w:val="17"/>
              </w:rPr>
              <w:t>State Machine y os_transiciones.</w:t>
            </w:r>
          </w:p>
        </w:tc>
      </w:tr>
      <w:tr>
        <w:tc>
          <w:tcPr>
            <w:tcW w:type="dxa" w:w="1440"/>
            <w:vAlign w:val="center"/>
          </w:tcPr>
          <w:p>
            <w:r/>
            <w:r>
              <w:rPr>
                <w:b w:val="0"/>
                <w:sz w:val="17"/>
              </w:rPr>
              <w:t>RF.BOD.4</w:t>
            </w:r>
          </w:p>
        </w:tc>
        <w:tc>
          <w:tcPr>
            <w:tcW w:type="dxa" w:w="1728"/>
            <w:vAlign w:val="center"/>
          </w:tcPr>
          <w:p>
            <w:r/>
            <w:r>
              <w:rPr>
                <w:b w:val="0"/>
                <w:sz w:val="17"/>
              </w:rPr>
              <w:t>Bodega</w:t>
            </w:r>
          </w:p>
        </w:tc>
        <w:tc>
          <w:tcPr>
            <w:tcW w:type="dxa" w:w="4464"/>
            <w:vAlign w:val="center"/>
          </w:tcPr>
          <w:p>
            <w:r/>
            <w:r>
              <w:rPr>
                <w:b w:val="0"/>
                <w:sz w:val="17"/>
              </w:rPr>
              <w:t>Descuento automático de repuestos usados en reparaciones.</w:t>
            </w:r>
          </w:p>
        </w:tc>
        <w:tc>
          <w:tcPr>
            <w:tcW w:type="dxa" w:w="1440"/>
            <w:vAlign w:val="center"/>
          </w:tcPr>
          <w:p>
            <w:r/>
            <w:r>
              <w:rPr>
                <w:b w:val="0"/>
                <w:sz w:val="17"/>
              </w:rPr>
              <w:t>Alta</w:t>
            </w:r>
          </w:p>
        </w:tc>
        <w:tc>
          <w:tcPr>
            <w:tcW w:type="dxa" w:w="2880"/>
            <w:vAlign w:val="center"/>
          </w:tcPr>
          <w:p>
            <w:r/>
            <w:r>
              <w:rPr>
                <w:b w:val="0"/>
                <w:sz w:val="17"/>
              </w:rPr>
              <w:t>Integración Lab/Bodega.</w:t>
            </w:r>
          </w:p>
        </w:tc>
      </w:tr>
      <w:tr>
        <w:tc>
          <w:tcPr>
            <w:tcW w:type="dxa" w:w="1440"/>
            <w:vAlign w:val="center"/>
            <w:shd w:fill="F8FAFC"/>
          </w:tcPr>
          <w:p>
            <w:r/>
            <w:r>
              <w:rPr>
                <w:b w:val="0"/>
                <w:sz w:val="17"/>
              </w:rPr>
              <w:t>RF.LAB.6</w:t>
            </w:r>
          </w:p>
        </w:tc>
        <w:tc>
          <w:tcPr>
            <w:tcW w:type="dxa" w:w="1728"/>
            <w:vAlign w:val="center"/>
            <w:shd w:fill="F8FAFC"/>
          </w:tcPr>
          <w:p>
            <w:r/>
            <w:r>
              <w:rPr>
                <w:b w:val="0"/>
                <w:sz w:val="17"/>
              </w:rPr>
              <w:t>Laboratorio</w:t>
            </w:r>
          </w:p>
        </w:tc>
        <w:tc>
          <w:tcPr>
            <w:tcW w:type="dxa" w:w="4464"/>
            <w:vAlign w:val="center"/>
            <w:shd w:fill="F8FAFC"/>
          </w:tcPr>
          <w:p>
            <w:r/>
            <w:r>
              <w:rPr>
                <w:b w:val="0"/>
                <w:sz w:val="17"/>
              </w:rPr>
              <w:t>Documentación de fallas y acciones de reparación.</w:t>
            </w:r>
          </w:p>
        </w:tc>
        <w:tc>
          <w:tcPr>
            <w:tcW w:type="dxa" w:w="1440"/>
            <w:vAlign w:val="center"/>
            <w:shd w:fill="F8FAFC"/>
          </w:tcPr>
          <w:p>
            <w:r/>
            <w:r>
              <w:rPr>
                <w:b w:val="0"/>
                <w:sz w:val="17"/>
              </w:rPr>
              <w:t>Alta</w:t>
            </w:r>
          </w:p>
        </w:tc>
        <w:tc>
          <w:tcPr>
            <w:tcW w:type="dxa" w:w="2880"/>
            <w:vAlign w:val="center"/>
            <w:shd w:fill="F8FAFC"/>
          </w:tcPr>
          <w:p>
            <w:r/>
            <w:r>
              <w:rPr>
                <w:b w:val="0"/>
                <w:sz w:val="17"/>
              </w:rPr>
              <w:t>Bitácoras y registro_reparaciones.</w:t>
            </w:r>
          </w:p>
        </w:tc>
      </w:tr>
      <w:tr>
        <w:tc>
          <w:tcPr>
            <w:tcW w:type="dxa" w:w="1440"/>
            <w:vAlign w:val="center"/>
          </w:tcPr>
          <w:p>
            <w:r/>
            <w:r>
              <w:rPr>
                <w:b w:val="0"/>
                <w:sz w:val="17"/>
              </w:rPr>
              <w:t>RF.QA.4</w:t>
            </w:r>
          </w:p>
        </w:tc>
        <w:tc>
          <w:tcPr>
            <w:tcW w:type="dxa" w:w="1728"/>
            <w:vAlign w:val="center"/>
          </w:tcPr>
          <w:p>
            <w:r/>
            <w:r>
              <w:rPr>
                <w:b w:val="0"/>
                <w:sz w:val="17"/>
              </w:rPr>
              <w:t>QA</w:t>
            </w:r>
          </w:p>
        </w:tc>
        <w:tc>
          <w:tcPr>
            <w:tcW w:type="dxa" w:w="4464"/>
            <w:vAlign w:val="center"/>
          </w:tcPr>
          <w:p>
            <w:r/>
            <w:r>
              <w:rPr>
                <w:b w:val="0"/>
                <w:sz w:val="17"/>
              </w:rPr>
              <w:t>Aprobar o rechazar equipos tras pruebas de calidad.</w:t>
            </w:r>
          </w:p>
        </w:tc>
        <w:tc>
          <w:tcPr>
            <w:tcW w:type="dxa" w:w="1440"/>
            <w:vAlign w:val="center"/>
          </w:tcPr>
          <w:p>
            <w:r/>
            <w:r>
              <w:rPr>
                <w:b w:val="0"/>
                <w:sz w:val="17"/>
              </w:rPr>
              <w:t>Alta</w:t>
            </w:r>
          </w:p>
        </w:tc>
        <w:tc>
          <w:tcPr>
            <w:tcW w:type="dxa" w:w="2880"/>
            <w:vAlign w:val="center"/>
          </w:tcPr>
          <w:p>
            <w:r/>
            <w:r>
              <w:rPr>
                <w:b w:val="0"/>
                <w:sz w:val="17"/>
              </w:rPr>
              <w:t>Flujo QA validado E2E.</w:t>
            </w:r>
          </w:p>
        </w:tc>
      </w:tr>
      <w:tr>
        <w:tc>
          <w:tcPr>
            <w:tcW w:type="dxa" w:w="1440"/>
            <w:vAlign w:val="center"/>
            <w:shd w:fill="F8FAFC"/>
          </w:tcPr>
          <w:p>
            <w:r/>
            <w:r>
              <w:rPr>
                <w:b w:val="0"/>
                <w:sz w:val="17"/>
              </w:rPr>
              <w:t>RF.ADM.3</w:t>
            </w:r>
          </w:p>
        </w:tc>
        <w:tc>
          <w:tcPr>
            <w:tcW w:type="dxa" w:w="1728"/>
            <w:vAlign w:val="center"/>
            <w:shd w:fill="F8FAFC"/>
          </w:tcPr>
          <w:p>
            <w:r/>
            <w:r>
              <w:rPr>
                <w:b w:val="0"/>
                <w:sz w:val="17"/>
              </w:rPr>
              <w:t>Admin</w:t>
            </w:r>
          </w:p>
        </w:tc>
        <w:tc>
          <w:tcPr>
            <w:tcW w:type="dxa" w:w="4464"/>
            <w:vAlign w:val="center"/>
            <w:shd w:fill="F8FAFC"/>
          </w:tcPr>
          <w:p>
            <w:r/>
            <w:r>
              <w:rPr>
                <w:b w:val="0"/>
                <w:sz w:val="17"/>
              </w:rPr>
              <w:t>Consultar logs de auditoría de acciones críticas.</w:t>
            </w:r>
          </w:p>
        </w:tc>
        <w:tc>
          <w:tcPr>
            <w:tcW w:type="dxa" w:w="1440"/>
            <w:vAlign w:val="center"/>
            <w:shd w:fill="F8FAFC"/>
          </w:tcPr>
          <w:p>
            <w:r/>
            <w:r>
              <w:rPr>
                <w:b w:val="0"/>
                <w:sz w:val="17"/>
              </w:rPr>
              <w:t>Media</w:t>
            </w:r>
          </w:p>
        </w:tc>
        <w:tc>
          <w:tcPr>
            <w:tcW w:type="dxa" w:w="2880"/>
            <w:vAlign w:val="center"/>
            <w:shd w:fill="F8FAFC"/>
          </w:tcPr>
          <w:p>
            <w:r/>
            <w:r>
              <w:rPr>
                <w:b w:val="0"/>
                <w:sz w:val="17"/>
              </w:rPr>
              <w:t xml:space="preserve">flujo_eventos e historial por tipo + serie.</w:t>
            </w:r>
          </w:p>
        </w:tc>
      </w:tr>
      <w:tr>
        <w:tc>
          <w:tcPr>
            <w:tcW w:type="dxa" w:w="1440"/>
            <w:vAlign w:val="center"/>
          </w:tcPr>
          <w:p>
            <w:r/>
            <w:r>
              <w:rPr>
                <w:b w:val="0"/>
                <w:sz w:val="17"/>
              </w:rPr>
              <w:t>RF.IA.1</w:t>
            </w:r>
          </w:p>
        </w:tc>
        <w:tc>
          <w:tcPr>
            <w:tcW w:type="dxa" w:w="1728"/>
            <w:vAlign w:val="center"/>
          </w:tcPr>
          <w:p>
            <w:r/>
            <w:r>
              <w:rPr>
                <w:b w:val="0"/>
                <w:sz w:val="17"/>
              </w:rPr>
              <w:t>IA</w:t>
            </w:r>
          </w:p>
        </w:tc>
        <w:tc>
          <w:tcPr>
            <w:tcW w:type="dxa" w:w="4464"/>
            <w:vAlign w:val="center"/>
          </w:tcPr>
          <w:p>
            <w:r/>
            <w:r>
              <w:rPr>
                <w:b w:val="0"/>
                <w:sz w:val="17"/>
              </w:rPr>
              <w:t>Predecir probabilidad de falla de equipo.</w:t>
            </w:r>
          </w:p>
        </w:tc>
        <w:tc>
          <w:tcPr>
            <w:tcW w:type="dxa" w:w="1440"/>
            <w:vAlign w:val="center"/>
          </w:tcPr>
          <w:p>
            <w:r/>
            <w:r>
              <w:rPr>
                <w:b w:val="0"/>
                <w:sz w:val="17"/>
              </w:rPr>
              <w:t>Alta</w:t>
            </w:r>
          </w:p>
        </w:tc>
        <w:tc>
          <w:tcPr>
            <w:tcW w:type="dxa" w:w="2880"/>
            <w:vAlign w:val="center"/>
          </w:tcPr>
          <w:p>
            <w:r/>
            <w:r>
              <w:rPr>
                <w:b w:val="0"/>
                <w:sz w:val="17"/>
              </w:rPr>
              <w:t>Random Forest y AIRiskPanel.</w:t>
            </w:r>
          </w:p>
        </w:tc>
      </w:tr>
    </w:tbl>
    <w:p>
      <w:pPr>
        <w:widowControl/>
      </w:pPr>
    </w:p>
    <w:p>
      <w:pPr>
        <w:widowControl/>
      </w:pPr>
      <w:r>
        <w:rPr>
          <w:rFonts w:ascii="Calibri" w:hAnsi="Calibri" w:eastAsia="Calibri"/>
        </w:rPr>
        <w:br w:type="page"/>
      </w:r>
    </w:p>
    <w:p>
      <w:pPr>
        <w:pStyle w:val="Heading1"/>
        <w:widowControl/>
      </w:pPr>
      <w:r>
        <w:rPr>
          <w:rFonts w:ascii="Calibri" w:hAnsi="Calibri" w:eastAsia="Calibri"/>
        </w:rPr>
        <w:t>Anexo B. Casos de estudio IA</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520"/>
        <w:gridCol w:w="2520"/>
        <w:gridCol w:w="2520"/>
        <w:gridCol w:w="2520"/>
      </w:tblGrid>
      <w:tr>
        <w:trPr>
          <w:tblHeader w:val="true"/>
        </w:trPr>
        <w:tc>
          <w:tcPr>
            <w:tcW w:type="dxa" w:w="2016"/>
            <w:vAlign w:val="center"/>
            <w:shd w:fill="002D62"/>
          </w:tcPr>
          <w:p>
            <w:r/>
            <w:r>
              <w:rPr>
                <w:b/>
                <w:color w:val="FFFFFF"/>
                <w:sz w:val="18"/>
              </w:rPr>
              <w:t>Caso</w:t>
            </w:r>
          </w:p>
        </w:tc>
        <w:tc>
          <w:tcPr>
            <w:tcW w:type="dxa" w:w="2304"/>
            <w:vAlign w:val="center"/>
            <w:shd w:fill="002D62"/>
          </w:tcPr>
          <w:p>
            <w:r/>
            <w:r>
              <w:rPr>
                <w:b/>
                <w:color w:val="FFFFFF"/>
                <w:sz w:val="18"/>
              </w:rPr>
              <w:t>Activo</w:t>
            </w:r>
          </w:p>
        </w:tc>
        <w:tc>
          <w:tcPr>
            <w:tcW w:type="dxa" w:w="4320"/>
            <w:vAlign w:val="center"/>
            <w:shd w:fill="002D62"/>
          </w:tcPr>
          <w:p>
            <w:r/>
            <w:r>
              <w:rPr>
                <w:b/>
                <w:color w:val="FFFFFF"/>
                <w:sz w:val="18"/>
              </w:rPr>
              <w:t>Comportamiento</w:t>
            </w:r>
          </w:p>
        </w:tc>
        <w:tc>
          <w:tcPr>
            <w:tcW w:type="dxa" w:w="1872"/>
            <w:vAlign w:val="center"/>
            <w:shd w:fill="002D62"/>
          </w:tcPr>
          <w:p>
            <w:r/>
            <w:r>
              <w:rPr>
                <w:b/>
                <w:color w:val="FFFFFF"/>
                <w:sz w:val="18"/>
              </w:rPr>
              <w:t>Resultado esperado</w:t>
            </w:r>
          </w:p>
        </w:tc>
      </w:tr>
      <w:tr>
        <w:tc>
          <w:tcPr>
            <w:tcW w:type="dxa" w:w="2016"/>
            <w:vAlign w:val="center"/>
          </w:tcPr>
          <w:p>
            <w:r/>
            <w:r>
              <w:rPr>
                <w:b w:val="0"/>
                <w:sz w:val="17"/>
              </w:rPr>
              <w:t>Equipo “Limón”</w:t>
            </w:r>
          </w:p>
        </w:tc>
        <w:tc>
          <w:tcPr>
            <w:tcW w:type="dxa" w:w="2304"/>
            <w:vAlign w:val="center"/>
          </w:tcPr>
          <w:p>
            <w:r/>
            <w:r>
              <w:rPr>
                <w:b w:val="0"/>
                <w:sz w:val="17"/>
              </w:rPr>
              <w:t>VAL-LEMON-001</w:t>
            </w:r>
          </w:p>
        </w:tc>
        <w:tc>
          <w:tcPr>
            <w:tcW w:type="dxa" w:w="4320"/>
            <w:vAlign w:val="center"/>
          </w:tcPr>
          <w:p>
            <w:r/>
            <w:r>
              <w:rPr>
                <w:b w:val="0"/>
                <w:sz w:val="17"/>
              </w:rPr>
              <w:t>5 ingresos en 4 meses; 4 por fallas EMV.</w:t>
            </w:r>
          </w:p>
        </w:tc>
        <w:tc>
          <w:tcPr>
            <w:tcW w:type="dxa" w:w="1872"/>
            <w:vAlign w:val="center"/>
          </w:tcPr>
          <w:p>
            <w:r/>
            <w:r>
              <w:rPr>
                <w:b w:val="0"/>
                <w:sz w:val="17"/>
              </w:rPr>
              <w:t>Riesgo crítico &gt;90%, retiro preventivo.</w:t>
            </w:r>
          </w:p>
        </w:tc>
      </w:tr>
      <w:tr>
        <w:tc>
          <w:tcPr>
            <w:tcW w:type="dxa" w:w="2016"/>
            <w:vAlign w:val="center"/>
            <w:shd w:fill="F8FAFC"/>
          </w:tcPr>
          <w:p>
            <w:r/>
            <w:r>
              <w:rPr>
                <w:b w:val="0"/>
                <w:sz w:val="17"/>
              </w:rPr>
              <w:t>Enfermedad crónica</w:t>
            </w:r>
          </w:p>
        </w:tc>
        <w:tc>
          <w:tcPr>
            <w:tcW w:type="dxa" w:w="2304"/>
            <w:vAlign w:val="center"/>
            <w:shd w:fill="F8FAFC"/>
          </w:tcPr>
          <w:p>
            <w:r/>
            <w:r>
              <w:rPr>
                <w:b w:val="0"/>
                <w:sz w:val="17"/>
              </w:rPr>
              <w:t>CON-SLA-002</w:t>
            </w:r>
          </w:p>
        </w:tc>
        <w:tc>
          <w:tcPr>
            <w:tcW w:type="dxa" w:w="4320"/>
            <w:vAlign w:val="center"/>
            <w:shd w:fill="F8FAFC"/>
          </w:tcPr>
          <w:p>
            <w:r/>
            <w:r>
              <w:rPr>
                <w:b w:val="0"/>
                <w:sz w:val="17"/>
              </w:rPr>
              <w:t>Falla cada 15 días por alimentación o pantalla.</w:t>
            </w:r>
          </w:p>
        </w:tc>
        <w:tc>
          <w:tcPr>
            <w:tcW w:type="dxa" w:w="1872"/>
            <w:vAlign w:val="center"/>
            <w:shd w:fill="F8FAFC"/>
          </w:tcPr>
          <w:p>
            <w:r/>
            <w:r>
              <w:rPr>
                <w:b w:val="0"/>
                <w:sz w:val="17"/>
              </w:rPr>
              <w:t>Riesgo alto cercano a 80%.</w:t>
            </w:r>
          </w:p>
        </w:tc>
      </w:tr>
      <w:tr>
        <w:tc>
          <w:tcPr>
            <w:tcW w:type="dxa" w:w="2016"/>
            <w:vAlign w:val="center"/>
          </w:tcPr>
          <w:p>
            <w:r/>
            <w:r>
              <w:rPr>
                <w:b w:val="0"/>
                <w:sz w:val="17"/>
              </w:rPr>
              <w:t>Falla de lote</w:t>
            </w:r>
          </w:p>
        </w:tc>
        <w:tc>
          <w:tcPr>
            <w:tcW w:type="dxa" w:w="2304"/>
            <w:vAlign w:val="center"/>
          </w:tcPr>
          <w:p>
            <w:r/>
            <w:r>
              <w:rPr>
                <w:b w:val="0"/>
                <w:sz w:val="17"/>
              </w:rPr>
              <w:t>VAL-QR-FAULTY</w:t>
            </w:r>
          </w:p>
        </w:tc>
        <w:tc>
          <w:tcPr>
            <w:tcW w:type="dxa" w:w="4320"/>
            <w:vAlign w:val="center"/>
          </w:tcPr>
          <w:p>
            <w:r/>
            <w:r>
              <w:rPr>
                <w:b w:val="0"/>
                <w:sz w:val="17"/>
              </w:rPr>
              <w:t>2 fallas QR correlacionadas con patrón del mismo modelo.</w:t>
            </w:r>
          </w:p>
        </w:tc>
        <w:tc>
          <w:tcPr>
            <w:tcW w:type="dxa" w:w="1872"/>
            <w:vAlign w:val="center"/>
          </w:tcPr>
          <w:p>
            <w:r/>
            <w:r>
              <w:rPr>
                <w:b w:val="0"/>
                <w:sz w:val="17"/>
              </w:rPr>
              <w:t>Riesgo medio cercano a 50%.</w:t>
            </w:r>
          </w:p>
        </w:tc>
      </w:tr>
      <w:tr>
        <w:tc>
          <w:tcPr>
            <w:tcW w:type="dxa" w:w="2016"/>
            <w:vAlign w:val="center"/>
            <w:shd w:fill="F8FAFC"/>
          </w:tcPr>
          <w:p>
            <w:r/>
            <w:r>
              <w:rPr>
                <w:b w:val="0"/>
                <w:sz w:val="17"/>
              </w:rPr>
              <w:t>Activo saludable</w:t>
            </w:r>
          </w:p>
        </w:tc>
        <w:tc>
          <w:tcPr>
            <w:tcW w:type="dxa" w:w="2304"/>
            <w:vAlign w:val="center"/>
            <w:shd w:fill="F8FAFC"/>
          </w:tcPr>
          <w:p>
            <w:r/>
            <w:r>
              <w:rPr>
                <w:b w:val="0"/>
                <w:sz w:val="17"/>
              </w:rPr>
              <w:t>CON-STABLE-001</w:t>
            </w:r>
          </w:p>
        </w:tc>
        <w:tc>
          <w:tcPr>
            <w:tcW w:type="dxa" w:w="4320"/>
            <w:vAlign w:val="center"/>
            <w:shd w:fill="F8FAFC"/>
          </w:tcPr>
          <w:p>
            <w:r/>
            <w:r>
              <w:rPr>
                <w:b w:val="0"/>
                <w:sz w:val="17"/>
              </w:rPr>
              <w:t>Falla menor hace más de 6 meses, sin novedades.</w:t>
            </w:r>
          </w:p>
        </w:tc>
        <w:tc>
          <w:tcPr>
            <w:tcW w:type="dxa" w:w="1872"/>
            <w:vAlign w:val="center"/>
            <w:shd w:fill="F8FAFC"/>
          </w:tcPr>
          <w:p>
            <w:r/>
            <w:r>
              <w:rPr>
                <w:b w:val="0"/>
                <w:sz w:val="17"/>
              </w:rPr>
              <w:t>Riesgo bajo &lt;10%.</w:t>
            </w:r>
          </w:p>
        </w:tc>
      </w:tr>
    </w:tbl>
    <w:p>
      <w:pPr>
        <w:widowControl/>
      </w:pPr>
    </w:p>
    <w:p>
      <w:pPr>
        <w:widowControl/>
      </w:pPr>
      <w:r>
        <w:rPr>
          <w:rFonts w:ascii="Calibri" w:hAnsi="Calibri" w:eastAsia="Calibri"/>
        </w:rPr>
        <w:br w:type="page"/>
      </w:r>
    </w:p>
    <w:p>
      <w:pPr>
        <w:pStyle w:val="Heading1"/>
        <w:widowControl/>
      </w:pPr>
      <w:r>
        <w:rPr>
          <w:rFonts w:ascii="Calibri" w:hAnsi="Calibri" w:eastAsia="Calibri"/>
        </w:rPr>
        <w:t xml:space="preserve">Anexo C. Evidencia histórica de pruebas del informe referencial</w:t>
      </w:r>
    </w:p>
    <w:p>
      <w:pPr>
        <w:widowControl/>
      </w:pPr>
      <w:r>
        <w:rPr>
          <w:rFonts w:ascii="Calibri" w:hAnsi="Calibri" w:eastAsia="Calibri"/>
        </w:rPr>
        <w:t xml:space="preserve">Se conservan los archivos y resultados de la versión anterior, sin ejecutarlos ni recomendarlos sobre una base principal. Para el contrato y evidencia actuales consultar el Plan de Pruebas Capstone v2.0 y 08_Pruebas/RECEPCION_INICIAL_SIN_OS.md.</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360"/>
        <w:gridCol w:w="3360"/>
        <w:gridCol w:w="3360"/>
      </w:tblGrid>
      <w:tr>
        <w:trPr>
          <w:tblHeader w:val="true"/>
        </w:trPr>
        <w:tc>
          <w:tcPr>
            <w:tcW w:type="dxa" w:w="2304"/>
            <w:vAlign w:val="center"/>
            <w:shd w:fill="002D62"/>
          </w:tcPr>
          <w:p>
            <w:r/>
            <w:r>
              <w:rPr>
                <w:b/>
                <w:color w:val="FFFFFF"/>
                <w:sz w:val="18"/>
              </w:rPr>
              <w:t>Suite</w:t>
            </w:r>
          </w:p>
        </w:tc>
        <w:tc>
          <w:tcPr>
            <w:tcW w:type="dxa" w:w="3744"/>
            <w:vAlign w:val="center"/>
            <w:shd w:fill="002D62"/>
          </w:tcPr>
          <w:p>
            <w:r/>
            <w:r>
              <w:rPr>
                <w:b/>
                <w:color w:val="FFFFFF"/>
                <w:sz w:val="18"/>
              </w:rPr>
              <w:t>Archivo</w:t>
            </w:r>
          </w:p>
        </w:tc>
        <w:tc>
          <w:tcPr>
            <w:tcW w:type="dxa" w:w="4464"/>
            <w:vAlign w:val="center"/>
            <w:shd w:fill="002D62"/>
          </w:tcPr>
          <w:p>
            <w:r/>
            <w:r>
              <w:rPr>
                <w:b/>
                <w:color w:val="FFFFFF"/>
                <w:sz w:val="18"/>
              </w:rPr>
              <w:t xml:space="preserve">Resultado registrado en la versión anterior</w:t>
            </w:r>
          </w:p>
        </w:tc>
      </w:tr>
      <w:tr>
        <w:tc>
          <w:tcPr>
            <w:tcW w:type="dxa" w:w="2304"/>
            <w:vAlign w:val="center"/>
          </w:tcPr>
          <w:p>
            <w:r/>
            <w:r>
              <w:rPr>
                <w:b w:val="0"/>
                <w:sz w:val="17"/>
              </w:rPr>
              <w:t>Pruebas E2E</w:t>
            </w:r>
          </w:p>
        </w:tc>
        <w:tc>
          <w:tcPr>
            <w:tcW w:type="dxa" w:w="3744"/>
            <w:vAlign w:val="center"/>
          </w:tcPr>
          <w:p>
            <w:r/>
            <w:r>
              <w:rPr>
                <w:b w:val="0"/>
                <w:sz w:val="17"/>
              </w:rPr>
              <w:t>03_Backend/pmp-api/e2e_full_v2.js</w:t>
            </w:r>
          </w:p>
        </w:tc>
        <w:tc>
          <w:tcPr>
            <w:tcW w:type="dxa" w:w="4464"/>
            <w:vAlign w:val="center"/>
          </w:tcPr>
          <w:p>
            <w:r/>
            <w:r>
              <w:rPr>
                <w:b w:val="0"/>
                <w:sz w:val="17"/>
              </w:rPr>
              <w:t>46/46 tests pasados.</w:t>
            </w:r>
          </w:p>
        </w:tc>
      </w:tr>
      <w:tr>
        <w:tc>
          <w:tcPr>
            <w:tcW w:type="dxa" w:w="2304"/>
            <w:vAlign w:val="center"/>
            <w:shd w:fill="F8FAFC"/>
          </w:tcPr>
          <w:p>
            <w:r/>
            <w:r>
              <w:rPr>
                <w:b w:val="0"/>
                <w:sz w:val="17"/>
              </w:rPr>
              <w:t>Pruebas de estrés</w:t>
            </w:r>
          </w:p>
        </w:tc>
        <w:tc>
          <w:tcPr>
            <w:tcW w:type="dxa" w:w="3744"/>
            <w:vAlign w:val="center"/>
            <w:shd w:fill="F8FAFC"/>
          </w:tcPr>
          <w:p>
            <w:r/>
            <w:r>
              <w:rPr>
                <w:b w:val="0"/>
                <w:sz w:val="17"/>
              </w:rPr>
              <w:t>03_Backend/pmp-api/stress_test.js</w:t>
            </w:r>
          </w:p>
        </w:tc>
        <w:tc>
          <w:tcPr>
            <w:tcW w:type="dxa" w:w="4464"/>
            <w:vAlign w:val="center"/>
            <w:shd w:fill="F8FAFC"/>
          </w:tcPr>
          <w:p>
            <w:r/>
            <w:r>
              <w:rPr>
                <w:b w:val="0"/>
                <w:sz w:val="17"/>
              </w:rPr>
              <w:t>14/14 tests pasados.</w:t>
            </w:r>
          </w:p>
        </w:tc>
      </w:tr>
      <w:tr>
        <w:tc>
          <w:tcPr>
            <w:tcW w:type="dxa" w:w="2304"/>
            <w:vAlign w:val="center"/>
          </w:tcPr>
          <w:p>
            <w:r/>
            <w:r>
              <w:rPr>
                <w:b w:val="0"/>
                <w:sz w:val="17"/>
              </w:rPr>
              <w:t>Flujo completo</w:t>
            </w:r>
          </w:p>
        </w:tc>
        <w:tc>
          <w:tcPr>
            <w:tcW w:type="dxa" w:w="3744"/>
            <w:vAlign w:val="center"/>
          </w:tcPr>
          <w:p>
            <w:r/>
            <w:r>
              <w:rPr>
                <w:b w:val="0"/>
                <w:sz w:val="17"/>
              </w:rPr>
              <w:t>API HTTP + PostgreSQL</w:t>
            </w:r>
          </w:p>
        </w:tc>
        <w:tc>
          <w:tcPr>
            <w:tcW w:type="dxa" w:w="4464"/>
            <w:vAlign w:val="center"/>
          </w:tcPr>
          <w:p>
            <w:r/>
            <w:r>
              <w:rPr>
                <w:b w:val="0"/>
                <w:sz w:val="17"/>
              </w:rPr>
              <w:t>Validación de estados después de cada llamada.</w:t>
            </w:r>
          </w:p>
        </w:tc>
      </w:tr>
      <w:tr>
        <w:tc>
          <w:tcPr>
            <w:tcW w:type="dxa" w:w="2304"/>
            <w:vAlign w:val="center"/>
            <w:shd w:fill="F8FAFC"/>
          </w:tcPr>
          <w:p>
            <w:r/>
            <w:r>
              <w:rPr>
                <w:b w:val="0"/>
                <w:sz w:val="17"/>
              </w:rPr>
              <w:t>Concurrencia</w:t>
            </w:r>
          </w:p>
        </w:tc>
        <w:tc>
          <w:tcPr>
            <w:tcW w:type="dxa" w:w="3744"/>
            <w:vAlign w:val="center"/>
            <w:shd w:fill="F8FAFC"/>
          </w:tcPr>
          <w:p>
            <w:r/>
            <w:r>
              <w:rPr>
                <w:b w:val="0"/>
                <w:sz w:val="17"/>
              </w:rPr>
              <w:t>Recepción bodega simultánea</w:t>
            </w:r>
          </w:p>
        </w:tc>
        <w:tc>
          <w:tcPr>
            <w:tcW w:type="dxa" w:w="4464"/>
            <w:vAlign w:val="center"/>
            <w:shd w:fill="F8FAFC"/>
          </w:tcPr>
          <w:p>
            <w:r/>
            <w:r>
              <w:rPr>
                <w:b w:val="0"/>
                <w:sz w:val="17"/>
              </w:rPr>
              <w:t>Bloqueo correcto con FOR UPDATE y 409.</w:t>
            </w:r>
          </w:p>
        </w:tc>
      </w:tr>
      <w:tr>
        <w:tc>
          <w:tcPr>
            <w:tcW w:type="dxa" w:w="2304"/>
            <w:vAlign w:val="center"/>
          </w:tcPr>
          <w:p>
            <w:r/>
            <w:r>
              <w:rPr>
                <w:b w:val="0"/>
                <w:sz w:val="17"/>
              </w:rPr>
              <w:t>RBAC</w:t>
            </w:r>
          </w:p>
        </w:tc>
        <w:tc>
          <w:tcPr>
            <w:tcW w:type="dxa" w:w="3744"/>
            <w:vAlign w:val="center"/>
          </w:tcPr>
          <w:p>
            <w:r/>
            <w:r>
              <w:rPr>
                <w:b w:val="0"/>
                <w:sz w:val="17"/>
              </w:rPr>
              <w:t>Rutas Lab, QA, Bodega, Admin</w:t>
            </w:r>
          </w:p>
        </w:tc>
        <w:tc>
          <w:tcPr>
            <w:tcW w:type="dxa" w:w="4464"/>
            <w:vAlign w:val="center"/>
          </w:tcPr>
          <w:p>
            <w:r/>
            <w:r>
              <w:rPr>
                <w:b w:val="0"/>
                <w:sz w:val="17"/>
              </w:rPr>
              <w:t>Permisos correctos por rol.</w:t>
            </w:r>
          </w:p>
        </w:tc>
      </w:tr>
    </w:tbl>
    <w:p>
      <w:pPr>
        <w:widowControl/>
      </w:pPr>
    </w:p>
    <w:p>
      <w:pPr>
        <w:widowControl/>
      </w:pPr>
      <w:r>
        <w:rPr>
          <w:rFonts w:ascii="Calibri" w:hAnsi="Calibri" w:eastAsia="Calibri"/>
        </w:rPr>
        <w:br w:type="page"/>
      </w:r>
    </w:p>
    <w:p>
      <w:pPr>
        <w:pStyle w:val="Heading1"/>
        <w:widowControl/>
      </w:pPr>
      <w:r>
        <w:rPr>
          <w:rFonts w:ascii="Calibri" w:hAnsi="Calibri" w:eastAsia="Calibri"/>
        </w:rPr>
        <w:t>Anexo D. Documentación base incorporada</w:t>
      </w:r>
    </w:p>
    <w:tbl>
      <w:tblPr>
        <w:tblStyle w:val="TableGrid"/>
        <w:tblW w:type="auto" w:w="0"/>
        <w:jc w:val="center"/>
        <w:tblLook w:firstColumn="1" w:firstRow="1" w:lastColumn="0" w:lastRow="0" w:noHBand="0" w:noVBand="1" w:val="04A0"/>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5040"/>
        <w:gridCol w:w="5040"/>
      </w:tblGrid>
      <w:tr>
        <w:trPr>
          <w:tblHeader w:val="true"/>
        </w:trPr>
        <w:tc>
          <w:tcPr>
            <w:tcW w:type="dxa" w:w="2592"/>
            <w:vAlign w:val="center"/>
            <w:shd w:fill="002D62"/>
          </w:tcPr>
          <w:p>
            <w:r/>
            <w:r>
              <w:rPr>
                <w:b/>
                <w:color w:val="FFFFFF"/>
                <w:sz w:val="18"/>
              </w:rPr>
              <w:t>Grupo documental</w:t>
            </w:r>
          </w:p>
        </w:tc>
        <w:tc>
          <w:tcPr>
            <w:tcW w:type="dxa" w:w="7920"/>
            <w:vAlign w:val="center"/>
            <w:shd w:fill="002D62"/>
          </w:tcPr>
          <w:p>
            <w:r/>
            <w:r>
              <w:rPr>
                <w:b/>
                <w:color w:val="FFFFFF"/>
                <w:sz w:val="18"/>
              </w:rPr>
              <w:t>Documentos utilizados</w:t>
            </w:r>
          </w:p>
        </w:tc>
      </w:tr>
      <w:tr>
        <w:tc>
          <w:tcPr>
            <w:tcW w:type="dxa" w:w="2592"/>
            <w:vAlign w:val="center"/>
          </w:tcPr>
          <w:p>
            <w:r/>
            <w:r>
              <w:rPr>
                <w:b w:val="0"/>
                <w:sz w:val="17"/>
              </w:rPr>
              <w:t xml:space="preserve">Fuente normativa vigente</w:t>
            </w:r>
          </w:p>
        </w:tc>
        <w:tc>
          <w:tcPr>
            <w:tcW w:type="dxa" w:w="7920"/>
            <w:vAlign w:val="center"/>
          </w:tcPr>
          <w:p>
            <w:r/>
            <w:r>
              <w:rPr>
                <w:b w:val="0"/>
                <w:sz w:val="17"/>
              </w:rPr>
              <w:t xml:space="preserve">Cinco DOCX Capstone v2.0 y README_VIGENCIA_v2.0.md, actualizados manualmente y preservados.</w:t>
            </w:r>
          </w:p>
        </w:tc>
      </w:tr>
      <w:tr>
        <w:tc>
          <w:tcPr>
            <w:tcW w:type="dxa" w:w="2592"/>
            <w:vAlign w:val="center"/>
            <w:shd w:fill="F8FAFC"/>
          </w:tcPr>
          <w:p>
            <w:r/>
            <w:r>
              <w:rPr>
                <w:b w:val="0"/>
                <w:sz w:val="17"/>
              </w:rPr>
              <w:t>Requerimientos</w:t>
            </w:r>
          </w:p>
        </w:tc>
        <w:tc>
          <w:tcPr>
            <w:tcW w:type="dxa" w:w="7920"/>
            <w:vAlign w:val="center"/>
            <w:shd w:fill="F8FAFC"/>
          </w:tcPr>
          <w:p>
            <w:r/>
            <w:r>
              <w:rPr>
                <w:b w:val="0"/>
                <w:sz w:val="17"/>
              </w:rPr>
              <w:t>ERS_PMP_Suite_v5_0.md, Auth_Users, OS, Laboratorio, QA, Bodega, Administración, IA y Matriz de Requerimientos.</w:t>
            </w:r>
          </w:p>
        </w:tc>
      </w:tr>
      <w:tr>
        <w:tc>
          <w:tcPr>
            <w:tcW w:type="dxa" w:w="2592"/>
            <w:vAlign w:val="center"/>
          </w:tcPr>
          <w:p>
            <w:r/>
            <w:r>
              <w:rPr>
                <w:b w:val="0"/>
                <w:sz w:val="17"/>
              </w:rPr>
              <w:t>Arquitectura</w:t>
            </w:r>
          </w:p>
        </w:tc>
        <w:tc>
          <w:tcPr>
            <w:tcW w:type="dxa" w:w="7920"/>
            <w:vAlign w:val="center"/>
          </w:tcPr>
          <w:p>
            <w:r/>
            <w:r>
              <w:rPr>
                <w:b w:val="0"/>
                <w:sz w:val="17"/>
              </w:rPr>
              <w:t>Contexto C4, Backend, Frontend Web, Frontend Mobile, Despliegue, Flujos de Datos, ERD y Deployment Ubuntu.</w:t>
            </w:r>
          </w:p>
        </w:tc>
      </w:tr>
      <w:tr>
        <w:tc>
          <w:tcPr>
            <w:tcW w:type="dxa" w:w="2592"/>
            <w:vAlign w:val="center"/>
            <w:shd w:fill="F8FAFC"/>
          </w:tcPr>
          <w:p>
            <w:r/>
            <w:r>
              <w:rPr>
                <w:b w:val="0"/>
                <w:sz w:val="17"/>
              </w:rPr>
              <w:t>IA</w:t>
            </w:r>
          </w:p>
        </w:tc>
        <w:tc>
          <w:tcPr>
            <w:tcW w:type="dxa" w:w="7920"/>
            <w:vAlign w:val="center"/>
            <w:shd w:fill="F8FAFC"/>
          </w:tcPr>
          <w:p>
            <w:r/>
            <w:r>
              <w:rPr>
                <w:b w:val="0"/>
                <w:sz w:val="17"/>
              </w:rPr>
              <w:t>DOCUMENTACION_IA.md, CASOS_ESTUDIO_IA.md y README del módulo IA.</w:t>
            </w:r>
          </w:p>
        </w:tc>
      </w:tr>
      <w:tr>
        <w:tc>
          <w:tcPr>
            <w:tcW w:type="dxa" w:w="2592"/>
            <w:vAlign w:val="center"/>
          </w:tcPr>
          <w:p>
            <w:r/>
            <w:r>
              <w:rPr>
                <w:b w:val="0"/>
                <w:sz w:val="17"/>
              </w:rPr>
              <w:t>Pruebas</w:t>
            </w:r>
          </w:p>
        </w:tc>
        <w:tc>
          <w:tcPr>
            <w:tcW w:type="dxa" w:w="7920"/>
            <w:vAlign w:val="center"/>
          </w:tcPr>
          <w:p>
            <w:r/>
            <w:r>
              <w:rPr>
                <w:b w:val="0"/>
                <w:sz w:val="17"/>
              </w:rPr>
              <w:t xml:space="preserve">RECEPCION_INICIAL_SIN_OS.md y sus evidencias; INFORME_PRUEBAS.md se conserva como histórico.</w:t>
            </w:r>
          </w:p>
        </w:tc>
      </w:tr>
    </w:tbl>
    <w:p>
      <w:pPr>
        <w:widowControl/>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Página </w:t>
    </w:r>
    <w:r>
      <w:rPr>
        <w:color w:val="646464"/>
        <w:sz w:val="16"/>
      </w:rPr>
      <w:fldChar w:fldCharType="begin"/>
      <w:instrText xml:space="preserve">PAGE</w:instrText>
      <w:fldChar w:fldCharType="end"/>
    </w:r>
    <w:r>
      <w:rPr>
        <w:color w:val="646464"/>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PMP Suite | Informe Final Capstone DUOC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eastAsia="Calibri"/>
      <w:b/>
      <w:bCs/>
      <w:color w:val="002D62"/>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004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646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rPr>
      <w:rFonts w:ascii="Calibri" w:hAnsi="Calibri" w:eastAsia="Calibri"/>
      <w:b/>
      <w:color w:val="002D62"/>
      <w:sz w:val="48"/>
    </w:rPr>
  </w:style>
  <w:style w:type="paragraph" w:customStyle="1" w:styleId="CoverSub">
    <w:name w:val="CoverSub"/>
    <w:rPr>
      <w:rFonts w:ascii="Calibri" w:hAnsi="Calibri" w:eastAsia="Calibri"/>
      <w:b w:val="0"/>
      <w:color w:val="505050"/>
      <w:sz w:val="26"/>
    </w:rPr>
  </w:style>
  <w:style w:type="paragraph" w:customStyle="1" w:styleId="SmallText">
    <w:name w:val="SmallText"/>
    <w:rPr>
      <w:rFonts w:ascii="Calibri" w:hAnsi="Calibri" w:eastAsia="Calibri"/>
      <w:b w:val="0"/>
      <w:color w:val="505050"/>
      <w:sz w:val="17"/>
    </w:rPr>
  </w:style>
  <w:style w:type="paragraph" w:customStyle="1" w:styleId="CodeText">
    <w:name w:val="CodeText"/>
    <w:pPr>
      <w:spacing w:after="20"/>
      <w:ind w:left="288"/>
    </w:pPr>
    <w:rPr>
      <w:rFonts w:ascii="Consolas" w:hAnsi="Consolas" w:eastAsia="Consolas"/>
      <w:b w:val="0"/>
      <w:color w:val="1E1E1E"/>
      <w:sz w:val="17"/>
    </w:rPr>
  </w:style>
  <w:style w:type="paragraph" w:customStyle="1" w:styleId="TOCItem">
    <w:name w:val="TOCItem"/>
    <w:rPr>
      <w:rFonts w:ascii="Calibri" w:hAnsi="Calibri" w:eastAsia="Calibri"/>
      <w:b w:val="0"/>
      <w:color w:val="28282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