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Documentação oficial do sistema EstoqueRevisao</w:t>
      </w:r>
    </w:p>
    <w:p>
      <w:pPr>
        <w:pStyle w:val="Subtitle"/>
      </w:pPr>
      <w:r>
        <w:t>Arquitetura funcionalidades e regras de negócio</w:t>
      </w:r>
    </w:p>
    <w:p>
      <w:pPr/>
      <w:r>
        <w:t>O EstoqueRevisao controla o estoque por produto, lote, validade e local lógico, com rastreabilidade das operações e comunicação entre Revisão, Produção e Expedição. Este documento reúne a referência funcional e técnica para operação, manutenção e evolução do sistema.</w:t>
      </w:r>
    </w:p>
    <w:p>
      <w:pPr/>
      <w:r>
        <w:t>O sistema já oferece envios com reserva e recebimento, revisão e transformação de embalagens, transferências, estorno integral, execução administrativa do PCP e consultas operacionais. A confirmação de uma operação deve preservar saldo, histórico e auditoria na mesma transação. Novas funcionalidades devem respeitar essas invariantes.</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572"/>
        <w:gridCol w:w="6066"/>
      </w:tblGrid>
      <w:tr>
        <w:trPr>
          <w:cantSplit/>
          <w:tblHeader/>
        </w:trPr>
        <w:tc>
          <w:tcPr>
            <w:tcW w:type="dxa" w:w="3572"/>
            <w:vAlign w:val="center"/>
            <w:tcMar>
              <w:top w:w="80" w:type="dxa"/>
              <w:bottom w:w="80" w:type="dxa"/>
              <w:left w:w="100" w:type="dxa"/>
              <w:right w:w="100" w:type="dxa"/>
            </w:tcMar>
            <w:shd w:fill="E6EBF0"/>
          </w:tcPr>
          <w:p>
            <w:pPr>
              <w:keepNext w:val="0"/>
              <w:spacing w:after="0" w:line="250" w:lineRule="auto"/>
            </w:pPr>
            <w:r>
              <w:rPr>
                <w:rFonts w:ascii="Arial" w:hAnsi="Arial"/>
                <w:b/>
                <w:color w:val="000000"/>
                <w:sz w:val="18"/>
              </w:rPr>
              <w:t>Controle</w:t>
            </w:r>
          </w:p>
        </w:tc>
        <w:tc>
          <w:tcPr>
            <w:tcW w:type="dxa" w:w="6066"/>
            <w:vAlign w:val="center"/>
            <w:tcMar>
              <w:top w:w="80" w:type="dxa"/>
              <w:bottom w:w="80" w:type="dxa"/>
              <w:left w:w="100" w:type="dxa"/>
              <w:right w:w="100" w:type="dxa"/>
            </w:tcMar>
            <w:shd w:fill="E6EBF0"/>
          </w:tcPr>
          <w:p>
            <w:pPr>
              <w:keepNext w:val="0"/>
              <w:spacing w:after="0" w:line="250" w:lineRule="auto"/>
            </w:pPr>
            <w:r>
              <w:rPr>
                <w:rFonts w:ascii="Arial" w:hAnsi="Arial"/>
                <w:b/>
                <w:color w:val="000000"/>
                <w:sz w:val="18"/>
              </w:rPr>
              <w:t>Valor</w:t>
            </w:r>
          </w:p>
        </w:tc>
      </w:tr>
      <w:tr>
        <w:trPr>
          <w:cantSplit/>
        </w:trPr>
        <w:tc>
          <w:tcPr>
            <w:tcW w:type="dxa" w:w="3572"/>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Sistema</w:t>
            </w:r>
          </w:p>
        </w:tc>
        <w:tc>
          <w:tcPr>
            <w:tcW w:type="dxa" w:w="6066"/>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EstoqueRevisao</w:t>
            </w:r>
          </w:p>
        </w:tc>
      </w:tr>
      <w:tr>
        <w:trPr>
          <w:cantSplit/>
        </w:trPr>
        <w:tc>
          <w:tcPr>
            <w:tcW w:type="dxa" w:w="3572"/>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Identificador</w:t>
            </w:r>
          </w:p>
        </w:tc>
        <w:tc>
          <w:tcPr>
            <w:tcW w:type="dxa" w:w="6066"/>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DOC ER 001</w:t>
            </w:r>
          </w:p>
        </w:tc>
      </w:tr>
      <w:tr>
        <w:trPr>
          <w:cantSplit/>
        </w:trPr>
        <w:tc>
          <w:tcPr>
            <w:tcW w:type="dxa" w:w="3572"/>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Versão documental</w:t>
            </w:r>
          </w:p>
        </w:tc>
        <w:tc>
          <w:tcPr>
            <w:tcW w:type="dxa" w:w="6066"/>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1.0</w:t>
            </w:r>
          </w:p>
        </w:tc>
      </w:tr>
      <w:tr>
        <w:trPr>
          <w:cantSplit/>
        </w:trPr>
        <w:tc>
          <w:tcPr>
            <w:tcW w:type="dxa" w:w="3572"/>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Data de emissão</w:t>
            </w:r>
          </w:p>
        </w:tc>
        <w:tc>
          <w:tcPr>
            <w:tcW w:type="dxa" w:w="6066"/>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02 de outubro de 2026</w:t>
            </w:r>
          </w:p>
        </w:tc>
      </w:tr>
      <w:tr>
        <w:trPr>
          <w:cantSplit/>
        </w:trPr>
        <w:tc>
          <w:tcPr>
            <w:tcW w:type="dxa" w:w="3572"/>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Referência do repositório</w:t>
            </w:r>
          </w:p>
        </w:tc>
        <w:tc>
          <w:tcPr>
            <w:tcW w:type="dxa" w:w="6066"/>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Branch develop e commit 8d512c0</w:t>
            </w:r>
          </w:p>
        </w:tc>
      </w:tr>
      <w:tr>
        <w:trPr>
          <w:cantSplit/>
        </w:trPr>
        <w:tc>
          <w:tcPr>
            <w:tcW w:type="dxa" w:w="3572"/>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Base documental</w:t>
            </w:r>
          </w:p>
        </w:tc>
        <w:tc>
          <w:tcPr>
            <w:tcW w:type="dxa" w:w="6066"/>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Arquitetura, Funcionalidades, Regras de negócio e complementos até a etapa 63</w:t>
            </w:r>
          </w:p>
        </w:tc>
      </w:tr>
      <w:tr>
        <w:trPr>
          <w:cantSplit/>
        </w:trPr>
        <w:tc>
          <w:tcPr>
            <w:tcW w:type="dxa" w:w="3572"/>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Público</w:t>
            </w:r>
          </w:p>
        </w:tc>
        <w:tc>
          <w:tcPr>
            <w:tcW w:type="dxa" w:w="6066"/>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Operadores, administradores, PCP, desenvolvimento e manutenção</w:t>
            </w:r>
          </w:p>
        </w:tc>
      </w:tr>
    </w:tbl>
    <w:p>
      <w:pPr>
        <w:keepNext/>
        <w:spacing w:after="60" w:before="0" w:line="240" w:lineRule="auto"/>
      </w:pPr>
      <w:r>
        <w:rPr>
          <w:sz w:val="4"/>
        </w:rPr>
      </w:r>
    </w:p>
    <w:p>
      <w:pPr>
        <w:pStyle w:val="Heading2"/>
      </w:pPr>
      <w:r>
        <w:t>Uso e controle da referência</w:t>
      </w:r>
    </w:p>
    <w:p>
      <w:pPr/>
      <w:r>
        <w:t>Os identificadores F, RN e AR organizam funcionalidades, regras de negócio e decisões arquiteturais nesta edição. Eles permitem vincular as entregas e pendências do backlog à referência consolidada.</w:t>
      </w:r>
    </w:p>
    <w:p>
      <w:pPr/>
      <w:r>
        <w:t>A versão 1.0 descreve o comportamento vigente documentado no projeto. A emissão não representa homologação, aprovação gerencial ou certificação de segurança. Mudanças de comportamento devem atualizar os documentos canônicos e gerar uma nova versão desta entrega.</w:t>
      </w:r>
    </w:p>
    <w:p>
      <w:pPr/>
      <w:r>
        <w:t>O backlog é um documento complementar de planejamento. Seus itens propostos não ampliam as regras vigentes nem representam compromisso de prazo.</w:t>
      </w:r>
    </w:p>
    <w:p>
      <w:pPr>
        <w:pStyle w:val="Heading1"/>
      </w:pPr>
      <w:r>
        <w:t>1 Escopo e funcionalidades disponíveis</w:t>
      </w:r>
    </w:p>
    <w:p>
      <w:pPr/>
      <w:r>
        <w:t>O estoque controlado pertence aos locais internos da Revisão. Produção e Expedição participam dos fluxos setoriais, sem receber posições de saldo interno. PCP acompanha as operações concluídas e registra execução administrativa, sem movimentar mercadorias.</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822"/>
        <w:gridCol w:w="3969"/>
        <w:gridCol w:w="4847"/>
      </w:tblGrid>
      <w:tr>
        <w:trPr>
          <w:cantSplit/>
          <w:tblHeader/>
        </w:trPr>
        <w:tc>
          <w:tcPr>
            <w:tcW w:type="dxa" w:w="822"/>
            <w:vAlign w:val="center"/>
            <w:tcMar>
              <w:top w:w="80" w:type="dxa"/>
              <w:bottom w:w="80" w:type="dxa"/>
              <w:left w:w="100" w:type="dxa"/>
              <w:right w:w="100" w:type="dxa"/>
            </w:tcMar>
            <w:shd w:fill="E6EBF0"/>
          </w:tcPr>
          <w:p>
            <w:pPr>
              <w:keepNext w:val="0"/>
              <w:spacing w:after="0" w:line="250" w:lineRule="auto"/>
              <w:jc w:val="center"/>
            </w:pPr>
            <w:r>
              <w:rPr>
                <w:rFonts w:ascii="Arial" w:hAnsi="Arial"/>
                <w:b/>
                <w:color w:val="000000"/>
                <w:sz w:val="18"/>
              </w:rPr>
              <w:t>ID</w:t>
            </w:r>
          </w:p>
        </w:tc>
        <w:tc>
          <w:tcPr>
            <w:tcW w:type="dxa" w:w="3969"/>
            <w:vAlign w:val="center"/>
            <w:tcMar>
              <w:top w:w="80" w:type="dxa"/>
              <w:bottom w:w="80" w:type="dxa"/>
              <w:left w:w="100" w:type="dxa"/>
              <w:right w:w="100" w:type="dxa"/>
            </w:tcMar>
            <w:shd w:fill="E6EBF0"/>
          </w:tcPr>
          <w:p>
            <w:pPr>
              <w:keepNext w:val="0"/>
              <w:spacing w:after="0" w:line="250" w:lineRule="auto"/>
            </w:pPr>
            <w:r>
              <w:rPr>
                <w:rFonts w:ascii="Arial" w:hAnsi="Arial"/>
                <w:b/>
                <w:color w:val="000000"/>
                <w:sz w:val="18"/>
              </w:rPr>
              <w:t>Funcionalidade</w:t>
            </w:r>
          </w:p>
        </w:tc>
        <w:tc>
          <w:tcPr>
            <w:tcW w:type="dxa" w:w="4847"/>
            <w:vAlign w:val="center"/>
            <w:tcMar>
              <w:top w:w="80" w:type="dxa"/>
              <w:bottom w:w="80" w:type="dxa"/>
              <w:left w:w="100" w:type="dxa"/>
              <w:right w:w="100" w:type="dxa"/>
            </w:tcMar>
            <w:shd w:fill="E6EBF0"/>
          </w:tcPr>
          <w:p>
            <w:pPr>
              <w:keepNext w:val="0"/>
              <w:spacing w:after="0" w:line="250" w:lineRule="auto"/>
            </w:pPr>
            <w:r>
              <w:rPr>
                <w:rFonts w:ascii="Arial" w:hAnsi="Arial"/>
                <w:b/>
                <w:color w:val="000000"/>
                <w:sz w:val="18"/>
              </w:rPr>
              <w:t>Comportamento disponível</w:t>
            </w:r>
          </w:p>
        </w:tc>
      </w:tr>
      <w:tr>
        <w:trPr>
          <w:cantSplit/>
        </w:trPr>
        <w:tc>
          <w:tcPr>
            <w:tcW w:type="dxa" w:w="822"/>
            <w:vAlign w:val="center"/>
            <w:tcMar>
              <w:top w:w="80" w:type="dxa"/>
              <w:bottom w:w="80" w:type="dxa"/>
              <w:left w:w="100" w:type="dxa"/>
              <w:right w:w="100" w:type="dxa"/>
            </w:tcMar>
            <w:shd w:fill="FFFFFF"/>
          </w:tcPr>
          <w:p>
            <w:pPr>
              <w:keepNext w:val="0"/>
              <w:spacing w:after="0" w:line="250" w:lineRule="auto"/>
              <w:jc w:val="center"/>
            </w:pPr>
            <w:r>
              <w:rPr>
                <w:rFonts w:ascii="Arial" w:hAnsi="Arial"/>
                <w:b w:val="0"/>
                <w:color w:val="000000"/>
                <w:sz w:val="18"/>
              </w:rPr>
              <w:t>F01</w:t>
            </w:r>
          </w:p>
        </w:tc>
        <w:tc>
          <w:tcPr>
            <w:tcW w:type="dxa" w:w="3969"/>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Acesso e sessão</w:t>
            </w:r>
          </w:p>
        </w:tc>
        <w:tc>
          <w:tcPr>
            <w:tcW w:type="dxa" w:w="4847"/>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Login, refresh rotativo, logout e recuperação da sessão</w:t>
            </w:r>
          </w:p>
        </w:tc>
      </w:tr>
      <w:tr>
        <w:trPr>
          <w:cantSplit/>
        </w:trPr>
        <w:tc>
          <w:tcPr>
            <w:tcW w:type="dxa" w:w="822"/>
            <w:vAlign w:val="center"/>
            <w:tcMar>
              <w:top w:w="80" w:type="dxa"/>
              <w:bottom w:w="80" w:type="dxa"/>
              <w:left w:w="100" w:type="dxa"/>
              <w:right w:w="100" w:type="dxa"/>
            </w:tcMar>
            <w:shd w:fill="FFFFFF"/>
          </w:tcPr>
          <w:p>
            <w:pPr>
              <w:keepNext w:val="0"/>
              <w:spacing w:after="0" w:line="250" w:lineRule="auto"/>
              <w:jc w:val="center"/>
            </w:pPr>
            <w:r>
              <w:rPr>
                <w:rFonts w:ascii="Arial" w:hAnsi="Arial"/>
                <w:b w:val="0"/>
                <w:color w:val="000000"/>
                <w:sz w:val="18"/>
              </w:rPr>
              <w:t>F02</w:t>
            </w:r>
          </w:p>
        </w:tc>
        <w:tc>
          <w:tcPr>
            <w:tcW w:type="dxa" w:w="3969"/>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Perfis e usuários</w:t>
            </w:r>
          </w:p>
        </w:tc>
        <w:tc>
          <w:tcPr>
            <w:tcW w:type="dxa" w:w="4847"/>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Gestão administrativa, inativação e alternância de modo</w:t>
            </w:r>
          </w:p>
        </w:tc>
      </w:tr>
      <w:tr>
        <w:trPr>
          <w:cantSplit/>
        </w:trPr>
        <w:tc>
          <w:tcPr>
            <w:tcW w:type="dxa" w:w="822"/>
            <w:vAlign w:val="center"/>
            <w:tcMar>
              <w:top w:w="80" w:type="dxa"/>
              <w:bottom w:w="80" w:type="dxa"/>
              <w:left w:w="100" w:type="dxa"/>
              <w:right w:w="100" w:type="dxa"/>
            </w:tcMar>
            <w:shd w:fill="FFFFFF"/>
          </w:tcPr>
          <w:p>
            <w:pPr>
              <w:keepNext w:val="0"/>
              <w:spacing w:after="0" w:line="250" w:lineRule="auto"/>
              <w:jc w:val="center"/>
            </w:pPr>
            <w:r>
              <w:rPr>
                <w:rFonts w:ascii="Arial" w:hAnsi="Arial"/>
                <w:b w:val="0"/>
                <w:color w:val="000000"/>
                <w:sz w:val="18"/>
              </w:rPr>
              <w:t>F03</w:t>
            </w:r>
          </w:p>
        </w:tc>
        <w:tc>
          <w:tcPr>
            <w:tcW w:type="dxa" w:w="3969"/>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Produtos</w:t>
            </w:r>
          </w:p>
        </w:tc>
        <w:tc>
          <w:tcPr>
            <w:tcW w:type="dxa" w:w="4847"/>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Cadastro, prazo, gramatura, vínculos UN e conversões</w:t>
            </w:r>
          </w:p>
        </w:tc>
      </w:tr>
      <w:tr>
        <w:trPr>
          <w:cantSplit/>
        </w:trPr>
        <w:tc>
          <w:tcPr>
            <w:tcW w:type="dxa" w:w="822"/>
            <w:vAlign w:val="center"/>
            <w:tcMar>
              <w:top w:w="80" w:type="dxa"/>
              <w:bottom w:w="80" w:type="dxa"/>
              <w:left w:w="100" w:type="dxa"/>
              <w:right w:w="100" w:type="dxa"/>
            </w:tcMar>
            <w:shd w:fill="FFFFFF"/>
          </w:tcPr>
          <w:p>
            <w:pPr>
              <w:keepNext w:val="0"/>
              <w:spacing w:after="0" w:line="250" w:lineRule="auto"/>
              <w:jc w:val="center"/>
            </w:pPr>
            <w:r>
              <w:rPr>
                <w:rFonts w:ascii="Arial" w:hAnsi="Arial"/>
                <w:b w:val="0"/>
                <w:color w:val="000000"/>
                <w:sz w:val="18"/>
              </w:rPr>
              <w:t>F04</w:t>
            </w:r>
          </w:p>
        </w:tc>
        <w:tc>
          <w:tcPr>
            <w:tcW w:type="dxa" w:w="3969"/>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Lotes operacionais</w:t>
            </w:r>
          </w:p>
        </w:tc>
        <w:tc>
          <w:tcPr>
            <w:tcW w:type="dxa" w:w="4847"/>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Resolução CONSERVADI, datas e variantes por validade</w:t>
            </w:r>
          </w:p>
        </w:tc>
      </w:tr>
      <w:tr>
        <w:trPr>
          <w:cantSplit/>
        </w:trPr>
        <w:tc>
          <w:tcPr>
            <w:tcW w:type="dxa" w:w="822"/>
            <w:vAlign w:val="center"/>
            <w:tcMar>
              <w:top w:w="80" w:type="dxa"/>
              <w:bottom w:w="80" w:type="dxa"/>
              <w:left w:w="100" w:type="dxa"/>
              <w:right w:w="100" w:type="dxa"/>
            </w:tcMar>
            <w:shd w:fill="FFFFFF"/>
          </w:tcPr>
          <w:p>
            <w:pPr>
              <w:keepNext w:val="0"/>
              <w:spacing w:after="0" w:line="250" w:lineRule="auto"/>
              <w:jc w:val="center"/>
            </w:pPr>
            <w:r>
              <w:rPr>
                <w:rFonts w:ascii="Arial" w:hAnsi="Arial"/>
                <w:b w:val="0"/>
                <w:color w:val="000000"/>
                <w:sz w:val="18"/>
              </w:rPr>
              <w:t>F05</w:t>
            </w:r>
          </w:p>
        </w:tc>
        <w:tc>
          <w:tcPr>
            <w:tcW w:type="dxa" w:w="3969"/>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Locais e saldos</w:t>
            </w:r>
          </w:p>
        </w:tc>
        <w:tc>
          <w:tcPr>
            <w:tcW w:type="dxa" w:w="4847"/>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Hierarquia, posições e consulta de estoque e validades</w:t>
            </w:r>
          </w:p>
        </w:tc>
      </w:tr>
      <w:tr>
        <w:trPr>
          <w:cantSplit/>
        </w:trPr>
        <w:tc>
          <w:tcPr>
            <w:tcW w:type="dxa" w:w="822"/>
            <w:vAlign w:val="center"/>
            <w:tcMar>
              <w:top w:w="80" w:type="dxa"/>
              <w:bottom w:w="80" w:type="dxa"/>
              <w:left w:w="100" w:type="dxa"/>
              <w:right w:w="100" w:type="dxa"/>
            </w:tcMar>
            <w:shd w:fill="FFFFFF"/>
          </w:tcPr>
          <w:p>
            <w:pPr>
              <w:keepNext w:val="0"/>
              <w:spacing w:after="0" w:line="250" w:lineRule="auto"/>
              <w:jc w:val="center"/>
            </w:pPr>
            <w:r>
              <w:rPr>
                <w:rFonts w:ascii="Arial" w:hAnsi="Arial"/>
                <w:b w:val="0"/>
                <w:color w:val="000000"/>
                <w:sz w:val="18"/>
              </w:rPr>
              <w:t>F06</w:t>
            </w:r>
          </w:p>
        </w:tc>
        <w:tc>
          <w:tcPr>
            <w:tcW w:type="dxa" w:w="3969"/>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Envios setoriais</w:t>
            </w:r>
          </w:p>
        </w:tc>
        <w:tc>
          <w:tcPr>
            <w:tcW w:type="dxa" w:w="4847"/>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Criação, reserva, aceite, recusa e cancelamento pelo autor</w:t>
            </w:r>
          </w:p>
        </w:tc>
      </w:tr>
      <w:tr>
        <w:trPr>
          <w:cantSplit/>
        </w:trPr>
        <w:tc>
          <w:tcPr>
            <w:tcW w:type="dxa" w:w="822"/>
            <w:vAlign w:val="center"/>
            <w:tcMar>
              <w:top w:w="80" w:type="dxa"/>
              <w:bottom w:w="80" w:type="dxa"/>
              <w:left w:w="100" w:type="dxa"/>
              <w:right w:w="100" w:type="dxa"/>
            </w:tcMar>
            <w:shd w:fill="FFFFFF"/>
          </w:tcPr>
          <w:p>
            <w:pPr>
              <w:keepNext w:val="0"/>
              <w:spacing w:after="0" w:line="250" w:lineRule="auto"/>
              <w:jc w:val="center"/>
            </w:pPr>
            <w:r>
              <w:rPr>
                <w:rFonts w:ascii="Arial" w:hAnsi="Arial"/>
                <w:b w:val="0"/>
                <w:color w:val="000000"/>
                <w:sz w:val="18"/>
              </w:rPr>
              <w:t>F07</w:t>
            </w:r>
          </w:p>
        </w:tc>
        <w:tc>
          <w:tcPr>
            <w:tcW w:type="dxa" w:w="3969"/>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Evidências</w:t>
            </w:r>
          </w:p>
        </w:tc>
        <w:tc>
          <w:tcPr>
            <w:tcW w:type="dxa" w:w="4847"/>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Fotos privadas, observações e situação de carregamento</w:t>
            </w:r>
          </w:p>
        </w:tc>
      </w:tr>
      <w:tr>
        <w:trPr>
          <w:cantSplit/>
        </w:trPr>
        <w:tc>
          <w:tcPr>
            <w:tcW w:type="dxa" w:w="822"/>
            <w:vAlign w:val="center"/>
            <w:tcMar>
              <w:top w:w="80" w:type="dxa"/>
              <w:bottom w:w="80" w:type="dxa"/>
              <w:left w:w="100" w:type="dxa"/>
              <w:right w:w="100" w:type="dxa"/>
            </w:tcMar>
            <w:shd w:fill="FFFFFF"/>
          </w:tcPr>
          <w:p>
            <w:pPr>
              <w:keepNext w:val="0"/>
              <w:spacing w:after="0" w:line="250" w:lineRule="auto"/>
              <w:jc w:val="center"/>
            </w:pPr>
            <w:r>
              <w:rPr>
                <w:rFonts w:ascii="Arial" w:hAnsi="Arial"/>
                <w:b w:val="0"/>
                <w:color w:val="000000"/>
                <w:sz w:val="18"/>
              </w:rPr>
              <w:t>F08</w:t>
            </w:r>
          </w:p>
        </w:tc>
        <w:tc>
          <w:tcPr>
            <w:tcW w:type="dxa" w:w="3969"/>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Separação imediata</w:t>
            </w:r>
          </w:p>
        </w:tc>
        <w:tc>
          <w:tcPr>
            <w:tcW w:type="dxa" w:w="4847"/>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Recebimento líquido e retorno derivado com prazo</w:t>
            </w:r>
          </w:p>
        </w:tc>
      </w:tr>
      <w:tr>
        <w:trPr>
          <w:cantSplit/>
        </w:trPr>
        <w:tc>
          <w:tcPr>
            <w:tcW w:type="dxa" w:w="822"/>
            <w:vAlign w:val="center"/>
            <w:tcMar>
              <w:top w:w="80" w:type="dxa"/>
              <w:bottom w:w="80" w:type="dxa"/>
              <w:left w:w="100" w:type="dxa"/>
              <w:right w:w="100" w:type="dxa"/>
            </w:tcMar>
            <w:shd w:fill="FFFFFF"/>
          </w:tcPr>
          <w:p>
            <w:pPr>
              <w:keepNext w:val="0"/>
              <w:spacing w:after="0" w:line="250" w:lineRule="auto"/>
              <w:jc w:val="center"/>
            </w:pPr>
            <w:r>
              <w:rPr>
                <w:rFonts w:ascii="Arial" w:hAnsi="Arial"/>
                <w:b w:val="0"/>
                <w:color w:val="000000"/>
                <w:sz w:val="18"/>
              </w:rPr>
              <w:t>F09</w:t>
            </w:r>
          </w:p>
        </w:tc>
        <w:tc>
          <w:tcPr>
            <w:tcW w:type="dxa" w:w="3969"/>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Montagem de embalagens</w:t>
            </w:r>
          </w:p>
        </w:tc>
        <w:tc>
          <w:tcPr>
            <w:tcW w:type="dxa" w:w="4847"/>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UN para FD ou CX em envio Revisão para Expedição</w:t>
            </w:r>
          </w:p>
        </w:tc>
      </w:tr>
      <w:tr>
        <w:trPr>
          <w:cantSplit/>
        </w:trPr>
        <w:tc>
          <w:tcPr>
            <w:tcW w:type="dxa" w:w="822"/>
            <w:vAlign w:val="center"/>
            <w:tcMar>
              <w:top w:w="80" w:type="dxa"/>
              <w:bottom w:w="80" w:type="dxa"/>
              <w:left w:w="100" w:type="dxa"/>
              <w:right w:w="100" w:type="dxa"/>
            </w:tcMar>
            <w:shd w:fill="FFFFFF"/>
          </w:tcPr>
          <w:p>
            <w:pPr>
              <w:keepNext w:val="0"/>
              <w:spacing w:after="0" w:line="250" w:lineRule="auto"/>
              <w:jc w:val="center"/>
            </w:pPr>
            <w:r>
              <w:rPr>
                <w:rFonts w:ascii="Arial" w:hAnsi="Arial"/>
                <w:b w:val="0"/>
                <w:color w:val="000000"/>
                <w:sz w:val="18"/>
              </w:rPr>
              <w:t>F10</w:t>
            </w:r>
          </w:p>
        </w:tc>
        <w:tc>
          <w:tcPr>
            <w:tcW w:type="dxa" w:w="3969"/>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Entrada e saída direta</w:t>
            </w:r>
          </w:p>
        </w:tc>
        <w:tc>
          <w:tcPr>
            <w:tcW w:type="dxa" w:w="4847"/>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Lançamento administrativo imediato e auditado</w:t>
            </w:r>
          </w:p>
        </w:tc>
      </w:tr>
      <w:tr>
        <w:trPr>
          <w:cantSplit/>
        </w:trPr>
        <w:tc>
          <w:tcPr>
            <w:tcW w:type="dxa" w:w="822"/>
            <w:vAlign w:val="center"/>
            <w:tcMar>
              <w:top w:w="80" w:type="dxa"/>
              <w:bottom w:w="80" w:type="dxa"/>
              <w:left w:w="100" w:type="dxa"/>
              <w:right w:w="100" w:type="dxa"/>
            </w:tcMar>
            <w:shd w:fill="FFFFFF"/>
          </w:tcPr>
          <w:p>
            <w:pPr>
              <w:keepNext w:val="0"/>
              <w:spacing w:after="0" w:line="250" w:lineRule="auto"/>
              <w:jc w:val="center"/>
            </w:pPr>
            <w:r>
              <w:rPr>
                <w:rFonts w:ascii="Arial" w:hAnsi="Arial"/>
                <w:b w:val="0"/>
                <w:color w:val="000000"/>
                <w:sz w:val="18"/>
              </w:rPr>
              <w:t>F11</w:t>
            </w:r>
          </w:p>
        </w:tc>
        <w:tc>
          <w:tcPr>
            <w:tcW w:type="dxa" w:w="3969"/>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Transferência interna</w:t>
            </w:r>
          </w:p>
        </w:tc>
        <w:tc>
          <w:tcPr>
            <w:tcW w:type="dxa" w:w="4847"/>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Alteração de local, de lote ou de ambos</w:t>
            </w:r>
          </w:p>
        </w:tc>
      </w:tr>
      <w:tr>
        <w:trPr>
          <w:cantSplit/>
        </w:trPr>
        <w:tc>
          <w:tcPr>
            <w:tcW w:type="dxa" w:w="822"/>
            <w:vAlign w:val="center"/>
            <w:tcMar>
              <w:top w:w="80" w:type="dxa"/>
              <w:bottom w:w="80" w:type="dxa"/>
              <w:left w:w="100" w:type="dxa"/>
              <w:right w:w="100" w:type="dxa"/>
            </w:tcMar>
            <w:shd w:fill="FFFFFF"/>
          </w:tcPr>
          <w:p>
            <w:pPr>
              <w:keepNext w:val="0"/>
              <w:spacing w:after="0" w:line="250" w:lineRule="auto"/>
              <w:jc w:val="center"/>
            </w:pPr>
            <w:r>
              <w:rPr>
                <w:rFonts w:ascii="Arial" w:hAnsi="Arial"/>
                <w:b w:val="0"/>
                <w:color w:val="000000"/>
                <w:sz w:val="18"/>
              </w:rPr>
              <w:t>F12</w:t>
            </w:r>
          </w:p>
        </w:tc>
        <w:tc>
          <w:tcPr>
            <w:tcW w:type="dxa" w:w="3969"/>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Revisão e desmontagem</w:t>
            </w:r>
          </w:p>
        </w:tc>
        <w:tc>
          <w:tcPr>
            <w:tcW w:type="dxa" w:w="4847"/>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Distribuição por destino e conversão FD ou CX para UN</w:t>
            </w:r>
          </w:p>
        </w:tc>
      </w:tr>
      <w:tr>
        <w:trPr>
          <w:cantSplit/>
        </w:trPr>
        <w:tc>
          <w:tcPr>
            <w:tcW w:type="dxa" w:w="822"/>
            <w:vAlign w:val="center"/>
            <w:tcMar>
              <w:top w:w="80" w:type="dxa"/>
              <w:bottom w:w="80" w:type="dxa"/>
              <w:left w:w="100" w:type="dxa"/>
              <w:right w:w="100" w:type="dxa"/>
            </w:tcMar>
            <w:shd w:fill="FFFFFF"/>
          </w:tcPr>
          <w:p>
            <w:pPr>
              <w:keepNext w:val="0"/>
              <w:spacing w:after="0" w:line="250" w:lineRule="auto"/>
              <w:jc w:val="center"/>
            </w:pPr>
            <w:r>
              <w:rPr>
                <w:rFonts w:ascii="Arial" w:hAnsi="Arial"/>
                <w:b w:val="0"/>
                <w:color w:val="000000"/>
                <w:sz w:val="18"/>
              </w:rPr>
              <w:t>F13</w:t>
            </w:r>
          </w:p>
        </w:tc>
        <w:tc>
          <w:tcPr>
            <w:tcW w:type="dxa" w:w="3969"/>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Cancelamento e estorno</w:t>
            </w:r>
          </w:p>
        </w:tc>
        <w:tc>
          <w:tcPr>
            <w:tcW w:type="dxa" w:w="4847"/>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Reversão integral de movimentações elegíveis</w:t>
            </w:r>
          </w:p>
        </w:tc>
      </w:tr>
      <w:tr>
        <w:trPr>
          <w:cantSplit/>
        </w:trPr>
        <w:tc>
          <w:tcPr>
            <w:tcW w:type="dxa" w:w="822"/>
            <w:vAlign w:val="center"/>
            <w:tcMar>
              <w:top w:w="80" w:type="dxa"/>
              <w:bottom w:w="80" w:type="dxa"/>
              <w:left w:w="100" w:type="dxa"/>
              <w:right w:w="100" w:type="dxa"/>
            </w:tcMar>
            <w:shd w:fill="FFFFFF"/>
          </w:tcPr>
          <w:p>
            <w:pPr>
              <w:keepNext w:val="0"/>
              <w:spacing w:after="0" w:line="250" w:lineRule="auto"/>
              <w:jc w:val="center"/>
            </w:pPr>
            <w:r>
              <w:rPr>
                <w:rFonts w:ascii="Arial" w:hAnsi="Arial"/>
                <w:b w:val="0"/>
                <w:color w:val="000000"/>
                <w:sz w:val="18"/>
              </w:rPr>
              <w:t>F14</w:t>
            </w:r>
          </w:p>
        </w:tc>
        <w:tc>
          <w:tcPr>
            <w:tcW w:type="dxa" w:w="3969"/>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Histórico e PCP</w:t>
            </w:r>
          </w:p>
        </w:tc>
        <w:tc>
          <w:tcPr>
            <w:tcW w:type="dxa" w:w="4847"/>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Consulta por registro ou grupo e execução individual</w:t>
            </w:r>
          </w:p>
        </w:tc>
      </w:tr>
      <w:tr>
        <w:trPr>
          <w:cantSplit/>
        </w:trPr>
        <w:tc>
          <w:tcPr>
            <w:tcW w:type="dxa" w:w="822"/>
            <w:vAlign w:val="center"/>
            <w:tcMar>
              <w:top w:w="80" w:type="dxa"/>
              <w:bottom w:w="80" w:type="dxa"/>
              <w:left w:w="100" w:type="dxa"/>
              <w:right w:w="100" w:type="dxa"/>
            </w:tcMar>
            <w:shd w:fill="FFFFFF"/>
          </w:tcPr>
          <w:p>
            <w:pPr>
              <w:keepNext w:val="0"/>
              <w:spacing w:after="0" w:line="250" w:lineRule="auto"/>
              <w:jc w:val="center"/>
            </w:pPr>
            <w:r>
              <w:rPr>
                <w:rFonts w:ascii="Arial" w:hAnsi="Arial"/>
                <w:b w:val="0"/>
                <w:color w:val="000000"/>
                <w:sz w:val="18"/>
              </w:rPr>
              <w:t>F15</w:t>
            </w:r>
          </w:p>
        </w:tc>
        <w:tc>
          <w:tcPr>
            <w:tcW w:type="dxa" w:w="3969"/>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Relatórios</w:t>
            </w:r>
          </w:p>
        </w:tc>
        <w:tc>
          <w:tcPr>
            <w:tcW w:type="dxa" w:w="4847"/>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Movimentações, revisões, estoque e CSV pela API</w:t>
            </w:r>
          </w:p>
        </w:tc>
      </w:tr>
      <w:tr>
        <w:trPr>
          <w:cantSplit/>
        </w:trPr>
        <w:tc>
          <w:tcPr>
            <w:tcW w:type="dxa" w:w="822"/>
            <w:vAlign w:val="center"/>
            <w:tcMar>
              <w:top w:w="80" w:type="dxa"/>
              <w:bottom w:w="80" w:type="dxa"/>
              <w:left w:w="100" w:type="dxa"/>
              <w:right w:w="100" w:type="dxa"/>
            </w:tcMar>
            <w:shd w:fill="FFFFFF"/>
          </w:tcPr>
          <w:p>
            <w:pPr>
              <w:keepNext w:val="0"/>
              <w:spacing w:after="0" w:line="250" w:lineRule="auto"/>
              <w:jc w:val="center"/>
            </w:pPr>
            <w:r>
              <w:rPr>
                <w:rFonts w:ascii="Arial" w:hAnsi="Arial"/>
                <w:b w:val="0"/>
                <w:color w:val="000000"/>
                <w:sz w:val="18"/>
              </w:rPr>
              <w:t>F16</w:t>
            </w:r>
          </w:p>
        </w:tc>
        <w:tc>
          <w:tcPr>
            <w:tcW w:type="dxa" w:w="3969"/>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Experiência operacional</w:t>
            </w:r>
          </w:p>
        </w:tc>
        <w:tc>
          <w:tcPr>
            <w:tcW w:type="dxa" w:w="4847"/>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Home, preferências, presença e interface responsiva</w:t>
            </w:r>
          </w:p>
        </w:tc>
      </w:tr>
    </w:tbl>
    <w:p>
      <w:pPr>
        <w:keepNext/>
        <w:spacing w:after="60" w:before="0" w:line="240" w:lineRule="auto"/>
      </w:pPr>
      <w:r>
        <w:rPr>
          <w:sz w:val="4"/>
        </w:rPr>
      </w:r>
    </w:p>
    <w:p>
      <w:pPr>
        <w:pStyle w:val="Heading2"/>
      </w:pPr>
      <w:r>
        <w:t>Limites do escopo</w:t>
      </w:r>
    </w:p>
    <w:p>
      <w:pPr/>
      <w:r>
        <w:t>Notificações externas, transformação específica do Varejo, mapa físico detalhado, reversão automática encadeada, perfis personalizados e análises avançadas permanecem fora do escopo implementado. Os relatórios possuem consultas na interface; seus endpoints CSV ainda não têm interface de exportação.</w:t>
      </w:r>
    </w:p>
    <w:p>
      <w:pPr>
        <w:pStyle w:val="Heading1"/>
      </w:pPr>
      <w:r>
        <w:t>2 Acesso perfis e sessão</w:t>
      </w:r>
    </w:p>
    <w:p>
      <w:pPr>
        <w:pStyle w:val="Heading2"/>
      </w:pPr>
      <w:r>
        <w:t>RN01 Autoridade e contexto operacional</w:t>
      </w:r>
    </w:p>
    <w:p>
      <w:pPr/>
      <w:r>
        <w:t>A API valida identidade, sessão, permissão, setor e modo operacional. Ocultar uma ação na interface não substitui autorização. O setor é recuperado da sessão no banco; um campo comum da operação não pode substituí-lo. PCP não é origem nem destino de mercadoria.</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572"/>
        <w:gridCol w:w="6066"/>
      </w:tblGrid>
      <w:tr>
        <w:trPr>
          <w:cantSplit/>
          <w:tblHeader/>
        </w:trPr>
        <w:tc>
          <w:tcPr>
            <w:tcW w:type="dxa" w:w="3572"/>
            <w:vAlign w:val="center"/>
            <w:tcMar>
              <w:top w:w="80" w:type="dxa"/>
              <w:bottom w:w="80" w:type="dxa"/>
              <w:left w:w="100" w:type="dxa"/>
              <w:right w:w="100" w:type="dxa"/>
            </w:tcMar>
            <w:shd w:fill="E6EBF0"/>
          </w:tcPr>
          <w:p>
            <w:pPr>
              <w:keepNext w:val="0"/>
              <w:spacing w:after="0" w:line="250" w:lineRule="auto"/>
            </w:pPr>
            <w:r>
              <w:rPr>
                <w:rFonts w:ascii="Arial" w:hAnsi="Arial"/>
                <w:b/>
                <w:color w:val="000000"/>
                <w:sz w:val="18"/>
              </w:rPr>
              <w:t>Perfil</w:t>
            </w:r>
          </w:p>
        </w:tc>
        <w:tc>
          <w:tcPr>
            <w:tcW w:type="dxa" w:w="6066"/>
            <w:vAlign w:val="center"/>
            <w:tcMar>
              <w:top w:w="80" w:type="dxa"/>
              <w:bottom w:w="80" w:type="dxa"/>
              <w:left w:w="100" w:type="dxa"/>
              <w:right w:w="100" w:type="dxa"/>
            </w:tcMar>
            <w:shd w:fill="E6EBF0"/>
          </w:tcPr>
          <w:p>
            <w:pPr>
              <w:keepNext w:val="0"/>
              <w:spacing w:after="0" w:line="250" w:lineRule="auto"/>
            </w:pPr>
            <w:r>
              <w:rPr>
                <w:rFonts w:ascii="Arial" w:hAnsi="Arial"/>
                <w:b/>
                <w:color w:val="000000"/>
                <w:sz w:val="18"/>
              </w:rPr>
              <w:t>Modos e responsabilidades</w:t>
            </w:r>
          </w:p>
        </w:tc>
      </w:tr>
      <w:tr>
        <w:trPr>
          <w:cantSplit/>
        </w:trPr>
        <w:tc>
          <w:tcPr>
            <w:tcW w:type="dxa" w:w="3572"/>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ADMIN geral</w:t>
            </w:r>
          </w:p>
        </w:tc>
        <w:tc>
          <w:tcPr>
            <w:tcW w:type="dxa" w:w="6066"/>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Inicia em Admin, com contexto físico da Revisão; pode alternar para Revisão, Produção, Expedição e PCP</w:t>
            </w:r>
          </w:p>
        </w:tc>
      </w:tr>
      <w:tr>
        <w:trPr>
          <w:cantSplit/>
        </w:trPr>
        <w:tc>
          <w:tcPr>
            <w:tcW w:type="dxa" w:w="3572"/>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REVISAO</w:t>
            </w:r>
          </w:p>
        </w:tc>
        <w:tc>
          <w:tcPr>
            <w:tcW w:type="dxa" w:w="6066"/>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Envios, recebimentos, revisão, transferência e consultas autorizadas da Revisão</w:t>
            </w:r>
          </w:p>
        </w:tc>
      </w:tr>
      <w:tr>
        <w:trPr>
          <w:cantSplit/>
        </w:trPr>
        <w:tc>
          <w:tcPr>
            <w:tcW w:type="dxa" w:w="3572"/>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PRODUCAO</w:t>
            </w:r>
          </w:p>
        </w:tc>
        <w:tc>
          <w:tcPr>
            <w:tcW w:type="dxa" w:w="6066"/>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Envia para Revisão e decide recebimentos do próprio setor</w:t>
            </w:r>
          </w:p>
        </w:tc>
      </w:tr>
      <w:tr>
        <w:trPr>
          <w:cantSplit/>
        </w:trPr>
        <w:tc>
          <w:tcPr>
            <w:tcW w:type="dxa" w:w="3572"/>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EXPEDICAO</w:t>
            </w:r>
          </w:p>
        </w:tc>
        <w:tc>
          <w:tcPr>
            <w:tcW w:type="dxa" w:w="6066"/>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Envia para Revisão e decide recebimentos do próprio setor</w:t>
            </w:r>
          </w:p>
        </w:tc>
      </w:tr>
      <w:tr>
        <w:trPr>
          <w:cantSplit/>
        </w:trPr>
        <w:tc>
          <w:tcPr>
            <w:tcW w:type="dxa" w:w="3572"/>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PCP</w:t>
            </w:r>
          </w:p>
        </w:tc>
        <w:tc>
          <w:tcPr>
            <w:tcW w:type="dxa" w:w="6066"/>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Consulta transversal e execução administrativa específica</w:t>
            </w:r>
          </w:p>
        </w:tc>
      </w:tr>
      <w:tr>
        <w:trPr>
          <w:cantSplit/>
        </w:trPr>
        <w:tc>
          <w:tcPr>
            <w:tcW w:type="dxa" w:w="3572"/>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ADMIN_REVISAO_EXPEDICAO</w:t>
            </w:r>
          </w:p>
        </w:tc>
        <w:tc>
          <w:tcPr>
            <w:tcW w:type="dxa" w:w="6066"/>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Alterna apenas entre Revisão e Expedição</w:t>
            </w:r>
          </w:p>
        </w:tc>
      </w:tr>
      <w:tr>
        <w:trPr>
          <w:cantSplit/>
        </w:trPr>
        <w:tc>
          <w:tcPr>
            <w:tcW w:type="dxa" w:w="3572"/>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ADMIN_PRODUCAO_PCP</w:t>
            </w:r>
          </w:p>
        </w:tc>
        <w:tc>
          <w:tcPr>
            <w:tcW w:type="dxa" w:w="6066"/>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Alterna apenas entre Produção e PCP</w:t>
            </w:r>
          </w:p>
        </w:tc>
      </w:tr>
    </w:tbl>
    <w:p>
      <w:pPr>
        <w:keepNext/>
        <w:spacing w:after="60" w:before="0" w:line="240" w:lineRule="auto"/>
      </w:pPr>
      <w:r>
        <w:rPr>
          <w:sz w:val="4"/>
        </w:rPr>
      </w:r>
    </w:p>
    <w:p>
      <w:pPr>
        <w:pStyle w:val="Heading2"/>
      </w:pPr>
      <w:r>
        <w:t>RN02 Restrições administrativas</w:t>
      </w:r>
    </w:p>
    <w:p>
      <w:pPr/>
      <w:r>
        <w:t>Gestão de usuários, configurações operacionais, entrada e saída diretas, estorno e ativação ou inativação de locais e conversões exigem ADMIN geral no modo Admin, além das permissões pertinentes. Administradores de área não recebem essas ações. Todos os perfis podem gerir produtos, inclusive inativar e reativar; o log de produtos exige modo Admin.</w:t>
      </w:r>
    </w:p>
    <w:p>
      <w:pPr>
        <w:pStyle w:val="Heading2"/>
      </w:pPr>
      <w:r>
        <w:t>RN03 Administração de contas</w:t>
      </w:r>
    </w:p>
    <w:p>
      <w:pPr/>
      <w:r>
        <w:t>Login é único sem distinguir maiúsculas e minúsculas. Senha aceita 8 a 128 caracteres; sua omissão na edição preserva a senha atual. Inativação preserva histórico e encerra sessões. Alterações de conta revogam sessões anteriores; editar a própria conta exige novo login. Não se pode inativar a própria conta, remover seu acesso administrativo nem eliminar o último administrador ativo, inclusive sob concorrência. Esta gestão não cria perfis ou permissões novos.</w:t>
      </w:r>
    </w:p>
    <w:p>
      <w:pPr>
        <w:pStyle w:val="Heading2"/>
      </w:pPr>
      <w:r>
        <w:t>RN04 Sessão autenticada</w:t>
      </w:r>
    </w:p>
    <w:p>
      <w:pPr/>
      <w:r>
        <w:t>Access token JWT fica em memória e dura 15 minutos por padrão. Chamadas autenticadas renovam uma vez após 401, compartilhando uma renovação entre chamadas simultâneas da mesma aba. A sessão expira 14 horas após o login, sem extensão por refresh. Refresh negado, expiração ou troca de conta invalidam o estado local; falhas transitórias permitem nova tentativa. Tokens não são guardados no armazenamento do navegador.</w:t>
      </w:r>
    </w:p>
    <w:p>
      <w:pPr>
        <w:pStyle w:val="Heading2"/>
      </w:pPr>
      <w:r>
        <w:t>RN05 Preferências e RN06 Presença</w:t>
      </w:r>
    </w:p>
    <w:p>
      <w:pPr/>
      <w:r>
        <w:t>Tema claro ou escuro e cor hexadecimal do fundo pertencem à conta e não alteram autorização. Presença usa heartbeat a cada 20 segundos com aba visível; online significa atividade nos últimos 60 segundos em sessão válida de conta ativa. PCP vê colegas no modo PCP; administradores gerais e de área consultam todos. A indicação não reserva registros nem impede concorrência.</w:t>
      </w:r>
    </w:p>
    <w:p>
      <w:pPr>
        <w:pStyle w:val="Heading1"/>
      </w:pPr>
      <w:r>
        <w:t>3 Produtos lotes e datas</w:t>
      </w:r>
    </w:p>
    <w:p>
      <w:pPr>
        <w:pStyle w:val="Heading2"/>
      </w:pPr>
      <w:r>
        <w:t>RN07 Cadastro e identidade do produto</w:t>
      </w:r>
    </w:p>
    <w:p>
      <w:pPr/>
      <w:r>
        <w:t>Produto possui código único, descrição, unidade, prazo padrão em anos inteiros positivos e estado ativo. Código admite exatamente seis dígitos ou seis dígitos seguidos de ponto e dois dígitos; zeros à esquerda são preservados. A unicidade abrange produtos inativos. Exclusão é inativação, preservando referências, saldos e histórico.</w:t>
      </w:r>
    </w:p>
    <w:p>
      <w:pPr>
        <w:pStyle w:val="Heading2"/>
      </w:pPr>
      <w:r>
        <w:t>RN08 Unidades gramatura e embalagens</w:t>
      </w:r>
    </w:p>
    <w:p>
      <w:pPr/>
      <w:r>
        <w:t>Novos cadastros usam UN, FD ou CX. UN exige gramatura inteira positiva em gramas. FD e CX não recebem gramatura própria nem peso calculado; exigem fator inteiro positivo de unidades por embalagem e um ou mais produtos UN ativos como alternativas. Um item escolhe um único código unitário; não se cria embalagem com mistura de códigos.</w:t>
      </w:r>
    </w:p>
    <w:p>
      <w:pPr/>
      <w:r>
        <w:t>Unidade e fator não podem mudar após existir lote operacional, ressalvada a complementação de configuração ausente de embalagem legada. Produto usado como opção UN não pode virar FD ou CX. Legados sem prazo, gramatura ou configuração permanecem pendentes de preenchimento consciente, sem valores inferidos.</w:t>
      </w:r>
    </w:p>
    <w:p>
      <w:pPr>
        <w:pStyle w:val="Heading2"/>
      </w:pPr>
      <w:r>
        <w:t>RN09 Conversões</w:t>
      </w:r>
    </w:p>
    <w:p>
      <w:pPr/>
      <w:r>
        <w:t>Conversões pertencem ao mesmo produto, têm fator positivo e não repetem o par de unidades. Origem e destino devem ser diferentes. Essas conversões não definem a desmontagem entre códigos de produtos distintos.</w:t>
      </w:r>
    </w:p>
    <w:p>
      <w:pPr>
        <w:pStyle w:val="Heading2"/>
      </w:pPr>
      <w:r>
        <w:t>RN10 Lote operacional imutável</w:t>
      </w:r>
    </w:p>
    <w:p>
      <w:pPr/>
      <w:r>
        <w:t>Lote não exige cadastro prévio. A referência é resolvida ou criada na transação da operação. Produto, código normalizado e validade identificam a variante; diferentes validades criam variantes separadas. O mesmo produto e código não podem ter fabricação incompatível. Lote, fabricação e validade históricos são imutáveis.</w:t>
      </w:r>
    </w:p>
    <w:p>
      <w:pPr>
        <w:pStyle w:val="Heading2"/>
      </w:pPr>
      <w:r>
        <w:t>RN11 Datas e prazo</w:t>
      </w:r>
    </w:p>
    <w:p>
      <w:pPr/>
      <w:r>
        <w:t>Fabricação e validade são obrigatórias. Fabricação deve estar entre 2000 e a data atual, inclusive quando derivada do código. Validade não pode anteceder fabricação. A sugestão soma anos civis ao prazo do produto; 29 de fevereiro é limitado ao último dia de fevereiro do ano de destino. A validade pode ser ajustada e a data confirmada é preservada.</w:t>
      </w:r>
    </w:p>
    <w:p>
      <w:pPr>
        <w:pStyle w:val="Heading2"/>
      </w:pPr>
      <w:r>
        <w:t>RN12 Codec CONSERVADI</w:t>
      </w:r>
    </w:p>
    <w:p>
      <w:pPr/>
      <w:r>
        <w:t>O código tem seis letras e representa DDMMYY. Código e fabricação informados juntos devem ser equivalentes; o codec central completa um a partir do outro e a API revalida na confirmação.</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822"/>
        <w:gridCol w:w="822"/>
        <w:gridCol w:w="822"/>
        <w:gridCol w:w="822"/>
        <w:gridCol w:w="822"/>
        <w:gridCol w:w="822"/>
        <w:gridCol w:w="822"/>
        <w:gridCol w:w="822"/>
        <w:gridCol w:w="822"/>
        <w:gridCol w:w="822"/>
      </w:tblGrid>
      <w:tr>
        <w:trPr>
          <w:cantSplit/>
          <w:tblHeader/>
        </w:trPr>
        <w:tc>
          <w:tcPr>
            <w:tcW w:type="dxa" w:w="1417"/>
            <w:vAlign w:val="center"/>
            <w:tcMar>
              <w:top w:w="80" w:type="dxa"/>
              <w:bottom w:w="80" w:type="dxa"/>
              <w:left w:w="100" w:type="dxa"/>
              <w:right w:w="100" w:type="dxa"/>
            </w:tcMar>
            <w:shd w:fill="E6EBF0"/>
          </w:tcPr>
          <w:p>
            <w:pPr>
              <w:keepNext w:val="0"/>
              <w:spacing w:after="0" w:line="250" w:lineRule="auto"/>
              <w:jc w:val="center"/>
            </w:pPr>
            <w:r>
              <w:rPr>
                <w:rFonts w:ascii="Arial" w:hAnsi="Arial"/>
                <w:b/>
                <w:color w:val="000000"/>
                <w:sz w:val="18"/>
              </w:rPr>
              <w:t>Dígito</w:t>
            </w:r>
          </w:p>
        </w:tc>
        <w:tc>
          <w:tcPr>
            <w:tcW w:type="dxa" w:w="822"/>
            <w:vAlign w:val="center"/>
            <w:tcMar>
              <w:top w:w="80" w:type="dxa"/>
              <w:bottom w:w="80" w:type="dxa"/>
              <w:left w:w="100" w:type="dxa"/>
              <w:right w:w="100" w:type="dxa"/>
            </w:tcMar>
            <w:shd w:fill="E6EBF0"/>
          </w:tcPr>
          <w:p>
            <w:pPr>
              <w:keepNext w:val="0"/>
              <w:spacing w:after="0" w:line="250" w:lineRule="auto"/>
              <w:jc w:val="center"/>
            </w:pPr>
            <w:r>
              <w:rPr>
                <w:rFonts w:ascii="Arial" w:hAnsi="Arial"/>
                <w:b/>
                <w:color w:val="000000"/>
                <w:sz w:val="18"/>
              </w:rPr>
              <w:t>0</w:t>
            </w:r>
          </w:p>
        </w:tc>
        <w:tc>
          <w:tcPr>
            <w:tcW w:type="dxa" w:w="822"/>
            <w:vAlign w:val="center"/>
            <w:tcMar>
              <w:top w:w="80" w:type="dxa"/>
              <w:bottom w:w="80" w:type="dxa"/>
              <w:left w:w="100" w:type="dxa"/>
              <w:right w:w="100" w:type="dxa"/>
            </w:tcMar>
            <w:shd w:fill="E6EBF0"/>
          </w:tcPr>
          <w:p>
            <w:pPr>
              <w:keepNext w:val="0"/>
              <w:spacing w:after="0" w:line="250" w:lineRule="auto"/>
              <w:jc w:val="center"/>
            </w:pPr>
            <w:r>
              <w:rPr>
                <w:rFonts w:ascii="Arial" w:hAnsi="Arial"/>
                <w:b/>
                <w:color w:val="000000"/>
                <w:sz w:val="18"/>
              </w:rPr>
              <w:t>1</w:t>
            </w:r>
          </w:p>
        </w:tc>
        <w:tc>
          <w:tcPr>
            <w:tcW w:type="dxa" w:w="822"/>
            <w:vAlign w:val="center"/>
            <w:tcMar>
              <w:top w:w="80" w:type="dxa"/>
              <w:bottom w:w="80" w:type="dxa"/>
              <w:left w:w="100" w:type="dxa"/>
              <w:right w:w="100" w:type="dxa"/>
            </w:tcMar>
            <w:shd w:fill="E6EBF0"/>
          </w:tcPr>
          <w:p>
            <w:pPr>
              <w:keepNext w:val="0"/>
              <w:spacing w:after="0" w:line="250" w:lineRule="auto"/>
              <w:jc w:val="center"/>
            </w:pPr>
            <w:r>
              <w:rPr>
                <w:rFonts w:ascii="Arial" w:hAnsi="Arial"/>
                <w:b/>
                <w:color w:val="000000"/>
                <w:sz w:val="18"/>
              </w:rPr>
              <w:t>2</w:t>
            </w:r>
          </w:p>
        </w:tc>
        <w:tc>
          <w:tcPr>
            <w:tcW w:type="dxa" w:w="822"/>
            <w:vAlign w:val="center"/>
            <w:tcMar>
              <w:top w:w="80" w:type="dxa"/>
              <w:bottom w:w="80" w:type="dxa"/>
              <w:left w:w="100" w:type="dxa"/>
              <w:right w:w="100" w:type="dxa"/>
            </w:tcMar>
            <w:shd w:fill="E6EBF0"/>
          </w:tcPr>
          <w:p>
            <w:pPr>
              <w:keepNext w:val="0"/>
              <w:spacing w:after="0" w:line="250" w:lineRule="auto"/>
              <w:jc w:val="center"/>
            </w:pPr>
            <w:r>
              <w:rPr>
                <w:rFonts w:ascii="Arial" w:hAnsi="Arial"/>
                <w:b/>
                <w:color w:val="000000"/>
                <w:sz w:val="18"/>
              </w:rPr>
              <w:t>3</w:t>
            </w:r>
          </w:p>
        </w:tc>
        <w:tc>
          <w:tcPr>
            <w:tcW w:type="dxa" w:w="822"/>
            <w:vAlign w:val="center"/>
            <w:tcMar>
              <w:top w:w="80" w:type="dxa"/>
              <w:bottom w:w="80" w:type="dxa"/>
              <w:left w:w="100" w:type="dxa"/>
              <w:right w:w="100" w:type="dxa"/>
            </w:tcMar>
            <w:shd w:fill="E6EBF0"/>
          </w:tcPr>
          <w:p>
            <w:pPr>
              <w:keepNext w:val="0"/>
              <w:spacing w:after="0" w:line="250" w:lineRule="auto"/>
              <w:jc w:val="center"/>
            </w:pPr>
            <w:r>
              <w:rPr>
                <w:rFonts w:ascii="Arial" w:hAnsi="Arial"/>
                <w:b/>
                <w:color w:val="000000"/>
                <w:sz w:val="18"/>
              </w:rPr>
              <w:t>4</w:t>
            </w:r>
          </w:p>
        </w:tc>
        <w:tc>
          <w:tcPr>
            <w:tcW w:type="dxa" w:w="822"/>
            <w:vAlign w:val="center"/>
            <w:tcMar>
              <w:top w:w="80" w:type="dxa"/>
              <w:bottom w:w="80" w:type="dxa"/>
              <w:left w:w="100" w:type="dxa"/>
              <w:right w:w="100" w:type="dxa"/>
            </w:tcMar>
            <w:shd w:fill="E6EBF0"/>
          </w:tcPr>
          <w:p>
            <w:pPr>
              <w:keepNext w:val="0"/>
              <w:spacing w:after="0" w:line="250" w:lineRule="auto"/>
              <w:jc w:val="center"/>
            </w:pPr>
            <w:r>
              <w:rPr>
                <w:rFonts w:ascii="Arial" w:hAnsi="Arial"/>
                <w:b/>
                <w:color w:val="000000"/>
                <w:sz w:val="18"/>
              </w:rPr>
              <w:t>5</w:t>
            </w:r>
          </w:p>
        </w:tc>
        <w:tc>
          <w:tcPr>
            <w:tcW w:type="dxa" w:w="822"/>
            <w:vAlign w:val="center"/>
            <w:tcMar>
              <w:top w:w="80" w:type="dxa"/>
              <w:bottom w:w="80" w:type="dxa"/>
              <w:left w:w="100" w:type="dxa"/>
              <w:right w:w="100" w:type="dxa"/>
            </w:tcMar>
            <w:shd w:fill="E6EBF0"/>
          </w:tcPr>
          <w:p>
            <w:pPr>
              <w:keepNext w:val="0"/>
              <w:spacing w:after="0" w:line="250" w:lineRule="auto"/>
              <w:jc w:val="center"/>
            </w:pPr>
            <w:r>
              <w:rPr>
                <w:rFonts w:ascii="Arial" w:hAnsi="Arial"/>
                <w:b/>
                <w:color w:val="000000"/>
                <w:sz w:val="18"/>
              </w:rPr>
              <w:t>6</w:t>
            </w:r>
          </w:p>
        </w:tc>
        <w:tc>
          <w:tcPr>
            <w:tcW w:type="dxa" w:w="822"/>
            <w:vAlign w:val="center"/>
            <w:tcMar>
              <w:top w:w="80" w:type="dxa"/>
              <w:bottom w:w="80" w:type="dxa"/>
              <w:left w:w="100" w:type="dxa"/>
              <w:right w:w="100" w:type="dxa"/>
            </w:tcMar>
            <w:shd w:fill="E6EBF0"/>
          </w:tcPr>
          <w:p>
            <w:pPr>
              <w:keepNext w:val="0"/>
              <w:spacing w:after="0" w:line="250" w:lineRule="auto"/>
              <w:jc w:val="center"/>
            </w:pPr>
            <w:r>
              <w:rPr>
                <w:rFonts w:ascii="Arial" w:hAnsi="Arial"/>
                <w:b/>
                <w:color w:val="000000"/>
                <w:sz w:val="18"/>
              </w:rPr>
              <w:t>7</w:t>
            </w:r>
          </w:p>
        </w:tc>
        <w:tc>
          <w:tcPr>
            <w:tcW w:type="dxa" w:w="822"/>
            <w:vAlign w:val="center"/>
            <w:tcMar>
              <w:top w:w="80" w:type="dxa"/>
              <w:bottom w:w="80" w:type="dxa"/>
              <w:left w:w="100" w:type="dxa"/>
              <w:right w:w="100" w:type="dxa"/>
            </w:tcMar>
            <w:shd w:fill="E6EBF0"/>
          </w:tcPr>
          <w:p>
            <w:pPr>
              <w:keepNext w:val="0"/>
              <w:spacing w:after="0" w:line="250" w:lineRule="auto"/>
              <w:jc w:val="center"/>
            </w:pPr>
            <w:r>
              <w:rPr>
                <w:rFonts w:ascii="Arial" w:hAnsi="Arial"/>
                <w:b/>
                <w:color w:val="000000"/>
                <w:sz w:val="18"/>
              </w:rPr>
              <w:t>8</w:t>
            </w:r>
          </w:p>
        </w:tc>
        <w:tc>
          <w:tcPr>
            <w:tcW w:type="dxa" w:w="822"/>
            <w:vAlign w:val="center"/>
            <w:tcMar>
              <w:top w:w="80" w:type="dxa"/>
              <w:bottom w:w="80" w:type="dxa"/>
              <w:left w:w="100" w:type="dxa"/>
              <w:right w:w="100" w:type="dxa"/>
            </w:tcMar>
            <w:shd w:fill="E6EBF0"/>
          </w:tcPr>
          <w:p>
            <w:pPr>
              <w:keepNext w:val="0"/>
              <w:spacing w:after="0" w:line="250" w:lineRule="auto"/>
              <w:jc w:val="center"/>
            </w:pPr>
            <w:r>
              <w:rPr>
                <w:rFonts w:ascii="Arial" w:hAnsi="Arial"/>
                <w:b/>
                <w:color w:val="000000"/>
                <w:sz w:val="18"/>
              </w:rPr>
              <w:t>9</w:t>
            </w:r>
          </w:p>
        </w:tc>
      </w:tr>
      <w:tr>
        <w:trPr>
          <w:cantSplit/>
        </w:trPr>
        <w:tc>
          <w:tcPr>
            <w:tcW w:type="dxa" w:w="1417"/>
            <w:vAlign w:val="center"/>
            <w:tcMar>
              <w:top w:w="80" w:type="dxa"/>
              <w:bottom w:w="80" w:type="dxa"/>
              <w:left w:w="100" w:type="dxa"/>
              <w:right w:w="100" w:type="dxa"/>
            </w:tcMar>
            <w:shd w:fill="FFFFFF"/>
          </w:tcPr>
          <w:p>
            <w:pPr>
              <w:keepNext w:val="0"/>
              <w:spacing w:after="0" w:line="250" w:lineRule="auto"/>
              <w:jc w:val="center"/>
            </w:pPr>
            <w:r>
              <w:rPr>
                <w:rFonts w:ascii="Arial" w:hAnsi="Arial"/>
                <w:b w:val="0"/>
                <w:color w:val="000000"/>
                <w:sz w:val="18"/>
              </w:rPr>
              <w:t>Letra</w:t>
            </w:r>
          </w:p>
        </w:tc>
        <w:tc>
          <w:tcPr>
            <w:tcW w:type="dxa" w:w="822"/>
            <w:vAlign w:val="center"/>
            <w:tcMar>
              <w:top w:w="80" w:type="dxa"/>
              <w:bottom w:w="80" w:type="dxa"/>
              <w:left w:w="100" w:type="dxa"/>
              <w:right w:w="100" w:type="dxa"/>
            </w:tcMar>
            <w:shd w:fill="FFFFFF"/>
          </w:tcPr>
          <w:p>
            <w:pPr>
              <w:keepNext w:val="0"/>
              <w:spacing w:after="0" w:line="250" w:lineRule="auto"/>
              <w:jc w:val="center"/>
            </w:pPr>
            <w:r>
              <w:rPr>
                <w:rFonts w:ascii="Arial" w:hAnsi="Arial"/>
                <w:b w:val="0"/>
                <w:color w:val="000000"/>
                <w:sz w:val="18"/>
              </w:rPr>
              <w:t>C</w:t>
            </w:r>
          </w:p>
        </w:tc>
        <w:tc>
          <w:tcPr>
            <w:tcW w:type="dxa" w:w="822"/>
            <w:vAlign w:val="center"/>
            <w:tcMar>
              <w:top w:w="80" w:type="dxa"/>
              <w:bottom w:w="80" w:type="dxa"/>
              <w:left w:w="100" w:type="dxa"/>
              <w:right w:w="100" w:type="dxa"/>
            </w:tcMar>
            <w:shd w:fill="FFFFFF"/>
          </w:tcPr>
          <w:p>
            <w:pPr>
              <w:keepNext w:val="0"/>
              <w:spacing w:after="0" w:line="250" w:lineRule="auto"/>
              <w:jc w:val="center"/>
            </w:pPr>
            <w:r>
              <w:rPr>
                <w:rFonts w:ascii="Arial" w:hAnsi="Arial"/>
                <w:b w:val="0"/>
                <w:color w:val="000000"/>
                <w:sz w:val="18"/>
              </w:rPr>
              <w:t>O</w:t>
            </w:r>
          </w:p>
        </w:tc>
        <w:tc>
          <w:tcPr>
            <w:tcW w:type="dxa" w:w="822"/>
            <w:vAlign w:val="center"/>
            <w:tcMar>
              <w:top w:w="80" w:type="dxa"/>
              <w:bottom w:w="80" w:type="dxa"/>
              <w:left w:w="100" w:type="dxa"/>
              <w:right w:w="100" w:type="dxa"/>
            </w:tcMar>
            <w:shd w:fill="FFFFFF"/>
          </w:tcPr>
          <w:p>
            <w:pPr>
              <w:keepNext w:val="0"/>
              <w:spacing w:after="0" w:line="250" w:lineRule="auto"/>
              <w:jc w:val="center"/>
            </w:pPr>
            <w:r>
              <w:rPr>
                <w:rFonts w:ascii="Arial" w:hAnsi="Arial"/>
                <w:b w:val="0"/>
                <w:color w:val="000000"/>
                <w:sz w:val="18"/>
              </w:rPr>
              <w:t>N</w:t>
            </w:r>
          </w:p>
        </w:tc>
        <w:tc>
          <w:tcPr>
            <w:tcW w:type="dxa" w:w="822"/>
            <w:vAlign w:val="center"/>
            <w:tcMar>
              <w:top w:w="80" w:type="dxa"/>
              <w:bottom w:w="80" w:type="dxa"/>
              <w:left w:w="100" w:type="dxa"/>
              <w:right w:w="100" w:type="dxa"/>
            </w:tcMar>
            <w:shd w:fill="FFFFFF"/>
          </w:tcPr>
          <w:p>
            <w:pPr>
              <w:keepNext w:val="0"/>
              <w:spacing w:after="0" w:line="250" w:lineRule="auto"/>
              <w:jc w:val="center"/>
            </w:pPr>
            <w:r>
              <w:rPr>
                <w:rFonts w:ascii="Arial" w:hAnsi="Arial"/>
                <w:b w:val="0"/>
                <w:color w:val="000000"/>
                <w:sz w:val="18"/>
              </w:rPr>
              <w:t>S</w:t>
            </w:r>
          </w:p>
        </w:tc>
        <w:tc>
          <w:tcPr>
            <w:tcW w:type="dxa" w:w="822"/>
            <w:vAlign w:val="center"/>
            <w:tcMar>
              <w:top w:w="80" w:type="dxa"/>
              <w:bottom w:w="80" w:type="dxa"/>
              <w:left w:w="100" w:type="dxa"/>
              <w:right w:w="100" w:type="dxa"/>
            </w:tcMar>
            <w:shd w:fill="FFFFFF"/>
          </w:tcPr>
          <w:p>
            <w:pPr>
              <w:keepNext w:val="0"/>
              <w:spacing w:after="0" w:line="250" w:lineRule="auto"/>
              <w:jc w:val="center"/>
            </w:pPr>
            <w:r>
              <w:rPr>
                <w:rFonts w:ascii="Arial" w:hAnsi="Arial"/>
                <w:b w:val="0"/>
                <w:color w:val="000000"/>
                <w:sz w:val="18"/>
              </w:rPr>
              <w:t>E</w:t>
            </w:r>
          </w:p>
        </w:tc>
        <w:tc>
          <w:tcPr>
            <w:tcW w:type="dxa" w:w="822"/>
            <w:vAlign w:val="center"/>
            <w:tcMar>
              <w:top w:w="80" w:type="dxa"/>
              <w:bottom w:w="80" w:type="dxa"/>
              <w:left w:w="100" w:type="dxa"/>
              <w:right w:w="100" w:type="dxa"/>
            </w:tcMar>
            <w:shd w:fill="FFFFFF"/>
          </w:tcPr>
          <w:p>
            <w:pPr>
              <w:keepNext w:val="0"/>
              <w:spacing w:after="0" w:line="250" w:lineRule="auto"/>
              <w:jc w:val="center"/>
            </w:pPr>
            <w:r>
              <w:rPr>
                <w:rFonts w:ascii="Arial" w:hAnsi="Arial"/>
                <w:b w:val="0"/>
                <w:color w:val="000000"/>
                <w:sz w:val="18"/>
              </w:rPr>
              <w:t>R</w:t>
            </w:r>
          </w:p>
        </w:tc>
        <w:tc>
          <w:tcPr>
            <w:tcW w:type="dxa" w:w="822"/>
            <w:vAlign w:val="center"/>
            <w:tcMar>
              <w:top w:w="80" w:type="dxa"/>
              <w:bottom w:w="80" w:type="dxa"/>
              <w:left w:w="100" w:type="dxa"/>
              <w:right w:w="100" w:type="dxa"/>
            </w:tcMar>
            <w:shd w:fill="FFFFFF"/>
          </w:tcPr>
          <w:p>
            <w:pPr>
              <w:keepNext w:val="0"/>
              <w:spacing w:after="0" w:line="250" w:lineRule="auto"/>
              <w:jc w:val="center"/>
            </w:pPr>
            <w:r>
              <w:rPr>
                <w:rFonts w:ascii="Arial" w:hAnsi="Arial"/>
                <w:b w:val="0"/>
                <w:color w:val="000000"/>
                <w:sz w:val="18"/>
              </w:rPr>
              <w:t>V</w:t>
            </w:r>
          </w:p>
        </w:tc>
        <w:tc>
          <w:tcPr>
            <w:tcW w:type="dxa" w:w="822"/>
            <w:vAlign w:val="center"/>
            <w:tcMar>
              <w:top w:w="80" w:type="dxa"/>
              <w:bottom w:w="80" w:type="dxa"/>
              <w:left w:w="100" w:type="dxa"/>
              <w:right w:w="100" w:type="dxa"/>
            </w:tcMar>
            <w:shd w:fill="FFFFFF"/>
          </w:tcPr>
          <w:p>
            <w:pPr>
              <w:keepNext w:val="0"/>
              <w:spacing w:after="0" w:line="250" w:lineRule="auto"/>
              <w:jc w:val="center"/>
            </w:pPr>
            <w:r>
              <w:rPr>
                <w:rFonts w:ascii="Arial" w:hAnsi="Arial"/>
                <w:b w:val="0"/>
                <w:color w:val="000000"/>
                <w:sz w:val="18"/>
              </w:rPr>
              <w:t>A</w:t>
            </w:r>
          </w:p>
        </w:tc>
        <w:tc>
          <w:tcPr>
            <w:tcW w:type="dxa" w:w="822"/>
            <w:vAlign w:val="center"/>
            <w:tcMar>
              <w:top w:w="80" w:type="dxa"/>
              <w:bottom w:w="80" w:type="dxa"/>
              <w:left w:w="100" w:type="dxa"/>
              <w:right w:w="100" w:type="dxa"/>
            </w:tcMar>
            <w:shd w:fill="FFFFFF"/>
          </w:tcPr>
          <w:p>
            <w:pPr>
              <w:keepNext w:val="0"/>
              <w:spacing w:after="0" w:line="250" w:lineRule="auto"/>
              <w:jc w:val="center"/>
            </w:pPr>
            <w:r>
              <w:rPr>
                <w:rFonts w:ascii="Arial" w:hAnsi="Arial"/>
                <w:b w:val="0"/>
                <w:color w:val="000000"/>
                <w:sz w:val="18"/>
              </w:rPr>
              <w:t>D</w:t>
            </w:r>
          </w:p>
        </w:tc>
        <w:tc>
          <w:tcPr>
            <w:tcW w:type="dxa" w:w="822"/>
            <w:vAlign w:val="center"/>
            <w:tcMar>
              <w:top w:w="80" w:type="dxa"/>
              <w:bottom w:w="80" w:type="dxa"/>
              <w:left w:w="100" w:type="dxa"/>
              <w:right w:w="100" w:type="dxa"/>
            </w:tcMar>
            <w:shd w:fill="FFFFFF"/>
          </w:tcPr>
          <w:p>
            <w:pPr>
              <w:keepNext w:val="0"/>
              <w:spacing w:after="0" w:line="250" w:lineRule="auto"/>
              <w:jc w:val="center"/>
            </w:pPr>
            <w:r>
              <w:rPr>
                <w:rFonts w:ascii="Arial" w:hAnsi="Arial"/>
                <w:b w:val="0"/>
                <w:color w:val="000000"/>
                <w:sz w:val="18"/>
              </w:rPr>
              <w:t>I</w:t>
            </w:r>
          </w:p>
        </w:tc>
      </w:tr>
    </w:tbl>
    <w:p>
      <w:pPr>
        <w:keepNext/>
        <w:spacing w:after="60" w:before="0" w:line="240" w:lineRule="auto"/>
      </w:pPr>
      <w:r>
        <w:rPr>
          <w:sz w:val="4"/>
        </w:rPr>
      </w:r>
    </w:p>
    <w:p>
      <w:pPr>
        <w:pStyle w:val="Heading2"/>
      </w:pPr>
      <w:r>
        <w:t>RN13 Divergência de validade</w:t>
      </w:r>
    </w:p>
    <w:p>
      <w:pPr/>
      <w:r>
        <w:t>Outra validade do mesmo produto e lote exige confirmação explícita, mesmo se a variante anterior não tiver saldo. O aceite é vinculado às divergências apresentadas; uma validade concorrente nova exige novo aceite. Fechar ou recusar não grava a operação. As variantes mantêm saldos separados.</w:t>
      </w:r>
    </w:p>
    <w:p>
      <w:pPr>
        <w:pStyle w:val="Heading1"/>
      </w:pPr>
      <w:r>
        <w:t>4 Locais saldos e identidade das operações</w:t>
      </w:r>
    </w:p>
    <w:p>
      <w:pPr>
        <w:pStyle w:val="Heading2"/>
      </w:pPr>
      <w:r>
        <w:t>RN14 Hierarquia dos locais</w:t>
      </w:r>
    </w:p>
    <w:p>
      <w:pPr/>
      <w:r>
        <w:t>STOCK é estoque principal; SUBSTOCK é classificação interna com pai STOCK ativo; EXTERNAL é origem ou destino fora do estoque controlado. Estoque com filhos ativos não pode ser inativado nem convertido para outro tipo. Locais com mercadoria em trânsito não podem mudar de tipo antes da decisão do envio.</w:t>
      </w:r>
    </w:p>
    <w:p>
      <w:pPr/>
      <w:r>
        <w:t>A origem da revisão é o único local com review_role SOURCE. Os destinos atuais são locais internos ativos selecionados em Configurações e persistidos em review_process_destinations. A seleção dinâmica é a referência vigente, sem dependência de nomes ou da antiga lista fixa de três destinos.</w:t>
      </w:r>
    </w:p>
    <w:p>
      <w:pPr>
        <w:pStyle w:val="Heading2"/>
      </w:pPr>
      <w:r>
        <w:t>RN15 Posição e saldo disponível</w:t>
      </w:r>
    </w:p>
    <w:p>
      <w:pPr/>
      <w:r>
        <w:t>Saldo é único por produto, variante de lote e validade e local interno. O lote deve pertencer ao produto. Posições zeradas permanecem no banco e são omitidas das listas operacionais. Saldos nunca são negativos. Não há endpoint público de ajuste direto de saldo; toda alteração decorre de operação de negócio.</w:t>
      </w:r>
    </w:p>
    <w:p>
      <w:pPr/>
      <w:r>
        <w:t>A consulta por produto ou por posições é uma preferência de apresentação do local interno. Não altera identidade de saldo nem movimentações. Envios pendentes originados na Revisão representam trânsito separadamente; o saldo mostrado no estoque é o disponível.</w:t>
      </w:r>
    </w:p>
    <w:p>
      <w:pPr>
        <w:pStyle w:val="Heading2"/>
      </w:pPr>
      <w:r>
        <w:t>RN16 Quantidade e atomicidade</w:t>
      </w:r>
    </w:p>
    <w:p>
      <w:pPr/>
      <w:r>
        <w:t>Novas operações aceitam inteiros positivos. Retorno em separação admite zero por item. Documento, itens, distribuições, saldo e auditoria confirmam juntos; falha em qualquer item reverte toda a operação. Uma movimentação pode ter vários itens, mas sua criação e seu estorno são integrais.</w:t>
      </w:r>
    </w:p>
    <w:p>
      <w:pPr>
        <w:pStyle w:val="Heading2"/>
      </w:pPr>
      <w:r>
        <w:t>RN17 Códigos públicos e registros</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3798"/>
        <w:gridCol w:w="3912"/>
      </w:tblGrid>
      <w:tr>
        <w:trPr>
          <w:cantSplit/>
          <w:tblHeader/>
        </w:trPr>
        <w:tc>
          <w:tcPr>
            <w:tcW w:type="dxa" w:w="1928"/>
            <w:vAlign w:val="center"/>
            <w:tcMar>
              <w:top w:w="80" w:type="dxa"/>
              <w:bottom w:w="80" w:type="dxa"/>
              <w:left w:w="100" w:type="dxa"/>
              <w:right w:w="100" w:type="dxa"/>
            </w:tcMar>
            <w:shd w:fill="E6EBF0"/>
          </w:tcPr>
          <w:p>
            <w:pPr>
              <w:keepNext w:val="0"/>
              <w:spacing w:after="0" w:line="250" w:lineRule="auto"/>
            </w:pPr>
            <w:r>
              <w:rPr>
                <w:rFonts w:ascii="Arial" w:hAnsi="Arial"/>
                <w:b/>
                <w:color w:val="000000"/>
                <w:sz w:val="18"/>
              </w:rPr>
              <w:t>Tipo</w:t>
            </w:r>
          </w:p>
        </w:tc>
        <w:tc>
          <w:tcPr>
            <w:tcW w:type="dxa" w:w="3798"/>
            <w:vAlign w:val="center"/>
            <w:tcMar>
              <w:top w:w="80" w:type="dxa"/>
              <w:bottom w:w="80" w:type="dxa"/>
              <w:left w:w="100" w:type="dxa"/>
              <w:right w:w="100" w:type="dxa"/>
            </w:tcMar>
            <w:shd w:fill="E6EBF0"/>
          </w:tcPr>
          <w:p>
            <w:pPr>
              <w:keepNext w:val="0"/>
              <w:spacing w:after="0" w:line="250" w:lineRule="auto"/>
            </w:pPr>
            <w:r>
              <w:rPr>
                <w:rFonts w:ascii="Arial" w:hAnsi="Arial"/>
                <w:b/>
                <w:color w:val="000000"/>
                <w:sz w:val="18"/>
              </w:rPr>
              <w:t>Código do grupo</w:t>
            </w:r>
          </w:p>
        </w:tc>
        <w:tc>
          <w:tcPr>
            <w:tcW w:type="dxa" w:w="3912"/>
            <w:vAlign w:val="center"/>
            <w:tcMar>
              <w:top w:w="80" w:type="dxa"/>
              <w:bottom w:w="80" w:type="dxa"/>
              <w:left w:w="100" w:type="dxa"/>
              <w:right w:w="100" w:type="dxa"/>
            </w:tcMar>
            <w:shd w:fill="E6EBF0"/>
          </w:tcPr>
          <w:p>
            <w:pPr>
              <w:keepNext w:val="0"/>
              <w:spacing w:after="0" w:line="250" w:lineRule="auto"/>
            </w:pPr>
            <w:r>
              <w:rPr>
                <w:rFonts w:ascii="Arial" w:hAnsi="Arial"/>
                <w:b/>
                <w:color w:val="000000"/>
                <w:sz w:val="18"/>
              </w:rPr>
              <w:t>Código de cada item</w:t>
            </w:r>
          </w:p>
        </w:tc>
      </w:tr>
      <w:tr>
        <w:trPr>
          <w:cantSplit/>
        </w:trPr>
        <w:tc>
          <w:tcPr>
            <w:tcW w:type="dxa" w:w="1928"/>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Entrada externa</w:t>
            </w:r>
          </w:p>
        </w:tc>
        <w:tc>
          <w:tcPr>
            <w:tcW w:type="dxa" w:w="3798"/>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ENT com sequência independente</w:t>
            </w:r>
          </w:p>
        </w:tc>
        <w:tc>
          <w:tcPr>
            <w:tcW w:type="dxa" w:w="3912"/>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ENT seguido de número e sufixo A, B até Z, AA e seguintes</w:t>
            </w:r>
          </w:p>
        </w:tc>
      </w:tr>
      <w:tr>
        <w:trPr>
          <w:cantSplit/>
        </w:trPr>
        <w:tc>
          <w:tcPr>
            <w:tcW w:type="dxa" w:w="1928"/>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Saída externa</w:t>
            </w:r>
          </w:p>
        </w:tc>
        <w:tc>
          <w:tcPr>
            <w:tcW w:type="dxa" w:w="3798"/>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SAI com sequência independente</w:t>
            </w:r>
          </w:p>
        </w:tc>
        <w:tc>
          <w:tcPr>
            <w:tcW w:type="dxa" w:w="3912"/>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SAI seguido de número e sufixo do item</w:t>
            </w:r>
          </w:p>
        </w:tc>
      </w:tr>
      <w:tr>
        <w:trPr>
          <w:cantSplit/>
        </w:trPr>
        <w:tc>
          <w:tcPr>
            <w:tcW w:type="dxa" w:w="1928"/>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Revisão</w:t>
            </w:r>
          </w:p>
        </w:tc>
        <w:tc>
          <w:tcPr>
            <w:tcW w:type="dxa" w:w="3798"/>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REV com sequência independente</w:t>
            </w:r>
          </w:p>
        </w:tc>
        <w:tc>
          <w:tcPr>
            <w:tcW w:type="dxa" w:w="3912"/>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REV seguido de número e sufixo do item</w:t>
            </w:r>
          </w:p>
        </w:tc>
      </w:tr>
      <w:tr>
        <w:trPr>
          <w:cantSplit/>
        </w:trPr>
        <w:tc>
          <w:tcPr>
            <w:tcW w:type="dxa" w:w="1928"/>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Transferência</w:t>
            </w:r>
          </w:p>
        </w:tc>
        <w:tc>
          <w:tcPr>
            <w:tcW w:type="dxa" w:w="3798"/>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Sem código público</w:t>
            </w:r>
          </w:p>
        </w:tc>
        <w:tc>
          <w:tcPr>
            <w:tcW w:type="dxa" w:w="3912"/>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Identificador técnico UUID</w:t>
            </w:r>
          </w:p>
        </w:tc>
      </w:tr>
    </w:tbl>
    <w:p>
      <w:pPr>
        <w:keepNext/>
        <w:spacing w:after="60" w:before="0" w:line="240" w:lineRule="auto"/>
      </w:pPr>
      <w:r>
        <w:rPr>
          <w:sz w:val="4"/>
        </w:rPr>
      </w:r>
    </w:p>
    <w:p>
      <w:pPr/>
      <w:r>
        <w:t>Exemplos: ENT-000001 e ENT-000001-A. Um grupo com um único item também tem filho A. Códigos são imutáveis, com no mínimo seis dígitos e crescimento sem truncamento; lacunas por rollback são aceitas. No envio, código nasce na criação e é herdado pelas movimentações efetivadas. Vários documentos técnicos podem compartilhar o código do mesmo envio.</w:t>
      </w:r>
    </w:p>
    <w:p>
      <w:pPr>
        <w:pStyle w:val="Heading2"/>
      </w:pPr>
      <w:r>
        <w:t>RN18 Idempotência e RN19 Preservação</w:t>
      </w:r>
    </w:p>
    <w:p>
      <w:pPr/>
      <w:r>
        <w:t>A request_key UUID identifica a criação. Reenvio compatível pelo mesmo usuário e tipo retorna o documento existente; reutilização incompatível causa conflito. Movimentações confirmadas, envios e itens não são editados nem excluídos fisicamente. Correções usam novas operações ou estorno elegível. UUID continua sendo a chave técnica das relações e rotas.</w:t>
      </w:r>
    </w:p>
    <w:p>
      <w:pPr>
        <w:pStyle w:val="Heading1"/>
      </w:pPr>
      <w:r>
        <w:t>5 Envios entre setores</w:t>
      </w:r>
    </w:p>
    <w:p>
      <w:pPr>
        <w:pStyle w:val="Heading2"/>
      </w:pPr>
      <w:r>
        <w:t>RN20 Rotas e responsabilidade</w:t>
      </w:r>
    </w:p>
    <w:p>
      <w:pPr/>
      <w:r>
        <w:t>Produção e Expedição enviam somente para Revisão e decidem somente envios destinados ao próprio setor. Revisão envia para Produção ou Expedição e recebe desses setores. Permissões de leitura, criação e decisão complementam a validação do setor. Não existe envio de mercadoria para PCP.</w:t>
      </w:r>
    </w:p>
    <w:p>
      <w:pPr>
        <w:pStyle w:val="Heading2"/>
      </w:pPr>
      <w:r>
        <w:t>RN21 Ciclo de recebimento</w:t>
      </w:r>
    </w:p>
    <w:p>
      <w:pPr/>
      <w:r>
        <w:t>Todo envio válido nasce AGUARDANDO_RECEBIMENTO, com itens e origens congelados. Somente o destinatário confirma ou recusa; a recusa exige motivo de até 1000 caracteres. Repetir a mesma decisão retorna o estado registrado; tentar a decisão oposta gera conflito.</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572"/>
        <w:gridCol w:w="6066"/>
      </w:tblGrid>
      <w:tr>
        <w:trPr>
          <w:cantSplit/>
          <w:tblHeader/>
        </w:trPr>
        <w:tc>
          <w:tcPr>
            <w:tcW w:type="dxa" w:w="3572"/>
            <w:vAlign w:val="center"/>
            <w:tcMar>
              <w:top w:w="80" w:type="dxa"/>
              <w:bottom w:w="80" w:type="dxa"/>
              <w:left w:w="100" w:type="dxa"/>
              <w:right w:w="100" w:type="dxa"/>
            </w:tcMar>
            <w:shd w:fill="E6EBF0"/>
          </w:tcPr>
          <w:p>
            <w:pPr>
              <w:keepNext w:val="0"/>
              <w:spacing w:after="0" w:line="250" w:lineRule="auto"/>
            </w:pPr>
            <w:r>
              <w:rPr>
                <w:rFonts w:ascii="Arial" w:hAnsi="Arial"/>
                <w:b/>
                <w:color w:val="000000"/>
                <w:sz w:val="18"/>
              </w:rPr>
              <w:t>Transição</w:t>
            </w:r>
          </w:p>
        </w:tc>
        <w:tc>
          <w:tcPr>
            <w:tcW w:type="dxa" w:w="6066"/>
            <w:vAlign w:val="center"/>
            <w:tcMar>
              <w:top w:w="80" w:type="dxa"/>
              <w:bottom w:w="80" w:type="dxa"/>
              <w:left w:w="100" w:type="dxa"/>
              <w:right w:w="100" w:type="dxa"/>
            </w:tcMar>
            <w:shd w:fill="E6EBF0"/>
          </w:tcPr>
          <w:p>
            <w:pPr>
              <w:keepNext w:val="0"/>
              <w:spacing w:after="0" w:line="250" w:lineRule="auto"/>
            </w:pPr>
            <w:r>
              <w:rPr>
                <w:rFonts w:ascii="Arial" w:hAnsi="Arial"/>
                <w:b/>
                <w:color w:val="000000"/>
                <w:sz w:val="18"/>
              </w:rPr>
              <w:t>Efeito operacional</w:t>
            </w:r>
          </w:p>
        </w:tc>
      </w:tr>
      <w:tr>
        <w:trPr>
          <w:cantSplit/>
        </w:trPr>
        <w:tc>
          <w:tcPr>
            <w:tcW w:type="dxa" w:w="3572"/>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Externo para Revisão e criação</w:t>
            </w:r>
          </w:p>
        </w:tc>
        <w:tc>
          <w:tcPr>
            <w:tcW w:type="dxa" w:w="6066"/>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Sem crédito de saldo</w:t>
            </w:r>
          </w:p>
        </w:tc>
      </w:tr>
      <w:tr>
        <w:trPr>
          <w:cantSplit/>
        </w:trPr>
        <w:tc>
          <w:tcPr>
            <w:tcW w:type="dxa" w:w="3572"/>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Externo para Revisão e confirmação integral</w:t>
            </w:r>
          </w:p>
        </w:tc>
        <w:tc>
          <w:tcPr>
            <w:tcW w:type="dxa" w:w="6066"/>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Crédito na origem configurada da revisão e entrada vinculada</w:t>
            </w:r>
          </w:p>
        </w:tc>
      </w:tr>
      <w:tr>
        <w:trPr>
          <w:cantSplit/>
        </w:trPr>
        <w:tc>
          <w:tcPr>
            <w:tcW w:type="dxa" w:w="3572"/>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Revisão para externo e criação</w:t>
            </w:r>
          </w:p>
        </w:tc>
        <w:tc>
          <w:tcPr>
            <w:tcW w:type="dxa" w:w="6066"/>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Reserva mediante retirada do saldo disponível nas posições de origem</w:t>
            </w:r>
          </w:p>
        </w:tc>
      </w:tr>
      <w:tr>
        <w:trPr>
          <w:cantSplit/>
        </w:trPr>
        <w:tc>
          <w:tcPr>
            <w:tcW w:type="dxa" w:w="3572"/>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Revisão para externo e confirmação</w:t>
            </w:r>
          </w:p>
        </w:tc>
        <w:tc>
          <w:tcPr>
            <w:tcW w:type="dxa" w:w="6066"/>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Registra saída e encerra trânsito sem segundo débito</w:t>
            </w:r>
          </w:p>
        </w:tc>
      </w:tr>
      <w:tr>
        <w:trPr>
          <w:cantSplit/>
        </w:trPr>
        <w:tc>
          <w:tcPr>
            <w:tcW w:type="dxa" w:w="3572"/>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Recusa de envio da Revisão</w:t>
            </w:r>
          </w:p>
        </w:tc>
        <w:tc>
          <w:tcPr>
            <w:tcW w:type="dxa" w:w="6066"/>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Restaura integralmente as posições reservadas</w:t>
            </w:r>
          </w:p>
        </w:tc>
      </w:tr>
      <w:tr>
        <w:trPr>
          <w:cantSplit/>
        </w:trPr>
        <w:tc>
          <w:tcPr>
            <w:tcW w:type="dxa" w:w="3572"/>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Recusa de envio externo</w:t>
            </w:r>
          </w:p>
        </w:tc>
        <w:tc>
          <w:tcPr>
            <w:tcW w:type="dxa" w:w="6066"/>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Não altera saldo</w:t>
            </w:r>
          </w:p>
        </w:tc>
      </w:tr>
    </w:tbl>
    <w:p>
      <w:pPr>
        <w:keepNext/>
        <w:spacing w:after="60" w:before="0" w:line="240" w:lineRule="auto"/>
      </w:pPr>
      <w:r>
        <w:rPr>
          <w:sz w:val="4"/>
        </w:rPr>
      </w:r>
    </w:p>
    <w:p>
      <w:pPr>
        <w:pStyle w:val="Heading2"/>
      </w:pPr>
      <w:r>
        <w:t>RN22 Cancelamento pelo remetente</w:t>
      </w:r>
    </w:p>
    <w:p>
      <w:pPr/>
      <w:r>
        <w:t>Somente o autor cancela o envio inteiro enquanto AGUARDANDO_RECEBIMENTO, com motivo obrigatório de até 1000 caracteres. O estado passa a CANCELADO e a autoria, data e motivo permanecem no histórico e na auditoria SHIPMENT_CANCEL. Reservas da Revisão são devolvidas atomicamente, inclusive se o produto foi inativado. Envios externos ainda não têm saldo a estornar.</w:t>
      </w:r>
    </w:p>
    <w:p>
      <w:pPr/>
      <w:r>
        <w:t>Cancelamento é bloqueado após confirmação, recusa ou início de separação. Aceite e cancelamento concorrentes bloqueiam a mesma linha: apenas uma transição prevalece. Não se cancela novamente um envio cancelado.</w:t>
      </w:r>
    </w:p>
    <w:p>
      <w:pPr>
        <w:pStyle w:val="Heading2"/>
      </w:pPr>
      <w:r>
        <w:t>RN23 Efeito e integridade do recebimento</w:t>
      </w:r>
    </w:p>
    <w:p>
      <w:pPr/>
      <w:r>
        <w:t>Decisão, movimentações, saldo e auditoria usam uma transação. Reserva não pode ser consumida por outra saída, revisão, transferência, envio ou estorno de entrada. Variantes divergentes de validade exigem aceite tanto na criação externa como nova conferência no recebimento. Envios da Revisão preservam a variante escolhida.</w:t>
      </w:r>
    </w:p>
    <w:p>
      <w:pPr/>
      <w:r>
        <w:t>Envios comuns com várias origens podem gerar uma movimentação por local; todos preservam a identidade do envio. Relatórios de entradas e saídas passam a considerar o fluxo somente após confirmação.</w:t>
      </w:r>
    </w:p>
    <w:p>
      <w:pPr>
        <w:pStyle w:val="Heading2"/>
      </w:pPr>
      <w:r>
        <w:t>RN24 Correção depois do recebimento</w:t>
      </w:r>
    </w:p>
    <w:p>
      <w:pPr/>
      <w:r>
        <w:t>Movimentação vinculada a envio confirmado não permite cancelamento isolado. Uma devolução exige novo envio no sentido inverso e decisão do outro setor. Recusas permitem iniciar outro envio independente, preservando o documento recusado.</w:t>
      </w:r>
    </w:p>
    <w:p>
      <w:pPr>
        <w:pStyle w:val="Heading1"/>
      </w:pPr>
      <w:r>
        <w:t>6 Evidências carregamento e montagem</w:t>
      </w:r>
    </w:p>
    <w:p>
      <w:pPr>
        <w:pStyle w:val="Heading2"/>
      </w:pPr>
      <w:r>
        <w:t>RN25 Fotos privadas</w:t>
      </w:r>
    </w:p>
    <w:p>
      <w:pPr/>
      <w:r>
        <w:t>O administrador define mínimo e máximo de fotos por item, ambos inteiros entre 1 e 10, com mínimo menor ou igual ao máximo. O padrão é 1 a 5 por item; o limite total é 100 por envio. Retornos positivos da separação seguem a mesma regra. Alterar os limites não reescreve documentos anteriores.</w:t>
      </w:r>
    </w:p>
    <w:p>
      <w:pPr/>
      <w:r>
        <w:t>JPEG, PNG e WebP são aceitos, não vazios, com até 5 MB por arquivo e validação de MIME e conteúdo no backend. O banco guarda chave privada, tipo e tamanho; a imagem fica no storage privado e é servida por rota autenticada. Fotos são do item enviado, não do cadastro do produto ou do lote, e não podem ser substituídas após criação. Legados sem foto continuam consultáveis.</w:t>
      </w:r>
    </w:p>
    <w:p>
      <w:pPr/>
      <w:r>
        <w:t>A interface permite câmera, seleção de imagens, miniaturas e remoção antes do envio. Câmera gera JPEG com maior lado próximo de 1600 px e encerra as trilhas ao fechar ou capturar. HTTPS é exigido na publicação. Visualizador permite zoom de 100 a 400 por cento, arraste e restauração.</w:t>
      </w:r>
    </w:p>
    <w:p>
      <w:pPr>
        <w:pStyle w:val="Heading2"/>
      </w:pPr>
      <w:r>
        <w:t>RN26 Observações</w:t>
      </w:r>
    </w:p>
    <w:p>
      <w:pPr/>
      <w:r>
        <w:t>Observação geral e observação por item são opcionais, com até 1000 caracteres cada. São conferidas, preservadas e imutáveis. A observação geral acompanha a movimentação gerada no aceite.</w:t>
      </w:r>
    </w:p>
    <w:p>
      <w:pPr>
        <w:pStyle w:val="Heading2"/>
      </w:pPr>
      <w:r>
        <w:t>RN27 Situação de carregamento</w:t>
      </w:r>
    </w:p>
    <w:p>
      <w:pPr/>
      <w:r>
        <w:t>Novos envios Expedição para Revisão exigem Carregado ou Não carregado. Carregado exige placa; Não carregado não recebe placa. A informação pertence ao envio completo e aparece na conferência, recebimento e histórico, sem mudar o cálculo de estoque. Não se aplica às outras rotas; documentos antigos preservam ausência do campo.</w:t>
      </w:r>
    </w:p>
    <w:p>
      <w:pPr>
        <w:pStyle w:val="Heading2"/>
      </w:pPr>
      <w:r>
        <w:t>RN28 Montagem de fardos e caixas</w:t>
      </w:r>
    </w:p>
    <w:p>
      <w:pPr/>
      <w:r>
        <w:t>Somente no envio Revisão para Expedição é possível montar FD ou CX de um produto UN ativo vinculado à embalagem. Quantidade de embalagens é inteira; a soma de UN consumidas deve ser exatamente quantidade de embalagens multiplicada pelo fator vigente. Não se repetem posições nem se excede saldo. Uma posição tem parcela calculada automaticamente; várias exigem parcelas inteiras informadas.</w:t>
      </w:r>
    </w:p>
    <w:p>
      <w:pPr/>
      <w:r>
        <w:t>Montagem comum exige o mesmo lote nas origens, mesmo que os locais sejam diferentes. A opção de datas misturadas exige origens com datas diferentes e apresenta Lote 0, sem fabricação ou validade única. Lote 0 é apresentação: não cria lote fictício no estoque. Cada parcela real, fator, produto e resultado ficam em snapshot imutável.</w:t>
      </w:r>
    </w:p>
    <w:p>
      <w:pPr>
        <w:pStyle w:val="Heading2"/>
      </w:pPr>
      <w:r>
        <w:t>RN29 Confirmação e reversão da montagem</w:t>
      </w:r>
    </w:p>
    <w:p>
      <w:pPr/>
      <w:r>
        <w:t>Criação reserva UN; aceite não debita novamente e não credita embalagens no estoque interno. Recusa ou cancelamento anterior ao recebimento restaura cada parcela UN ao lote e local original. Cada embalagem registrada continua como um filho para recebimento e PCP, com suas origens detalhadas. Relatório mantém quantidade e unidade consumidas e informa separadamente o resultado FD ou CX.</w:t>
      </w:r>
    </w:p>
    <w:p>
      <w:pPr>
        <w:pStyle w:val="Heading1"/>
      </w:pPr>
      <w:r>
        <w:t>7 Separação imediata e configurações</w:t>
      </w:r>
    </w:p>
    <w:p>
      <w:pPr>
        <w:pStyle w:val="Heading2"/>
      </w:pPr>
      <w:r>
        <w:t>RN30 Início e prazo capturado</w:t>
      </w:r>
    </w:p>
    <w:p>
      <w:pPr/>
      <w:r>
        <w:t>Ao confirmar Expedição para Revisão, o destinatário pode receber integralmente ou iniciar separação. A separação coloca o envio em EM_SEPARACAO, com início e expiração persistidos. O prazo é configurável entre 5 e 1440 minutos, inicialmente 180, e é capturado no início; alterações posteriores não mudam esse envio.</w:t>
      </w:r>
    </w:p>
    <w:p>
      <w:pPr/>
      <w:r>
        <w:t>Enquanto separa, nenhum saldo definitivo é creditado e não há execução PCP disponível. Vários envios podem separar simultaneamente, cada um com seu prazo. A Expedição acompanha o estado sem ação. A Revisão pode salvar rascunhos por item.</w:t>
      </w:r>
    </w:p>
    <w:p>
      <w:pPr>
        <w:pStyle w:val="Heading2"/>
      </w:pPr>
      <w:r>
        <w:t>RN31 Conclusão e entrada líquida</w:t>
      </w:r>
    </w:p>
    <w:p>
      <w:pPr/>
      <w:r>
        <w:t>Somente itens do envio original podem retornar, com quantidade inteira entre zero e o recebido. Itens positivos exigem fotos dentro dos limites configurados. A conclusão credita diretamente recebido menos retorno; não há entrada bruta seguida de baixa.</w:t>
      </w:r>
    </w:p>
    <w:p>
      <w:pPr/>
      <w:r>
        <w:t>Exemplo operacional: recebimento de 100 UN e retorno de 20 UN creditam 80 UN. Um retorno integral não gera entrada artificial de quantidade zero.</w:t>
      </w:r>
    </w:p>
    <w:p>
      <w:pPr/>
      <w:r>
        <w:t>Havendo retorno positivo, nasce outro envio Revisão para Expedição, ligado por source_shipment_id. Ele não reserva saldo, pois o volume retornado não foi creditado à Revisão. Usa aceite e recusa existentes e sua movimentação tem requires_pcp_execution false; permanece consultável no PCP, sem execução pendente. A confirmação desse retorno não altera saldo.</w:t>
      </w:r>
    </w:p>
    <w:p>
      <w:pPr>
        <w:pStyle w:val="Heading2"/>
      </w:pPr>
      <w:r>
        <w:t>RN32 Expiração e concorrência</w:t>
      </w:r>
    </w:p>
    <w:p>
      <w:pPr/>
      <w:r>
        <w:t>Se o prazo vence, o rascunho é invalidado, o volume integral é creditado e o movimento original segue para o PCP. A expiração é processada pelo backend nas consultas e operações relevantes, sem scheduler nesta etapa. Fechar a tela não controla a validade do prazo.</w:t>
      </w:r>
    </w:p>
    <w:p>
      <w:pPr/>
      <w:r>
        <w:t>Conclusão e expiração bloqueiam a mesma linha do envio. Somente uma transição consolida saldo. Eventos vencidos são processados no acesso seguinte relevante.</w:t>
      </w:r>
    </w:p>
    <w:p>
      <w:pPr>
        <w:pStyle w:val="Heading2"/>
      </w:pPr>
      <w:r>
        <w:t>RN33 Configuração e histórico</w:t>
      </w:r>
    </w:p>
    <w:p>
      <w:pPr/>
      <w:r>
        <w:t>Prazo, limites de fotos e destinos da revisão são persistidos, auditados e alterados apenas em modo Admin. Destinos devem ser locais internos ativos cadastrados, distintos da origem da revisão; ao menos um deve ser selecionado. Mudanças afetam novas operações e preservam distribuições históricas.</w:t>
      </w:r>
    </w:p>
    <w:p>
      <w:pPr/>
      <w:r>
        <w:t>No histórico da Revisão, separação com retorno aparece como entrada líquida efetivada e envio derivado, ambos com referência ao original. O original continua consultável pelo vínculo e não se torna terceiro card nesse recorte. Em retorno integral, original e retorno preservam a rastreabilidade sem inventar saldo recebido.</w:t>
      </w:r>
    </w:p>
    <w:p>
      <w:pPr>
        <w:pStyle w:val="Heading1"/>
      </w:pPr>
      <w:r>
        <w:t>8 Entradas saídas e transferências</w:t>
      </w:r>
    </w:p>
    <w:p>
      <w:pPr>
        <w:pStyle w:val="Heading2"/>
      </w:pPr>
      <w:r>
        <w:t>RN34 Entrada externa direta</w:t>
      </w:r>
    </w:p>
    <w:p>
      <w:pPr/>
      <w:r>
        <w:t>Administrador geral em modo Admin pode registrar origem EXTERNAL ativa, inclusive Produção ou Expedição, e destino interno ativo STOCK ou SUBSTOCK. O lançamento é independente e imediato, sem criar envio nem exigir aceite do remetente. A tela orienta a não registrar a mesma entrega por entrada direta e por envio.</w:t>
      </w:r>
    </w:p>
    <w:p>
      <w:pPr/>
      <w:r>
        <w:t>A origem externa não tem saldo controlado a reduzir. Cada item acrescenta a quantidade à posição de destino; posição ausente é criada, posição existente acumula. Lote e datas são informados na operação e resolvidos na transação. O histórico preserva origem, itens, responsável, instante e auditoria. Correções seguem o estorno elegível.</w:t>
      </w:r>
    </w:p>
    <w:p>
      <w:pPr>
        <w:pStyle w:val="Heading2"/>
      </w:pPr>
      <w:r>
        <w:t>RN35 Saída externa direta</w:t>
      </w:r>
    </w:p>
    <w:p>
      <w:pPr/>
      <w:r>
        <w:t>Origem deve ser STOCK ou SUBSTOCK ativa, com posição e saldo suficientes. Destino é EXTERNAL ativo sem setor associado. Saídas para Produção ou Expedição usam obrigatoriamente Envios; a API rejeita esses destinos na saída direta.</w:t>
      </w:r>
    </w:p>
    <w:p>
      <w:pPr/>
      <w:r>
        <w:t>A baixa é condicionada ao saldo suficiente no banco e não cria posição no destino externo. Combinações duplicadas de produto e variante são rejeitadas. A interface mostra lote, datas e saldo e recarrega posições após conflito. A ação é administrativa.</w:t>
      </w:r>
    </w:p>
    <w:p>
      <w:pPr>
        <w:pStyle w:val="Heading2"/>
      </w:pPr>
      <w:r>
        <w:t>RN36 Transferência interna</w:t>
      </w:r>
    </w:p>
    <w:p>
      <w:pPr/>
      <w:r>
        <w:t>Origem é uma posição interna existente; destino também é STOCK ou SUBSTOCK. Produto permanece o mesmo. É possível mudar local, lote ou ambos. Mesmo local com mesmo código de lote é rejeitado, inclusive se somente a validade muda; mesmo local é permitido exclusivamente com outro código de lote.</w:t>
      </w:r>
    </w:p>
    <w:p>
      <w:pPr/>
      <w:r>
        <w:t>O lote de destino pode manter a variante de origem, apontar para uma variante existente do mesmo produto ou ser informado por código e datas na operação. destinationBatchId e destinationLot são alternativas e não são enviados juntos. Variante existente é reutilizada; uma nova é criada atomicamente, com confirmação de divergência de validade quando necessária.</w:t>
      </w:r>
    </w:p>
    <w:p>
      <w:pPr/>
      <w:r>
        <w:t>Quantidade retirada é exatamente a adicionada; o total do produto é preservado. Histórico mostra separadamente lote, fabricação, validade e local de origem e de destino. A transferência não recebe código público, mas mantém UUID técnico e itens próprios.</w:t>
      </w:r>
    </w:p>
    <w:p>
      <w:pPr>
        <w:pStyle w:val="Heading2"/>
      </w:pPr>
      <w:r>
        <w:t>Regras compartilhadas</w:t>
      </w:r>
    </w:p>
    <w:p>
      <w:pPr/>
      <w:r>
        <w:t>As três operações aceitam vários itens, inteiros positivos, confirmação do resumo e chave idempotente. Saída, transferência e revisão não repetem a mesma combinação produto e variante; validades diferentes são itens distintos. Uma falha reverte o documento inteiro.</w:t>
      </w:r>
    </w:p>
    <w:p>
      <w:pPr>
        <w:pStyle w:val="Heading1"/>
      </w:pPr>
      <w:r>
        <w:t>9 Revisão desmontagem e estorno</w:t>
      </w:r>
    </w:p>
    <w:p>
      <w:pPr>
        <w:pStyle w:val="Heading2"/>
      </w:pPr>
      <w:r>
        <w:t>RN37 Distribuição da revisão</w:t>
      </w:r>
    </w:p>
    <w:p>
      <w:pPr/>
      <w:r>
        <w:t>Uma única movimentação REVISAO pode conter vários itens e vários destinos por item. Origem é o único local SOURCE, normalmente Revisar. Destinos vêm da configuração atual; locais externos, a própria origem ou locais não selecionados são rejeitados. Um destino não pode se repetir no mesmo item.</w:t>
      </w:r>
    </w:p>
    <w:p>
      <w:pPr/>
      <w:r>
        <w:t>Pode-se revisar parte do saldo; o restante fica na origem. Para UN, produto é preservado e soma das distribuições deve igualar a quantidade revisada. O formulário mostra total, distribuído e restante e impede confirmação inválida.</w:t>
      </w:r>
    </w:p>
    <w:p>
      <w:pPr>
        <w:pStyle w:val="Heading2"/>
      </w:pPr>
      <w:r>
        <w:t>RN38 Desmontagem de FD e CX</w:t>
      </w:r>
    </w:p>
    <w:p>
      <w:pPr/>
      <w:r>
        <w:t>FD e CX são desmontados obrigatoriamente em um único produto UN ativo escolhido entre os vínculos cadastrados. Debita-se a quantidade de embalagens e credita-se quantidade revisada multiplicada pelo fator. Exemplo: 10 CX de 12 unidades geram 120 UN, distribuídas integralmente entre os destinos.</w:t>
      </w:r>
    </w:p>
    <w:p>
      <w:pPr/>
      <w:r>
        <w:t>Código do lote, fabricação e validade são preservados. A referência equivalente para UN é resolvida ou criada, com confirmação se houver outra validade. A API compara expectedUnitsPerPackage com o fator vigente e revalida produto resultante e distribuição; cálculo do navegador não autoriza saldo.</w:t>
      </w:r>
    </w:p>
    <w:p>
      <w:pPr/>
      <w:r>
        <w:t>O item grava produto e quantidade originais, produto e lote resultantes, fator, quantidade convertida e snapshots. Esses registros orientam consultas e reversão mesmo após alterações do cadastro.</w:t>
      </w:r>
    </w:p>
    <w:p>
      <w:pPr>
        <w:pStyle w:val="Heading2"/>
      </w:pPr>
      <w:r>
        <w:t>RN39 Cancelamento integral</w:t>
      </w:r>
    </w:p>
    <w:p>
      <w:pPr/>
      <w:r>
        <w:t>Movimentação elegível efetivada pode ser cancelada pelo ADMIN geral em modo Admin, com motivo obrigatório de até 1000 caracteres, visualização do impacto e confirmação. O original recebe CANCELADA, responsável, instante e motivo; não é apagado nem editado em seus dados operacionais. Cancelamento parcial e cancelamento repetido não existem.</w:t>
      </w:r>
    </w:p>
    <w:p>
      <w:pPr>
        <w:pStyle w:val="Heading2"/>
      </w:pPr>
      <w:r>
        <w:t>RN40 Efeitos e bloqueios do estorno</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572"/>
        <w:gridCol w:w="6066"/>
      </w:tblGrid>
      <w:tr>
        <w:trPr>
          <w:cantSplit/>
          <w:tblHeader/>
        </w:trPr>
        <w:tc>
          <w:tcPr>
            <w:tcW w:type="dxa" w:w="3572"/>
            <w:vAlign w:val="center"/>
            <w:tcMar>
              <w:top w:w="80" w:type="dxa"/>
              <w:bottom w:w="80" w:type="dxa"/>
              <w:left w:w="100" w:type="dxa"/>
              <w:right w:w="100" w:type="dxa"/>
            </w:tcMar>
            <w:shd w:fill="E6EBF0"/>
          </w:tcPr>
          <w:p>
            <w:pPr>
              <w:keepNext w:val="0"/>
              <w:spacing w:after="0" w:line="250" w:lineRule="auto"/>
            </w:pPr>
            <w:r>
              <w:rPr>
                <w:rFonts w:ascii="Arial" w:hAnsi="Arial"/>
                <w:b/>
                <w:color w:val="000000"/>
                <w:sz w:val="18"/>
              </w:rPr>
              <w:t>Operação original</w:t>
            </w:r>
          </w:p>
        </w:tc>
        <w:tc>
          <w:tcPr>
            <w:tcW w:type="dxa" w:w="6066"/>
            <w:vAlign w:val="center"/>
            <w:tcMar>
              <w:top w:w="80" w:type="dxa"/>
              <w:bottom w:w="80" w:type="dxa"/>
              <w:left w:w="100" w:type="dxa"/>
              <w:right w:w="100" w:type="dxa"/>
            </w:tcMar>
            <w:shd w:fill="E6EBF0"/>
          </w:tcPr>
          <w:p>
            <w:pPr>
              <w:keepNext w:val="0"/>
              <w:spacing w:after="0" w:line="250" w:lineRule="auto"/>
            </w:pPr>
            <w:r>
              <w:rPr>
                <w:rFonts w:ascii="Arial" w:hAnsi="Arial"/>
                <w:b/>
                <w:color w:val="000000"/>
                <w:sz w:val="18"/>
              </w:rPr>
              <w:t>Reversão integral</w:t>
            </w:r>
          </w:p>
        </w:tc>
      </w:tr>
      <w:tr>
        <w:trPr>
          <w:cantSplit/>
        </w:trPr>
        <w:tc>
          <w:tcPr>
            <w:tcW w:type="dxa" w:w="3572"/>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Entrada externa</w:t>
            </w:r>
          </w:p>
        </w:tc>
        <w:tc>
          <w:tcPr>
            <w:tcW w:type="dxa" w:w="6066"/>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Retira do destino todo o volume creditado</w:t>
            </w:r>
          </w:p>
        </w:tc>
      </w:tr>
      <w:tr>
        <w:trPr>
          <w:cantSplit/>
        </w:trPr>
        <w:tc>
          <w:tcPr>
            <w:tcW w:type="dxa" w:w="3572"/>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Saída externa</w:t>
            </w:r>
          </w:p>
        </w:tc>
        <w:tc>
          <w:tcPr>
            <w:tcW w:type="dxa" w:w="6066"/>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Devolve à origem todo o volume debitado</w:t>
            </w:r>
          </w:p>
        </w:tc>
      </w:tr>
      <w:tr>
        <w:trPr>
          <w:cantSplit/>
        </w:trPr>
        <w:tc>
          <w:tcPr>
            <w:tcW w:type="dxa" w:w="3572"/>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Transferência</w:t>
            </w:r>
          </w:p>
        </w:tc>
        <w:tc>
          <w:tcPr>
            <w:tcW w:type="dxa" w:w="6066"/>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Retira da variante de destino e devolve à de origem</w:t>
            </w:r>
          </w:p>
        </w:tc>
      </w:tr>
      <w:tr>
        <w:trPr>
          <w:cantSplit/>
        </w:trPr>
        <w:tc>
          <w:tcPr>
            <w:tcW w:type="dxa" w:w="3572"/>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Revisão UN</w:t>
            </w:r>
          </w:p>
        </w:tc>
        <w:tc>
          <w:tcPr>
            <w:tcW w:type="dxa" w:w="6066"/>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Retira cada distribuição e devolve o total à origem</w:t>
            </w:r>
          </w:p>
        </w:tc>
      </w:tr>
      <w:tr>
        <w:trPr>
          <w:cantSplit/>
        </w:trPr>
        <w:tc>
          <w:tcPr>
            <w:tcW w:type="dxa" w:w="3572"/>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Desmontagem</w:t>
            </w:r>
          </w:p>
        </w:tc>
        <w:tc>
          <w:tcPr>
            <w:tcW w:type="dxa" w:w="6066"/>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Retira UN produzidas e devolve FD ou CX originais com o fator histórico</w:t>
            </w:r>
          </w:p>
        </w:tc>
      </w:tr>
    </w:tbl>
    <w:p>
      <w:pPr>
        <w:keepNext/>
        <w:spacing w:after="60" w:before="0" w:line="240" w:lineRule="auto"/>
      </w:pPr>
      <w:r>
        <w:rPr>
          <w:sz w:val="4"/>
        </w:rPr>
      </w:r>
    </w:p>
    <w:p>
      <w:pPr/>
      <w:r>
        <w:t>Saldo insuficiente em qualquer posição necessária bloqueia tudo, sem efeito parcial. Dependências devem ser estornadas primeiro; não há reversão automática encadeada. Movimentações de envio confirmado não são elegíveis a estorno isolado. A transação bloqueia original e posições, preservando saldo não negativo e auditoria.</w:t>
      </w:r>
    </w:p>
    <w:p>
      <w:pPr>
        <w:pStyle w:val="Heading1"/>
      </w:pPr>
      <w:r>
        <w:t>10 Histórico execução PCP e Home</w:t>
      </w:r>
    </w:p>
    <w:p>
      <w:pPr>
        <w:pStyle w:val="Heading2"/>
      </w:pPr>
      <w:r>
        <w:t>RN41 Histórico e rastreabilidade</w:t>
      </w:r>
    </w:p>
    <w:p>
      <w:pPr/>
      <w:r>
        <w:t>Histórico reúne envios e movimentações diretas em consulta paginada somente de leitura. Em geral não duplica o envio confirmado por sua movimentação vinculada; separação com retorno aplica a exceção da entrada líquida e do retorno. Setor e sentido relativo ao setor são aplicados na consulta.</w:t>
      </w:r>
    </w:p>
    <w:p>
      <w:pPr/>
      <w:r>
        <w:t>Por registro é a visão padrão; Por grupo mostra a operação e seus filhos. Busca pelo grupo retorna filhos; busca pelo código filho retorna apenas aquele item. Filtros combinam etapa, tipo, período, produto, código e sentido. Detalhes preservam rota, lotes, fabricação, validade, quantidades, distribuições, observações, fotos e responsáveis de cada etapa.</w:t>
      </w:r>
    </w:p>
    <w:p>
      <w:pPr/>
      <w:r>
        <w:t>Novos itens guardam código, descrição e unidade do produto em snapshot. Dados antigos sem snapshot mantêm a referência existente, sem fabricar valores históricos. Canceladas permanecem consultáveis com motivo, autor e instante. Auditoria técnica e histórico operacional são distintos.</w:t>
      </w:r>
    </w:p>
    <w:p>
      <w:pPr>
        <w:pStyle w:val="Heading2"/>
      </w:pPr>
      <w:r>
        <w:t>RN42 Execução administrativa PCP</w:t>
      </w:r>
    </w:p>
    <w:p>
      <w:pPr/>
      <w:r>
        <w:t>Estado operacional e estado PCP são independentes. Cada registro exigível de movimentação efetivada nasce PENDENTE no PCP. Um registro concluído transita uma vez para EXECUTADA; os irmãos continuam pendentes e o grupo só fica executado quando nenhum filho exigível resta pendente.</w:t>
      </w:r>
    </w:p>
    <w:p>
      <w:pPr/>
      <w:r>
        <w:t>Envios entram na fila executável depois do aceite e geração da movimentação. Pendentes, recusados, incompletos e cancelados não podem ser executados. Retornos imediatos sem necessidade de PCP permanecem consultáveis, mas não aparecem entre pendentes nem aceitam execução.</w:t>
      </w:r>
    </w:p>
    <w:p>
      <w:pPr/>
      <w:r>
        <w:t>A execução grava usuário autenticado, instante e observação própria, sem alterar produto, lote, datas, quantidade, rota, fotos ou observações operacionais. Concorrência usa lock pessimista; a primeira execução vence, posteriores recebem conflito. A rota compatível de execução por grupo marca seus filhos pendentes juntos. Não há reabertura de execução.</w:t>
      </w:r>
    </w:p>
    <w:p>
      <w:pPr>
        <w:pStyle w:val="Heading2"/>
      </w:pPr>
      <w:r>
        <w:t>RN43 Apresentação e prioridades operacionais</w:t>
      </w:r>
    </w:p>
    <w:p>
      <w:pPr/>
      <w:r>
        <w:t>Fila PCP inicia com concluídas pendentes, das mais antigas para as mais novas, e permite filtros e ordenação. Detalhe por filho reutiliza a operação, mostrando somente o item e sua evidência; detalhe do grupo permite navegar pelos filhos e acompanhar progresso.</w:t>
      </w:r>
    </w:p>
    <w:p>
      <w:pPr/>
      <w:r>
        <w:t>Home mostra atalhos autorizados, pendências de recebimento, envios abertos, concluídas aguardando PCP e últimas finalizadas. Finalizada significa confirmação ou efetivação sem ação PCP restante; recusas e cancelamentos ficam em Encerradas. Avisos de envios atualizam a cada 30 segundos sem interromper formulários.</w:t>
      </w:r>
    </w:p>
    <w:p>
      <w:pPr/>
      <w:r>
        <w:t>Cards abrem resumos com estado, rota, responsáveis e itens. Resumo encaminha ações ao registro específico; não efetua a operação. Home, histórico e PCP mostram as distribuições realmente gravadas e a unidade resultante da desmontagem.</w:t>
      </w:r>
    </w:p>
    <w:p>
      <w:pPr>
        <w:pStyle w:val="Heading1"/>
      </w:pPr>
      <w:r>
        <w:t>11 Relatórios e experiência de uso</w:t>
      </w:r>
    </w:p>
    <w:p>
      <w:pPr>
        <w:pStyle w:val="Heading2"/>
      </w:pPr>
      <w:r>
        <w:t>RN44 Fontes filtros e totais</w:t>
      </w:r>
    </w:p>
    <w:p>
      <w:pPr/>
      <w:r>
        <w:t>Relatórios são somente leitura. Histórico usa movimentos confirmados e distribuições; estoque usa posições atuais disponíveis. Pendências e recusas não entram nos totais de entradas ou saídas. Canceladas são consultáveis, mas excluídas de totais válidos. Unidades incompatíveis nunca são somadas; totais são separados por UN, FD e CX.</w:t>
      </w:r>
    </w:p>
    <w:p>
      <w:pPr/>
      <w:r>
        <w:t>Filtros das linhas, totais e CSV devem ser equivalentes. Consultas são paginadas; CSV exporta todas as linhas filtradas sem a paginação da tela. Interface apresenta os totais da API, sem recalcular no navegador.</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572"/>
        <w:gridCol w:w="6066"/>
      </w:tblGrid>
      <w:tr>
        <w:trPr>
          <w:cantSplit/>
          <w:tblHeader/>
        </w:trPr>
        <w:tc>
          <w:tcPr>
            <w:tcW w:type="dxa" w:w="3572"/>
            <w:vAlign w:val="center"/>
            <w:tcMar>
              <w:top w:w="80" w:type="dxa"/>
              <w:bottom w:w="80" w:type="dxa"/>
              <w:left w:w="100" w:type="dxa"/>
              <w:right w:w="100" w:type="dxa"/>
            </w:tcMar>
            <w:shd w:fill="E6EBF0"/>
          </w:tcPr>
          <w:p>
            <w:pPr>
              <w:keepNext w:val="0"/>
              <w:spacing w:after="0" w:line="250" w:lineRule="auto"/>
            </w:pPr>
            <w:r>
              <w:rPr>
                <w:rFonts w:ascii="Arial" w:hAnsi="Arial"/>
                <w:b/>
                <w:color w:val="000000"/>
                <w:sz w:val="18"/>
              </w:rPr>
              <w:t>Relatório</w:t>
            </w:r>
          </w:p>
        </w:tc>
        <w:tc>
          <w:tcPr>
            <w:tcW w:type="dxa" w:w="6066"/>
            <w:vAlign w:val="center"/>
            <w:tcMar>
              <w:top w:w="80" w:type="dxa"/>
              <w:bottom w:w="80" w:type="dxa"/>
              <w:left w:w="100" w:type="dxa"/>
              <w:right w:w="100" w:type="dxa"/>
            </w:tcMar>
            <w:shd w:fill="E6EBF0"/>
          </w:tcPr>
          <w:p>
            <w:pPr>
              <w:keepNext w:val="0"/>
              <w:spacing w:after="0" w:line="250" w:lineRule="auto"/>
            </w:pPr>
            <w:r>
              <w:rPr>
                <w:rFonts w:ascii="Arial" w:hAnsi="Arial"/>
                <w:b/>
                <w:color w:val="000000"/>
                <w:sz w:val="18"/>
              </w:rPr>
              <w:t>Conteúdo e filtros</w:t>
            </w:r>
          </w:p>
        </w:tc>
      </w:tr>
      <w:tr>
        <w:trPr>
          <w:cantSplit/>
        </w:trPr>
        <w:tc>
          <w:tcPr>
            <w:tcW w:type="dxa" w:w="3572"/>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Movimentações</w:t>
            </w:r>
          </w:p>
        </w:tc>
        <w:tc>
          <w:tcPr>
            <w:tcW w:type="dxa" w:w="6066"/>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Período, tipo, produto, lote e estado; origem e resultado separados nas transformações</w:t>
            </w:r>
          </w:p>
        </w:tc>
      </w:tr>
      <w:tr>
        <w:trPr>
          <w:cantSplit/>
        </w:trPr>
        <w:tc>
          <w:tcPr>
            <w:tcW w:type="dxa" w:w="3572"/>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Revisões</w:t>
            </w:r>
          </w:p>
        </w:tc>
        <w:tc>
          <w:tcPr>
            <w:tcW w:type="dxa" w:w="6066"/>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Período, produto, lote e destino; distribuições efetivadas e totais de destinos configurados</w:t>
            </w:r>
          </w:p>
        </w:tc>
      </w:tr>
      <w:tr>
        <w:trPr>
          <w:cantSplit/>
        </w:trPr>
        <w:tc>
          <w:tcPr>
            <w:tcW w:type="dxa" w:w="3572"/>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Estoque e validades</w:t>
            </w:r>
          </w:p>
        </w:tc>
        <w:tc>
          <w:tcPr>
            <w:tcW w:type="dxa" w:w="6066"/>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Saldo positivo, produto, lote, local, fabricação, validade e situação</w:t>
            </w:r>
          </w:p>
        </w:tc>
      </w:tr>
      <w:tr>
        <w:trPr>
          <w:cantSplit/>
        </w:trPr>
        <w:tc>
          <w:tcPr>
            <w:tcW w:type="dxa" w:w="3572"/>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Estoque por produto</w:t>
            </w:r>
          </w:p>
        </w:tc>
        <w:tc>
          <w:tcPr>
            <w:tcW w:type="dxa" w:w="6066"/>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Mesmos filtros e totais, paginação por produto e posições detalhadas</w:t>
            </w:r>
          </w:p>
        </w:tc>
      </w:tr>
    </w:tbl>
    <w:p>
      <w:pPr>
        <w:keepNext/>
        <w:spacing w:after="60" w:before="0" w:line="240" w:lineRule="auto"/>
      </w:pPr>
      <w:r>
        <w:rPr>
          <w:sz w:val="4"/>
        </w:rPr>
      </w:r>
    </w:p>
    <w:p>
      <w:pPr/>
      <w:r>
        <w:t>Destinos sem volume válido recebem total zero nas unidades presentes. Revisões canceladas não entram nos resultados nem nos totais de revisão. Filtros de produto encontram origem e resultado de desmontagem ou montagem, preservando as unidades de cada efeito.</w:t>
      </w:r>
    </w:p>
    <w:p>
      <w:pPr>
        <w:pStyle w:val="Heading2"/>
      </w:pPr>
      <w:r>
        <w:t>RN45 Validade e datas</w:t>
      </w:r>
    </w:p>
    <w:p>
      <w:pPr/>
      <w:r>
        <w:t>Validade é data civil YYYY-MM-DD e é classificada em VALIDO, PROXIMO_VENCIMENTO ou VENCIDO segundo data de referência e janela informada. Eventos históricos usam instantes ISO 8601 com fuso. includeSubstocks com um estoque principal inclui suas classificações filhas, mantendo filtros e totais.</w:t>
      </w:r>
    </w:p>
    <w:p>
      <w:pPr>
        <w:pStyle w:val="Heading2"/>
      </w:pPr>
      <w:r>
        <w:t>RN46 Interação e acessibilidade</w:t>
      </w:r>
    </w:p>
    <w:p>
      <w:pPr/>
      <w:r>
        <w:t>Interface mobile-first a partir de 320 px, com barra inferior no celular, sidebar no desktop e tabelas convertidas em cards quando necessário. Formulários mostram carregamento, vazio, erro e sucesso, exigem conferência das ações críticas e bloqueiam duplo envio.</w:t>
      </w:r>
    </w:p>
    <w:p>
      <w:pPr/>
      <w:r>
        <w:t>Seletores de produto por código ou descrição são sincronizados e pesquisáveis. Posições mostram saldo, local, lote e datas; Lata Boa é priorizada em envios e montagem. Modais de inclusão preservam o rascunho até salvar e descartam apenas esse item ao cancelar. Seleção funciona por toque, mouse e teclado; Escape fecha a lista antes do modal.</w:t>
      </w:r>
    </w:p>
    <w:p>
      <w:pPr/>
      <w:r>
        <w:t>Tema e contraste vêm das preferências da conta. Animações e rolagem suave respeitam redução de movimento. Modais mobile acompanham a área visível com teclado aberto e preservam rolagem do formulário.</w:t>
      </w:r>
    </w:p>
    <w:p>
      <w:pPr/>
      <w:r>
        <w:t>A Home operacional está implementada. Dashboard analítico avançado e interface de exportação CSV permanecem evoluções separadas.</w:t>
      </w:r>
    </w:p>
    <w:p>
      <w:pPr>
        <w:pStyle w:val="Heading1"/>
      </w:pPr>
      <w:r>
        <w:t>12 Arquitetura e responsabilidades</w:t>
      </w:r>
    </w:p>
    <w:p>
      <w:pPr>
        <w:pStyle w:val="Heading2"/>
      </w:pPr>
      <w:r>
        <w:t>AR01 Monólito modular</w:t>
      </w:r>
    </w:p>
    <w:p>
      <w:pPr/>
      <w:r>
        <w:t>O sistema usa npm workspaces, com apps/backend e apps/frontend. É um monólito modular; microserviços, filas ou novas tecnologias exigem necessidade documentada.</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572"/>
        <w:gridCol w:w="6066"/>
      </w:tblGrid>
      <w:tr>
        <w:trPr>
          <w:cantSplit/>
          <w:tblHeader/>
        </w:trPr>
        <w:tc>
          <w:tcPr>
            <w:tcW w:type="dxa" w:w="3572"/>
            <w:vAlign w:val="center"/>
            <w:tcMar>
              <w:top w:w="80" w:type="dxa"/>
              <w:bottom w:w="80" w:type="dxa"/>
              <w:left w:w="100" w:type="dxa"/>
              <w:right w:w="100" w:type="dxa"/>
            </w:tcMar>
            <w:shd w:fill="E6EBF0"/>
          </w:tcPr>
          <w:p>
            <w:pPr>
              <w:keepNext w:val="0"/>
              <w:spacing w:after="0" w:line="250" w:lineRule="auto"/>
            </w:pPr>
            <w:r>
              <w:rPr>
                <w:rFonts w:ascii="Arial" w:hAnsi="Arial"/>
                <w:b/>
                <w:color w:val="000000"/>
                <w:sz w:val="18"/>
              </w:rPr>
              <w:t>Camada</w:t>
            </w:r>
          </w:p>
        </w:tc>
        <w:tc>
          <w:tcPr>
            <w:tcW w:type="dxa" w:w="6066"/>
            <w:vAlign w:val="center"/>
            <w:tcMar>
              <w:top w:w="80" w:type="dxa"/>
              <w:bottom w:w="80" w:type="dxa"/>
              <w:left w:w="100" w:type="dxa"/>
              <w:right w:w="100" w:type="dxa"/>
            </w:tcMar>
            <w:shd w:fill="E6EBF0"/>
          </w:tcPr>
          <w:p>
            <w:pPr>
              <w:keepNext w:val="0"/>
              <w:spacing w:after="0" w:line="250" w:lineRule="auto"/>
            </w:pPr>
            <w:r>
              <w:rPr>
                <w:rFonts w:ascii="Arial" w:hAnsi="Arial"/>
                <w:b/>
                <w:color w:val="000000"/>
                <w:sz w:val="18"/>
              </w:rPr>
              <w:t>Tecnologia de referência</w:t>
            </w:r>
          </w:p>
        </w:tc>
      </w:tr>
      <w:tr>
        <w:trPr>
          <w:cantSplit/>
        </w:trPr>
        <w:tc>
          <w:tcPr>
            <w:tcW w:type="dxa" w:w="3572"/>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Frontend</w:t>
            </w:r>
          </w:p>
        </w:tc>
        <w:tc>
          <w:tcPr>
            <w:tcW w:type="dxa" w:w="6066"/>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React 19, TypeScript e Vite</w:t>
            </w:r>
          </w:p>
        </w:tc>
      </w:tr>
      <w:tr>
        <w:trPr>
          <w:cantSplit/>
        </w:trPr>
        <w:tc>
          <w:tcPr>
            <w:tcW w:type="dxa" w:w="3572"/>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Backend</w:t>
            </w:r>
          </w:p>
        </w:tc>
        <w:tc>
          <w:tcPr>
            <w:tcW w:type="dxa" w:w="6066"/>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Node.js 22 ou superior, TypeScript e NestJS 11</w:t>
            </w:r>
          </w:p>
        </w:tc>
      </w:tr>
      <w:tr>
        <w:trPr>
          <w:cantSplit/>
        </w:trPr>
        <w:tc>
          <w:tcPr>
            <w:tcW w:type="dxa" w:w="3572"/>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API</w:t>
            </w:r>
          </w:p>
        </w:tc>
        <w:tc>
          <w:tcPr>
            <w:tcW w:type="dxa" w:w="6066"/>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REST e JSON com prefixo /api/v1</w:t>
            </w:r>
          </w:p>
        </w:tc>
      </w:tr>
      <w:tr>
        <w:trPr>
          <w:cantSplit/>
        </w:trPr>
        <w:tc>
          <w:tcPr>
            <w:tcW w:type="dxa" w:w="3572"/>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Banco</w:t>
            </w:r>
          </w:p>
        </w:tc>
        <w:tc>
          <w:tcPr>
            <w:tcW w:type="dxa" w:w="6066"/>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PostgreSQL 17 e TypeORM</w:t>
            </w:r>
          </w:p>
        </w:tc>
      </w:tr>
      <w:tr>
        <w:trPr>
          <w:cantSplit/>
        </w:trPr>
        <w:tc>
          <w:tcPr>
            <w:tcW w:type="dxa" w:w="3572"/>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Testes</w:t>
            </w:r>
          </w:p>
        </w:tc>
        <w:tc>
          <w:tcPr>
            <w:tcW w:type="dxa" w:w="6066"/>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Jest no backend e Vitest no frontend</w:t>
            </w:r>
          </w:p>
        </w:tc>
      </w:tr>
      <w:tr>
        <w:trPr>
          <w:cantSplit/>
        </w:trPr>
        <w:tc>
          <w:tcPr>
            <w:tcW w:type="dxa" w:w="3572"/>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Qualidade</w:t>
            </w:r>
          </w:p>
        </w:tc>
        <w:tc>
          <w:tcPr>
            <w:tcW w:type="dxa" w:w="6066"/>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TypeScript estrito e ESLint</w:t>
            </w:r>
          </w:p>
        </w:tc>
      </w:tr>
    </w:tbl>
    <w:p>
      <w:pPr>
        <w:keepNext/>
        <w:spacing w:after="60" w:before="0" w:line="240" w:lineRule="auto"/>
      </w:pPr>
      <w:r>
        <w:rPr>
          <w:sz w:val="4"/>
        </w:rPr>
      </w:r>
    </w:p>
    <w:p>
      <w:pPr>
        <w:pStyle w:val="Heading2"/>
      </w:pPr>
      <w:r>
        <w:t>AR02 Organização dos módulos</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572"/>
        <w:gridCol w:w="6066"/>
      </w:tblGrid>
      <w:tr>
        <w:trPr>
          <w:cantSplit/>
          <w:tblHeader/>
        </w:trPr>
        <w:tc>
          <w:tcPr>
            <w:tcW w:type="dxa" w:w="3572"/>
            <w:vAlign w:val="center"/>
            <w:tcMar>
              <w:top w:w="80" w:type="dxa"/>
              <w:bottom w:w="80" w:type="dxa"/>
              <w:left w:w="100" w:type="dxa"/>
              <w:right w:w="100" w:type="dxa"/>
            </w:tcMar>
            <w:shd w:fill="E6EBF0"/>
          </w:tcPr>
          <w:p>
            <w:pPr>
              <w:keepNext w:val="0"/>
              <w:spacing w:after="0" w:line="250" w:lineRule="auto"/>
            </w:pPr>
            <w:r>
              <w:rPr>
                <w:rFonts w:ascii="Arial" w:hAnsi="Arial"/>
                <w:b/>
                <w:color w:val="000000"/>
                <w:sz w:val="18"/>
              </w:rPr>
              <w:t>Grupo</w:t>
            </w:r>
          </w:p>
        </w:tc>
        <w:tc>
          <w:tcPr>
            <w:tcW w:type="dxa" w:w="6066"/>
            <w:vAlign w:val="center"/>
            <w:tcMar>
              <w:top w:w="80" w:type="dxa"/>
              <w:bottom w:w="80" w:type="dxa"/>
              <w:left w:w="100" w:type="dxa"/>
              <w:right w:w="100" w:type="dxa"/>
            </w:tcMar>
            <w:shd w:fill="E6EBF0"/>
          </w:tcPr>
          <w:p>
            <w:pPr>
              <w:keepNext w:val="0"/>
              <w:spacing w:after="0" w:line="250" w:lineRule="auto"/>
            </w:pPr>
            <w:r>
              <w:rPr>
                <w:rFonts w:ascii="Arial" w:hAnsi="Arial"/>
                <w:b/>
                <w:color w:val="000000"/>
                <w:sz w:val="18"/>
              </w:rPr>
              <w:t>Módulos e responsabilidade</w:t>
            </w:r>
          </w:p>
        </w:tc>
      </w:tr>
      <w:tr>
        <w:trPr>
          <w:cantSplit/>
        </w:trPr>
        <w:tc>
          <w:tcPr>
            <w:tcW w:type="dxa" w:w="3572"/>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Identidade</w:t>
            </w:r>
          </w:p>
        </w:tc>
        <w:tc>
          <w:tcPr>
            <w:tcW w:type="dxa" w:w="6066"/>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auth, users e presence para sessão, autorização e atividade</w:t>
            </w:r>
          </w:p>
        </w:tc>
      </w:tr>
      <w:tr>
        <w:trPr>
          <w:cantSplit/>
        </w:trPr>
        <w:tc>
          <w:tcPr>
            <w:tcW w:type="dxa" w:w="3572"/>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Cadastro e saldo</w:t>
            </w:r>
          </w:p>
        </w:tc>
        <w:tc>
          <w:tcPr>
            <w:tcW w:type="dxa" w:w="6066"/>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products, batches e stocks para produtos, codec, locais e posições</w:t>
            </w:r>
          </w:p>
        </w:tc>
      </w:tr>
      <w:tr>
        <w:trPr>
          <w:cantSplit/>
        </w:trPr>
        <w:tc>
          <w:tcPr>
            <w:tcW w:type="dxa" w:w="3572"/>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Operações</w:t>
            </w:r>
          </w:p>
        </w:tc>
        <w:tc>
          <w:tcPr>
            <w:tcW w:type="dxa" w:w="6066"/>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movements, shipments e settings para lançamentos, envios e parâmetros</w:t>
            </w:r>
          </w:p>
        </w:tc>
      </w:tr>
      <w:tr>
        <w:trPr>
          <w:cantSplit/>
        </w:trPr>
        <w:tc>
          <w:tcPr>
            <w:tcW w:type="dxa" w:w="3572"/>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Evidências e consulta</w:t>
            </w:r>
          </w:p>
        </w:tc>
        <w:tc>
          <w:tcPr>
            <w:tcW w:type="dxa" w:w="6066"/>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storage, reports, history e pcp para fotos, relatórios e execução</w:t>
            </w:r>
          </w:p>
        </w:tc>
      </w:tr>
      <w:tr>
        <w:trPr>
          <w:cantSplit/>
        </w:trPr>
        <w:tc>
          <w:tcPr>
            <w:tcW w:type="dxa" w:w="3572"/>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Suporte</w:t>
            </w:r>
          </w:p>
        </w:tc>
        <w:tc>
          <w:tcPr>
            <w:tcW w:type="dxa" w:w="6066"/>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audit, health, config, database e shared para trilha, saúde, migrations e contratos</w:t>
            </w:r>
          </w:p>
        </w:tc>
      </w:tr>
    </w:tbl>
    <w:p>
      <w:pPr>
        <w:keepNext/>
        <w:spacing w:after="60" w:before="0" w:line="240" w:lineRule="auto"/>
      </w:pPr>
      <w:r>
        <w:rPr>
          <w:sz w:val="4"/>
        </w:rPr>
      </w:r>
    </w:p>
    <w:p>
      <w:pPr>
        <w:pStyle w:val="Heading2"/>
      </w:pPr>
      <w:r>
        <w:t>AR03 Fronteiras de responsabilidade</w:t>
      </w:r>
    </w:p>
    <w:p>
      <w:pPr/>
      <w:r>
        <w:t>Controllers tratam HTTP, DTOs e contexto autenticado. Services implementam casos de uso e coordenam regras. Repositories isolam consultas e persistência; entities descrevem o modelo relacional. DTO e entity não devem se tornar contratos implícitos entre camadas.</w:t>
      </w:r>
    </w:p>
    <w:p>
      <w:pPr/>
      <w:r>
        <w:t>StockPositionsService é a fronteira única de alteração do saldo. MovementsService coordena cabeçalho, itens, distribuições, efeitos e auditoria. ShipmentsService reutiliza serviços de lote, saldo, movimentação e auditoria no mesmo EntityManager. AuditService aceita o manager da operação para participar da transação.</w:t>
      </w:r>
    </w:p>
    <w:p>
      <w:pPr>
        <w:pStyle w:val="Heading2"/>
      </w:pPr>
      <w:r>
        <w:t>AR04 Consultas e frontend</w:t>
      </w:r>
    </w:p>
    <w:p>
      <w:pPr/>
      <w:r>
        <w:t>ReportsRepository centraliza filtros e agregações sem duplicar saldo ou histórico. HistoryService pagina a união somente de leitura. Frontend possui shell, páginas, componentes e cliente da API; autorização e validação definitiva continuam no backend.</w:t>
      </w:r>
    </w:p>
    <w:p>
      <w:pPr>
        <w:pStyle w:val="Heading2"/>
      </w:pPr>
      <w:r>
        <w:t>AR05 Evolução do código</w:t>
      </w:r>
    </w:p>
    <w:p>
      <w:pPr/>
      <w:r>
        <w:t>Regras compartilhadas são extraídas quando existe uso real, como codec e saldo atômico. Mudanças de schema têm migration versionada; synchronize permanece desativado. Mudanças funcionais atualizam regras, funcionalidades e histórico no mesmo trabalho.</w:t>
      </w:r>
    </w:p>
    <w:p>
      <w:pPr>
        <w:pStyle w:val="Heading1"/>
      </w:pPr>
      <w:r>
        <w:t>13 Modelo de dados e integridade</w:t>
      </w:r>
    </w:p>
    <w:p>
      <w:pPr>
        <w:pStyle w:val="Heading2"/>
      </w:pPr>
      <w:r>
        <w:t>AR06 Entidades persistidas</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572"/>
        <w:gridCol w:w="6066"/>
      </w:tblGrid>
      <w:tr>
        <w:trPr>
          <w:cantSplit/>
          <w:tblHeader/>
        </w:trPr>
        <w:tc>
          <w:tcPr>
            <w:tcW w:type="dxa" w:w="3572"/>
            <w:vAlign w:val="center"/>
            <w:tcMar>
              <w:top w:w="80" w:type="dxa"/>
              <w:bottom w:w="80" w:type="dxa"/>
              <w:left w:w="100" w:type="dxa"/>
              <w:right w:w="100" w:type="dxa"/>
            </w:tcMar>
            <w:shd w:fill="E6EBF0"/>
          </w:tcPr>
          <w:p>
            <w:pPr>
              <w:keepNext w:val="0"/>
              <w:spacing w:after="0" w:line="250" w:lineRule="auto"/>
            </w:pPr>
            <w:r>
              <w:rPr>
                <w:rFonts w:ascii="Arial" w:hAnsi="Arial"/>
                <w:b/>
                <w:color w:val="000000"/>
                <w:sz w:val="18"/>
              </w:rPr>
              <w:t>Entidade ou conjunto</w:t>
            </w:r>
          </w:p>
        </w:tc>
        <w:tc>
          <w:tcPr>
            <w:tcW w:type="dxa" w:w="6066"/>
            <w:vAlign w:val="center"/>
            <w:tcMar>
              <w:top w:w="80" w:type="dxa"/>
              <w:bottom w:w="80" w:type="dxa"/>
              <w:left w:w="100" w:type="dxa"/>
              <w:right w:w="100" w:type="dxa"/>
            </w:tcMar>
            <w:shd w:fill="E6EBF0"/>
          </w:tcPr>
          <w:p>
            <w:pPr>
              <w:keepNext w:val="0"/>
              <w:spacing w:after="0" w:line="250" w:lineRule="auto"/>
            </w:pPr>
            <w:r>
              <w:rPr>
                <w:rFonts w:ascii="Arial" w:hAnsi="Arial"/>
                <w:b/>
                <w:color w:val="000000"/>
                <w:sz w:val="18"/>
              </w:rPr>
              <w:t>Papel no sistema</w:t>
            </w:r>
          </w:p>
        </w:tc>
      </w:tr>
      <w:tr>
        <w:trPr>
          <w:cantSplit/>
        </w:trPr>
        <w:tc>
          <w:tcPr>
            <w:tcW w:type="dxa" w:w="3572"/>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users roles permissions e vínculos</w:t>
            </w:r>
          </w:p>
        </w:tc>
        <w:tc>
          <w:tcPr>
            <w:tcW w:type="dxa" w:w="6066"/>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Identidade, setor, perfis, permissões e preferências</w:t>
            </w:r>
          </w:p>
        </w:tc>
      </w:tr>
      <w:tr>
        <w:trPr>
          <w:cantSplit/>
        </w:trPr>
        <w:tc>
          <w:tcPr>
            <w:tcW w:type="dxa" w:w="3572"/>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auth_sessions</w:t>
            </w:r>
          </w:p>
        </w:tc>
        <w:tc>
          <w:tcPr>
            <w:tcW w:type="dxa" w:w="6066"/>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Hash do refresh, revogação, expiração, atividade e modo</w:t>
            </w:r>
          </w:p>
        </w:tc>
      </w:tr>
      <w:tr>
        <w:trPr>
          <w:cantSplit/>
        </w:trPr>
        <w:tc>
          <w:tcPr>
            <w:tcW w:type="dxa" w:w="3572"/>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audit_logs</w:t>
            </w:r>
          </w:p>
        </w:tc>
        <w:tc>
          <w:tcPr>
            <w:tcW w:type="dxa" w:w="6066"/>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Eventos administrativos e operacionais persistentes</w:t>
            </w:r>
          </w:p>
        </w:tc>
      </w:tr>
      <w:tr>
        <w:trPr>
          <w:cantSplit/>
        </w:trPr>
        <w:tc>
          <w:tcPr>
            <w:tcW w:type="dxa" w:w="3572"/>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products e product_unit_conversions</w:t>
            </w:r>
          </w:p>
        </w:tc>
        <w:tc>
          <w:tcPr>
            <w:tcW w:type="dxa" w:w="6066"/>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Cadastro mestre, prazo, gramatura e conversões</w:t>
            </w:r>
          </w:p>
        </w:tc>
      </w:tr>
      <w:tr>
        <w:trPr>
          <w:cantSplit/>
        </w:trPr>
        <w:tc>
          <w:tcPr>
            <w:tcW w:type="dxa" w:w="3572"/>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product_unit_options</w:t>
            </w:r>
          </w:p>
        </w:tc>
        <w:tc>
          <w:tcPr>
            <w:tcW w:type="dxa" w:w="6066"/>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Alternativas UN vinculadas à embalagem</w:t>
            </w:r>
          </w:p>
        </w:tc>
      </w:tr>
      <w:tr>
        <w:trPr>
          <w:cantSplit/>
        </w:trPr>
        <w:tc>
          <w:tcPr>
            <w:tcW w:type="dxa" w:w="3572"/>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batches</w:t>
            </w:r>
          </w:p>
        </w:tc>
        <w:tc>
          <w:tcPr>
            <w:tcW w:type="dxa" w:w="6066"/>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Variante imutável de produto, código, fabricação e validade</w:t>
            </w:r>
          </w:p>
        </w:tc>
      </w:tr>
      <w:tr>
        <w:trPr>
          <w:cantSplit/>
        </w:trPr>
        <w:tc>
          <w:tcPr>
            <w:tcW w:type="dxa" w:w="3572"/>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stock_locations e stock_positions</w:t>
            </w:r>
          </w:p>
        </w:tc>
        <w:tc>
          <w:tcPr>
            <w:tcW w:type="dxa" w:w="6066"/>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Hierarquia e saldo disponível por variante e local</w:t>
            </w:r>
          </w:p>
        </w:tc>
      </w:tr>
      <w:tr>
        <w:trPr>
          <w:cantSplit/>
        </w:trPr>
        <w:tc>
          <w:tcPr>
            <w:tcW w:type="dxa" w:w="3572"/>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shipments e shipment_items</w:t>
            </w:r>
          </w:p>
        </w:tc>
        <w:tc>
          <w:tcPr>
            <w:tcW w:type="dxa" w:w="6066"/>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Ciclo setorial e itens com origem congelada</w:t>
            </w:r>
          </w:p>
        </w:tc>
      </w:tr>
      <w:tr>
        <w:trPr>
          <w:cantSplit/>
        </w:trPr>
        <w:tc>
          <w:tcPr>
            <w:tcW w:type="dxa" w:w="3572"/>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shipment_item_additional_photos</w:t>
            </w:r>
          </w:p>
        </w:tc>
        <w:tc>
          <w:tcPr>
            <w:tcW w:type="dxa" w:w="6066"/>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Evidências adicionais ordenadas; primeira foto permanece no item</w:t>
            </w:r>
          </w:p>
        </w:tc>
      </w:tr>
      <w:tr>
        <w:trPr>
          <w:cantSplit/>
        </w:trPr>
        <w:tc>
          <w:tcPr>
            <w:tcW w:type="dxa" w:w="3572"/>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movements e movement_items</w:t>
            </w:r>
          </w:p>
        </w:tc>
        <w:tc>
          <w:tcPr>
            <w:tcW w:type="dxa" w:w="6066"/>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Estado operacional, cancelamento, itens e execução PCP</w:t>
            </w:r>
          </w:p>
        </w:tc>
      </w:tr>
      <w:tr>
        <w:trPr>
          <w:cantSplit/>
        </w:trPr>
        <w:tc>
          <w:tcPr>
            <w:tcW w:type="dxa" w:w="3572"/>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movement_item_distributions</w:t>
            </w:r>
          </w:p>
        </w:tc>
        <w:tc>
          <w:tcPr>
            <w:tcW w:type="dxa" w:w="6066"/>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Parcelas e destinos efetivos da revisão</w:t>
            </w:r>
          </w:p>
        </w:tc>
      </w:tr>
      <w:tr>
        <w:trPr>
          <w:cantSplit/>
        </w:trPr>
        <w:tc>
          <w:tcPr>
            <w:tcW w:type="dxa" w:w="3572"/>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system_settings</w:t>
            </w:r>
          </w:p>
        </w:tc>
        <w:tc>
          <w:tcPr>
            <w:tcW w:type="dxa" w:w="6066"/>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Prazo de separação e limites de fotos</w:t>
            </w:r>
          </w:p>
        </w:tc>
      </w:tr>
      <w:tr>
        <w:trPr>
          <w:cantSplit/>
        </w:trPr>
        <w:tc>
          <w:tcPr>
            <w:tcW w:type="dxa" w:w="3572"/>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review_process_destinations</w:t>
            </w:r>
          </w:p>
        </w:tc>
        <w:tc>
          <w:tcPr>
            <w:tcW w:type="dxa" w:w="6066"/>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Seleção vigente de locais permitidos para revisão</w:t>
            </w:r>
          </w:p>
        </w:tc>
      </w:tr>
    </w:tbl>
    <w:p>
      <w:pPr>
        <w:keepNext/>
        <w:spacing w:after="60" w:before="0" w:line="240" w:lineRule="auto"/>
      </w:pPr>
      <w:r>
        <w:rPr>
          <w:sz w:val="4"/>
        </w:rPr>
      </w:r>
    </w:p>
    <w:p>
      <w:pPr/>
      <w:r>
        <w:t>UUIDs são gerados pela aplicação. Foreign keys usam RESTRICT onde o histórico deve ser preservado. Checks, unicidades, chaves compostas e triggers impedem combinações inválidas e alterações de identidade.</w:t>
      </w:r>
    </w:p>
    <w:p>
      <w:pPr>
        <w:pStyle w:val="Heading2"/>
      </w:pPr>
      <w:r>
        <w:t>Snapshots e transformações</w:t>
      </w:r>
    </w:p>
    <w:p>
      <w:pPr/>
      <w:r>
        <w:t>Movement_items preserva product_snapshot nas novas operações; saída da desmontagem guarda output_product_id, output_batch_id, output_quantity, units_per_package e output_product_snapshot. Chave composta protege produto e lote resultantes; check protege multiplicação e trigger restringe a transformação à revisão com lote e datas preservados.</w:t>
      </w:r>
    </w:p>
    <w:p>
      <w:pPr/>
      <w:r>
        <w:t>Montagem usa shipment_kind MONTAGEM e snapshot assembly imutável com embalagem, fator, quantidade produzida e todas as origens UN. O item-base mantém referência técnica ao primeiro lote e local, sem substituir as parcelas reais. Não se cria lote artificial para datas misturadas.</w:t>
      </w:r>
    </w:p>
    <w:p>
      <w:pPr>
        <w:pStyle w:val="Heading2"/>
      </w:pPr>
      <w:r>
        <w:t>Identidade e compatibilidade</w:t>
      </w:r>
    </w:p>
    <w:p>
      <w:pPr/>
      <w:r>
        <w:t>Record_ordinal e codigo_registro identificam o filho no grupo. Shipment_item_id liga o registro enviado ao item efetivado. Estado PCP é individual; cabeçalho conserva o agregado. Índice de movimentação por envio e origem evita efetivação duplicada.</w:t>
      </w:r>
    </w:p>
    <w:p>
      <w:pPr/>
      <w:r>
        <w:t>Quantidades ficam em numeric de precisão 18 e escala 6 por compatibilidade histórica, mas novas operações aceitam apenas inteiros. Eventos usam timestamptz; fabricação e validade usam date. Campos nulos preservam legados sem inventar dados ou reescrever operações antigas.</w:t>
      </w:r>
    </w:p>
    <w:p>
      <w:pPr>
        <w:pStyle w:val="Heading1"/>
      </w:pPr>
      <w:r>
        <w:t>14 Transações concorrência e API</w:t>
      </w:r>
    </w:p>
    <w:p>
      <w:pPr>
        <w:pStyle w:val="Heading2"/>
      </w:pPr>
      <w:r>
        <w:t>AR07 Operações atômicas</w:t>
      </w:r>
    </w:p>
    <w:p>
      <w:pPr/>
      <w:r>
        <w:t>Um único EntityManager confirma documento, itens, distribuições, saldo e auditoria. Falhas são propagadas até o limite da transação; capturar erro para confirmar estado parcial é proibido. Crédito usa UPSERT atômico; débito usa UPDATE condicionado ao saldo solicitado.</w:t>
      </w:r>
    </w:p>
    <w:p>
      <w:pPr/>
      <w:r>
        <w:t>Resolução de lotes adquire locks FOR NO KEY UPDATE em produtos, em ordem, antes dos locks de saldo. Índice único impede variantes duplicadas. Transferências, revisões e estornos bloqueiam o conjunto completo de posições em ordem determinística de produto, lote e local. Cancelamento bloqueia primeiro a movimentação original.</w:t>
      </w:r>
    </w:p>
    <w:p>
      <w:pPr/>
      <w:r>
        <w:t>Alteração do fator de embalagem e leitura na revisão ou montagem compartilham advisory lock product-packaging. Estorno usa dados históricos persistidos, sem recalcular a operação com cadastro atual.</w:t>
      </w:r>
    </w:p>
    <w:p>
      <w:pPr>
        <w:pStyle w:val="Heading2"/>
      </w:pPr>
      <w:r>
        <w:t>AR08 Idempotência e estados concorrentes</w:t>
      </w:r>
    </w:p>
    <w:p>
      <w:pPr/>
      <w:r>
        <w:t>Criação de envio serializa retries com advisory lock transacional da chave. Decisão, cancelamento, conclusão e expiração bloqueiam a linha do envio. Execução PCP bloqueia o cabeçalho para serializar filhos concorrentes e audita PCP_MOVEMENT_RECORD_EXECUTE.</w:t>
      </w:r>
    </w:p>
    <w:p>
      <w:pPr/>
      <w:r>
        <w:t>Sequences PostgreSQL e triggers geram códigos ENT, SAI e REV e protegem código e tipo. Não se usa MAX mais 1. Backfills têm ordem determinística e não alteram saldos. A identidade pública do fluxo setorial pertence ao envio e é herdada na efetivação.</w:t>
      </w:r>
    </w:p>
    <w:p>
      <w:pPr>
        <w:pStyle w:val="Heading2"/>
      </w:pPr>
      <w:r>
        <w:t>AR09 Contratos HTTP e validação</w:t>
      </w:r>
    </w:p>
    <w:p>
      <w:pPr/>
      <w:r>
        <w:t>API usa /api/v1; DTOs aplicam whitelist, rejeição de campos desconhecidos e transformação controlada. Listagens usam DTOs de paginação, filtros e ordenação. Erros incluem código, mensagem, request ID, timestamp e caminho, sem stack trace ou SQL ao cliente.</w:t>
      </w:r>
    </w:p>
    <w:p>
      <w:pPr/>
      <w:r>
        <w:t>Divergência de validade retorna HTTP 409 e LOT_EXPIRATION_CONFIRMATION_REQUIRED, com expirationKeys. Reenvio mantém requestKey e informa confirmedExpirationKeys das divergências exibidas. Falhas reconhecidas de conexão retornam HTTP 503 e DATABASE_UNAVAILABLE.</w:t>
      </w:r>
    </w:p>
    <w:p>
      <w:pPr/>
      <w:r>
        <w:t>Envios usam multipart/form-data com JSON em payload, photoCount por item e arquivos photos agrupados na ordem dos itens. Ausência de photoCount equivale a uma foto para clientes antigos. Backend valida todos os limites antes da gravação.</w:t>
      </w:r>
    </w:p>
    <w:p>
      <w:pPr>
        <w:pStyle w:val="Heading2"/>
      </w:pPr>
      <w:r>
        <w:t>AR10 Storage e compensação</w:t>
      </w:r>
    </w:p>
    <w:p>
      <w:pPr/>
      <w:r>
        <w:t>Fotos são gravadas antes da transação. Rejeição, conflito ou rollback exige exclusão compensatória; evidências adicionais seguem o mesmo processo. Interrupção abrupta pode deixar objeto órfão, exigindo conciliação operacional futura. Storage é privado, local ou Supabase; leitura passa pela API autenticada, sem URL pública permanente.</w:t>
      </w:r>
    </w:p>
    <w:p>
      <w:pPr>
        <w:pStyle w:val="Heading1"/>
      </w:pPr>
      <w:r>
        <w:t>15 Segurança infraestrutura e operação</w:t>
      </w:r>
    </w:p>
    <w:p>
      <w:pPr>
        <w:pStyle w:val="Heading2"/>
      </w:pPr>
      <w:r>
        <w:t>AR11 Autenticação autorização e dados sensíveis</w:t>
      </w:r>
    </w:p>
    <w:p>
      <w:pPr/>
      <w:r>
        <w:t>Senhas são hash Argon2id com salt e custos configuráveis. Refresh aleatório e rotativo usa cookie HttpOnly e SameSite Strict, com Secure configurável; o banco armazena apenas SHA 256 do token. Logout revoga sessão. Guards globais exigem autenticação e permissões; rotas públicas têm declaração explícita.</w:t>
      </w:r>
    </w:p>
    <w:p>
      <w:pPr/>
      <w:r>
        <w:t>AdminGuard exige perfil ADMIN e modo Admin nas ações administrativas. X-Operational-Sector é validado contra os modos atribuídos; não muda identidade ou setor persistido. Alterações de usuários são serializadas e revalidam autor dentro da transação; auditoria e revogação das sessões confirmam juntas. Respostas usam projeções sem credenciais.</w:t>
      </w:r>
    </w:p>
    <w:p>
      <w:pPr/>
      <w:r>
        <w:t>Logs técnicos são JSON com instante, nível, contexto e request ID. Middleware registra método, rota, status e duração, sem corpo da requisição. Senhas, tokens, cookies e segredos são removidos defensivamente. Auditoria separada registra autor, ação, entidade, resultado e metadados de requisição, sem credenciais; não possui edição ou exclusão operacional.</w:t>
      </w:r>
    </w:p>
    <w:p>
      <w:pPr/>
      <w:r>
        <w:t>Limitação de tentativas de login e refresh, origem confiável do IP atrás de proxy, cabeçalhos de segurança e exigência de cookie Secure em produção permanecem pendências documentadas. Atualmente a coleta de IP lê X-Forwarded-For diretamente. Essas medidas são itens do backlog, não proteções já disponíveis.</w:t>
      </w:r>
    </w:p>
    <w:p>
      <w:pPr>
        <w:pStyle w:val="Heading2"/>
      </w:pPr>
      <w:r>
        <w:t>AR12 Banco execução e publicação</w:t>
      </w:r>
    </w:p>
    <w:p>
      <w:pPr/>
      <w:r>
        <w:t>Banco operacional de desenvolvimento e publicação é PostgreSQL no Supabase, usando DATABASE_URL Session pooler e SSL obrigatório. Backend, migrations e bootstrap compartilham essa variável. Docker Compose é recurso opcional para bancos locais isolados de teste, sem substituir o fluxo operacional padrão.</w:t>
      </w:r>
    </w:p>
    <w:p>
      <w:pPr/>
      <w:r>
        <w:t>Configuração é validada na inicialização; nomes públicos ficam em .env.example e segredos reais em .env fora do Git. STORAGE_DRIVER local usa FILE_STORAGE_PATH; Supabase usa bucket privado, URL e chave secreta somente no backend, com compatibilidade da chave legada.</w:t>
      </w:r>
    </w:p>
    <w:p>
      <w:pPr/>
      <w:r>
        <w:t>Pool pequeno e retries limitados tratam falhas transitórias de conexão. Migration show e run repetem apenas erros reconhecidos de conexão, até cinco tentativas; erros de schema não são repetidos. DATABASE_HOST_OVERRIDE é desvio temporário de DNS, mantendo credenciais e hostname TLS, e deve ser removido quando o provedor normalizar o nó.</w:t>
      </w:r>
    </w:p>
    <w:p>
      <w:pPr/>
      <w:r>
        <w:t>Backend tem Dockerfile de produção multi-stage, Node 22 e usuário não privilegiado. Banco e storage ficam externos; segredos entram somente na execução do container. Desenvolvimento usa processos separados de API e frontend. Health público verifica API e PostgreSQL.</w:t>
      </w:r>
    </w:p>
    <w:p>
      <w:pPr>
        <w:pStyle w:val="Heading1"/>
      </w:pPr>
      <w:r>
        <w:t>16 Referência de API de acesso e cadastros</w:t>
      </w:r>
    </w:p>
    <w:p>
      <w:pPr/>
      <w:r>
        <w:t>Todas as rotas abaixo usam o prefixo /api/v1. Identificadores em rotas são UUIDs técnicos. A autorização depende das permissões e do escopo descritos nas regras; disponibilidade de rota não concede acesso ao perfil.</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191"/>
        <w:gridCol w:w="4677"/>
        <w:gridCol w:w="3770"/>
      </w:tblGrid>
      <w:tr>
        <w:trPr>
          <w:cantSplit/>
          <w:tblHeader/>
        </w:trPr>
        <w:tc>
          <w:tcPr>
            <w:tcW w:type="dxa" w:w="1191"/>
            <w:vAlign w:val="center"/>
            <w:tcMar>
              <w:top w:w="65" w:type="dxa"/>
              <w:bottom w:w="65" w:type="dxa"/>
              <w:left w:w="100" w:type="dxa"/>
              <w:right w:w="100" w:type="dxa"/>
            </w:tcMar>
            <w:shd w:fill="E6EBF0"/>
          </w:tcPr>
          <w:p>
            <w:pPr>
              <w:keepNext w:val="0"/>
              <w:spacing w:after="0" w:line="250" w:lineRule="auto"/>
              <w:jc w:val="center"/>
            </w:pPr>
            <w:r>
              <w:rPr>
                <w:rFonts w:ascii="Arial" w:hAnsi="Arial"/>
                <w:b/>
                <w:color w:val="000000"/>
                <w:sz w:val="18"/>
              </w:rPr>
              <w:t>Método</w:t>
            </w:r>
          </w:p>
        </w:tc>
        <w:tc>
          <w:tcPr>
            <w:tcW w:type="dxa" w:w="4677"/>
            <w:vAlign w:val="center"/>
            <w:tcMar>
              <w:top w:w="65" w:type="dxa"/>
              <w:bottom w:w="65" w:type="dxa"/>
              <w:left w:w="100" w:type="dxa"/>
              <w:right w:w="100" w:type="dxa"/>
            </w:tcMar>
            <w:shd w:fill="E6EBF0"/>
          </w:tcPr>
          <w:p>
            <w:pPr>
              <w:keepNext w:val="0"/>
              <w:spacing w:after="0" w:line="250" w:lineRule="auto"/>
            </w:pPr>
            <w:r>
              <w:rPr>
                <w:rFonts w:ascii="Arial" w:hAnsi="Arial"/>
                <w:b/>
                <w:color w:val="000000"/>
                <w:sz w:val="18"/>
              </w:rPr>
              <w:t>Rota sem prefixo</w:t>
            </w:r>
          </w:p>
        </w:tc>
        <w:tc>
          <w:tcPr>
            <w:tcW w:type="dxa" w:w="3770"/>
            <w:vAlign w:val="center"/>
            <w:tcMar>
              <w:top w:w="65" w:type="dxa"/>
              <w:bottom w:w="65" w:type="dxa"/>
              <w:left w:w="100" w:type="dxa"/>
              <w:right w:w="100" w:type="dxa"/>
            </w:tcMar>
            <w:shd w:fill="E6EBF0"/>
          </w:tcPr>
          <w:p>
            <w:pPr>
              <w:keepNext w:val="0"/>
              <w:spacing w:after="0" w:line="250" w:lineRule="auto"/>
            </w:pPr>
            <w:r>
              <w:rPr>
                <w:rFonts w:ascii="Arial" w:hAnsi="Arial"/>
                <w:b/>
                <w:color w:val="000000"/>
                <w:sz w:val="18"/>
              </w:rPr>
              <w:t>Finalidade</w:t>
            </w:r>
          </w:p>
        </w:tc>
      </w:tr>
      <w:tr>
        <w:trPr>
          <w:cantSplit/>
        </w:trPr>
        <w:tc>
          <w:tcPr>
            <w:tcW w:type="dxa" w:w="1191"/>
            <w:vAlign w:val="center"/>
            <w:tcMar>
              <w:top w:w="65" w:type="dxa"/>
              <w:bottom w:w="65" w:type="dxa"/>
              <w:left w:w="100" w:type="dxa"/>
              <w:right w:w="100" w:type="dxa"/>
            </w:tcMar>
            <w:shd w:fill="FFFFFF"/>
          </w:tcPr>
          <w:p>
            <w:pPr>
              <w:keepNext w:val="0"/>
              <w:spacing w:after="0" w:line="250" w:lineRule="auto"/>
              <w:jc w:val="center"/>
            </w:pPr>
            <w:r>
              <w:rPr>
                <w:rFonts w:ascii="Arial" w:hAnsi="Arial"/>
                <w:b w:val="0"/>
                <w:color w:val="000000"/>
                <w:sz w:val="18"/>
              </w:rPr>
              <w:t>POST</w:t>
            </w:r>
          </w:p>
        </w:tc>
        <w:tc>
          <w:tcPr>
            <w:tcW w:type="dxa" w:w="4677"/>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/auth/login</w:t>
            </w:r>
          </w:p>
        </w:tc>
        <w:tc>
          <w:tcPr>
            <w:tcW w:type="dxa" w:w="3770"/>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Autenticar</w:t>
            </w:r>
          </w:p>
        </w:tc>
      </w:tr>
      <w:tr>
        <w:trPr>
          <w:cantSplit/>
        </w:trPr>
        <w:tc>
          <w:tcPr>
            <w:tcW w:type="dxa" w:w="1191"/>
            <w:vAlign w:val="center"/>
            <w:tcMar>
              <w:top w:w="65" w:type="dxa"/>
              <w:bottom w:w="65" w:type="dxa"/>
              <w:left w:w="100" w:type="dxa"/>
              <w:right w:w="100" w:type="dxa"/>
            </w:tcMar>
            <w:shd w:fill="FFFFFF"/>
          </w:tcPr>
          <w:p>
            <w:pPr>
              <w:keepNext w:val="0"/>
              <w:spacing w:after="0" w:line="250" w:lineRule="auto"/>
              <w:jc w:val="center"/>
            </w:pPr>
            <w:r>
              <w:rPr>
                <w:rFonts w:ascii="Arial" w:hAnsi="Arial"/>
                <w:b w:val="0"/>
                <w:color w:val="000000"/>
                <w:sz w:val="18"/>
              </w:rPr>
              <w:t>POST</w:t>
            </w:r>
          </w:p>
        </w:tc>
        <w:tc>
          <w:tcPr>
            <w:tcW w:type="dxa" w:w="4677"/>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/auth/refresh</w:t>
            </w:r>
          </w:p>
        </w:tc>
        <w:tc>
          <w:tcPr>
            <w:tcW w:type="dxa" w:w="3770"/>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Rotacionar refresh e renovar acesso</w:t>
            </w:r>
          </w:p>
        </w:tc>
      </w:tr>
      <w:tr>
        <w:trPr>
          <w:cantSplit/>
        </w:trPr>
        <w:tc>
          <w:tcPr>
            <w:tcW w:type="dxa" w:w="1191"/>
            <w:vAlign w:val="center"/>
            <w:tcMar>
              <w:top w:w="65" w:type="dxa"/>
              <w:bottom w:w="65" w:type="dxa"/>
              <w:left w:w="100" w:type="dxa"/>
              <w:right w:w="100" w:type="dxa"/>
            </w:tcMar>
            <w:shd w:fill="FFFFFF"/>
          </w:tcPr>
          <w:p>
            <w:pPr>
              <w:keepNext w:val="0"/>
              <w:spacing w:after="0" w:line="250" w:lineRule="auto"/>
              <w:jc w:val="center"/>
            </w:pPr>
            <w:r>
              <w:rPr>
                <w:rFonts w:ascii="Arial" w:hAnsi="Arial"/>
                <w:b w:val="0"/>
                <w:color w:val="000000"/>
                <w:sz w:val="18"/>
              </w:rPr>
              <w:t>POST</w:t>
            </w:r>
          </w:p>
        </w:tc>
        <w:tc>
          <w:tcPr>
            <w:tcW w:type="dxa" w:w="4677"/>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/auth/logout</w:t>
            </w:r>
          </w:p>
        </w:tc>
        <w:tc>
          <w:tcPr>
            <w:tcW w:type="dxa" w:w="3770"/>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Revogar sessão</w:t>
            </w:r>
          </w:p>
        </w:tc>
      </w:tr>
      <w:tr>
        <w:trPr>
          <w:cantSplit/>
        </w:trPr>
        <w:tc>
          <w:tcPr>
            <w:tcW w:type="dxa" w:w="1191"/>
            <w:vAlign w:val="center"/>
            <w:tcMar>
              <w:top w:w="65" w:type="dxa"/>
              <w:bottom w:w="65" w:type="dxa"/>
              <w:left w:w="100" w:type="dxa"/>
              <w:right w:w="100" w:type="dxa"/>
            </w:tcMar>
            <w:shd w:fill="FFFFFF"/>
          </w:tcPr>
          <w:p>
            <w:pPr>
              <w:keepNext w:val="0"/>
              <w:spacing w:after="0" w:line="250" w:lineRule="auto"/>
              <w:jc w:val="center"/>
            </w:pPr>
            <w:r>
              <w:rPr>
                <w:rFonts w:ascii="Arial" w:hAnsi="Arial"/>
                <w:b w:val="0"/>
                <w:color w:val="000000"/>
                <w:sz w:val="18"/>
              </w:rPr>
              <w:t>GET</w:t>
            </w:r>
          </w:p>
        </w:tc>
        <w:tc>
          <w:tcPr>
            <w:tcW w:type="dxa" w:w="4677"/>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/auth/me</w:t>
            </w:r>
          </w:p>
        </w:tc>
        <w:tc>
          <w:tcPr>
            <w:tcW w:type="dxa" w:w="3770"/>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Consultar conta autenticada</w:t>
            </w:r>
          </w:p>
        </w:tc>
      </w:tr>
      <w:tr>
        <w:trPr>
          <w:cantSplit/>
        </w:trPr>
        <w:tc>
          <w:tcPr>
            <w:tcW w:type="dxa" w:w="1191"/>
            <w:vAlign w:val="center"/>
            <w:tcMar>
              <w:top w:w="65" w:type="dxa"/>
              <w:bottom w:w="65" w:type="dxa"/>
              <w:left w:w="100" w:type="dxa"/>
              <w:right w:w="100" w:type="dxa"/>
            </w:tcMar>
            <w:shd w:fill="FFFFFF"/>
          </w:tcPr>
          <w:p>
            <w:pPr>
              <w:keepNext w:val="0"/>
              <w:spacing w:after="0" w:line="250" w:lineRule="auto"/>
              <w:jc w:val="center"/>
            </w:pPr>
            <w:r>
              <w:rPr>
                <w:rFonts w:ascii="Arial" w:hAnsi="Arial"/>
                <w:b w:val="0"/>
                <w:color w:val="000000"/>
                <w:sz w:val="18"/>
              </w:rPr>
              <w:t>GET e PATCH</w:t>
            </w:r>
          </w:p>
        </w:tc>
        <w:tc>
          <w:tcPr>
            <w:tcW w:type="dxa" w:w="4677"/>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/auth/preferences</w:t>
            </w:r>
          </w:p>
        </w:tc>
        <w:tc>
          <w:tcPr>
            <w:tcW w:type="dxa" w:w="3770"/>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Consultar ou salvar preferências</w:t>
            </w:r>
          </w:p>
        </w:tc>
      </w:tr>
      <w:tr>
        <w:trPr>
          <w:cantSplit/>
        </w:trPr>
        <w:tc>
          <w:tcPr>
            <w:tcW w:type="dxa" w:w="1191"/>
            <w:vAlign w:val="center"/>
            <w:tcMar>
              <w:top w:w="65" w:type="dxa"/>
              <w:bottom w:w="65" w:type="dxa"/>
              <w:left w:w="100" w:type="dxa"/>
              <w:right w:w="100" w:type="dxa"/>
            </w:tcMar>
            <w:shd w:fill="FFFFFF"/>
          </w:tcPr>
          <w:p>
            <w:pPr>
              <w:keepNext w:val="0"/>
              <w:spacing w:after="0" w:line="250" w:lineRule="auto"/>
              <w:jc w:val="center"/>
            </w:pPr>
            <w:r>
              <w:rPr>
                <w:rFonts w:ascii="Arial" w:hAnsi="Arial"/>
                <w:b w:val="0"/>
                <w:color w:val="000000"/>
                <w:sz w:val="18"/>
              </w:rPr>
              <w:t>POST</w:t>
            </w:r>
          </w:p>
        </w:tc>
        <w:tc>
          <w:tcPr>
            <w:tcW w:type="dxa" w:w="4677"/>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/presence/heartbeat</w:t>
            </w:r>
          </w:p>
        </w:tc>
        <w:tc>
          <w:tcPr>
            <w:tcW w:type="dxa" w:w="3770"/>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Registrar atividade e modo</w:t>
            </w:r>
          </w:p>
        </w:tc>
      </w:tr>
      <w:tr>
        <w:trPr>
          <w:cantSplit/>
        </w:trPr>
        <w:tc>
          <w:tcPr>
            <w:tcW w:type="dxa" w:w="1191"/>
            <w:vAlign w:val="center"/>
            <w:tcMar>
              <w:top w:w="65" w:type="dxa"/>
              <w:bottom w:w="65" w:type="dxa"/>
              <w:left w:w="100" w:type="dxa"/>
              <w:right w:w="100" w:type="dxa"/>
            </w:tcMar>
            <w:shd w:fill="FFFFFF"/>
          </w:tcPr>
          <w:p>
            <w:pPr>
              <w:keepNext w:val="0"/>
              <w:spacing w:after="0" w:line="250" w:lineRule="auto"/>
              <w:jc w:val="center"/>
            </w:pPr>
            <w:r>
              <w:rPr>
                <w:rFonts w:ascii="Arial" w:hAnsi="Arial"/>
                <w:b w:val="0"/>
                <w:color w:val="000000"/>
                <w:sz w:val="18"/>
              </w:rPr>
              <w:t>GET</w:t>
            </w:r>
          </w:p>
        </w:tc>
        <w:tc>
          <w:tcPr>
            <w:tcW w:type="dxa" w:w="4677"/>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/presence/pcp e /presence</w:t>
            </w:r>
          </w:p>
        </w:tc>
        <w:tc>
          <w:tcPr>
            <w:tcW w:type="dxa" w:w="3770"/>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Consultar presença no escopo autorizado</w:t>
            </w:r>
          </w:p>
        </w:tc>
      </w:tr>
      <w:tr>
        <w:trPr>
          <w:cantSplit/>
        </w:trPr>
        <w:tc>
          <w:tcPr>
            <w:tcW w:type="dxa" w:w="1191"/>
            <w:vAlign w:val="center"/>
            <w:tcMar>
              <w:top w:w="65" w:type="dxa"/>
              <w:bottom w:w="65" w:type="dxa"/>
              <w:left w:w="100" w:type="dxa"/>
              <w:right w:w="100" w:type="dxa"/>
            </w:tcMar>
            <w:shd w:fill="FFFFFF"/>
          </w:tcPr>
          <w:p>
            <w:pPr>
              <w:keepNext w:val="0"/>
              <w:spacing w:after="0" w:line="250" w:lineRule="auto"/>
              <w:jc w:val="center"/>
            </w:pPr>
            <w:r>
              <w:rPr>
                <w:rFonts w:ascii="Arial" w:hAnsi="Arial"/>
                <w:b w:val="0"/>
                <w:color w:val="000000"/>
                <w:sz w:val="18"/>
              </w:rPr>
              <w:t>GET</w:t>
            </w:r>
          </w:p>
        </w:tc>
        <w:tc>
          <w:tcPr>
            <w:tcW w:type="dxa" w:w="4677"/>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/health</w:t>
            </w:r>
          </w:p>
        </w:tc>
        <w:tc>
          <w:tcPr>
            <w:tcW w:type="dxa" w:w="3770"/>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Verificar saúde da API e banco</w:t>
            </w:r>
          </w:p>
        </w:tc>
      </w:tr>
      <w:tr>
        <w:trPr>
          <w:cantSplit/>
        </w:trPr>
        <w:tc>
          <w:tcPr>
            <w:tcW w:type="dxa" w:w="1191"/>
            <w:vAlign w:val="center"/>
            <w:tcMar>
              <w:top w:w="65" w:type="dxa"/>
              <w:bottom w:w="65" w:type="dxa"/>
              <w:left w:w="100" w:type="dxa"/>
              <w:right w:w="100" w:type="dxa"/>
            </w:tcMar>
            <w:shd w:fill="FFFFFF"/>
          </w:tcPr>
          <w:p>
            <w:pPr>
              <w:keepNext w:val="0"/>
              <w:spacing w:after="0" w:line="250" w:lineRule="auto"/>
              <w:jc w:val="center"/>
            </w:pPr>
            <w:r>
              <w:rPr>
                <w:rFonts w:ascii="Arial" w:hAnsi="Arial"/>
                <w:b w:val="0"/>
                <w:color w:val="000000"/>
                <w:sz w:val="18"/>
              </w:rPr>
              <w:t>GET e POST</w:t>
            </w:r>
          </w:p>
        </w:tc>
        <w:tc>
          <w:tcPr>
            <w:tcW w:type="dxa" w:w="4677"/>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/users</w:t>
            </w:r>
          </w:p>
        </w:tc>
        <w:tc>
          <w:tcPr>
            <w:tcW w:type="dxa" w:w="3770"/>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Listar ou criar usuários</w:t>
            </w:r>
          </w:p>
        </w:tc>
      </w:tr>
      <w:tr>
        <w:trPr>
          <w:cantSplit/>
        </w:trPr>
        <w:tc>
          <w:tcPr>
            <w:tcW w:type="dxa" w:w="1191"/>
            <w:vAlign w:val="center"/>
            <w:tcMar>
              <w:top w:w="65" w:type="dxa"/>
              <w:bottom w:w="65" w:type="dxa"/>
              <w:left w:w="100" w:type="dxa"/>
              <w:right w:w="100" w:type="dxa"/>
            </w:tcMar>
            <w:shd w:fill="FFFFFF"/>
          </w:tcPr>
          <w:p>
            <w:pPr>
              <w:keepNext w:val="0"/>
              <w:spacing w:after="0" w:line="250" w:lineRule="auto"/>
              <w:jc w:val="center"/>
            </w:pPr>
            <w:r>
              <w:rPr>
                <w:rFonts w:ascii="Arial" w:hAnsi="Arial"/>
                <w:b w:val="0"/>
                <w:color w:val="000000"/>
                <w:sz w:val="18"/>
              </w:rPr>
              <w:t>GET</w:t>
            </w:r>
          </w:p>
        </w:tc>
        <w:tc>
          <w:tcPr>
            <w:tcW w:type="dxa" w:w="4677"/>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/users/roles</w:t>
            </w:r>
          </w:p>
        </w:tc>
        <w:tc>
          <w:tcPr>
            <w:tcW w:type="dxa" w:w="3770"/>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Consultar perfis existentes</w:t>
            </w:r>
          </w:p>
        </w:tc>
      </w:tr>
      <w:tr>
        <w:trPr>
          <w:cantSplit/>
        </w:trPr>
        <w:tc>
          <w:tcPr>
            <w:tcW w:type="dxa" w:w="1191"/>
            <w:vAlign w:val="center"/>
            <w:tcMar>
              <w:top w:w="65" w:type="dxa"/>
              <w:bottom w:w="65" w:type="dxa"/>
              <w:left w:w="100" w:type="dxa"/>
              <w:right w:w="100" w:type="dxa"/>
            </w:tcMar>
            <w:shd w:fill="FFFFFF"/>
          </w:tcPr>
          <w:p>
            <w:pPr>
              <w:keepNext w:val="0"/>
              <w:spacing w:after="0" w:line="250" w:lineRule="auto"/>
              <w:jc w:val="center"/>
            </w:pPr>
            <w:r>
              <w:rPr>
                <w:rFonts w:ascii="Arial" w:hAnsi="Arial"/>
                <w:b w:val="0"/>
                <w:color w:val="000000"/>
                <w:sz w:val="18"/>
              </w:rPr>
              <w:t>GET PATCH DELETE</w:t>
            </w:r>
          </w:p>
        </w:tc>
        <w:tc>
          <w:tcPr>
            <w:tcW w:type="dxa" w:w="4677"/>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/users/:id</w:t>
            </w:r>
          </w:p>
        </w:tc>
        <w:tc>
          <w:tcPr>
            <w:tcW w:type="dxa" w:w="3770"/>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Detalhar, editar ou inativar conta</w:t>
            </w:r>
          </w:p>
        </w:tc>
      </w:tr>
      <w:tr>
        <w:trPr>
          <w:cantSplit/>
        </w:trPr>
        <w:tc>
          <w:tcPr>
            <w:tcW w:type="dxa" w:w="1191"/>
            <w:vAlign w:val="center"/>
            <w:tcMar>
              <w:top w:w="65" w:type="dxa"/>
              <w:bottom w:w="65" w:type="dxa"/>
              <w:left w:w="100" w:type="dxa"/>
              <w:right w:w="100" w:type="dxa"/>
            </w:tcMar>
            <w:shd w:fill="FFFFFF"/>
          </w:tcPr>
          <w:p>
            <w:pPr>
              <w:keepNext w:val="0"/>
              <w:spacing w:after="0" w:line="250" w:lineRule="auto"/>
              <w:jc w:val="center"/>
            </w:pPr>
            <w:r>
              <w:rPr>
                <w:rFonts w:ascii="Arial" w:hAnsi="Arial"/>
                <w:b w:val="0"/>
                <w:color w:val="000000"/>
                <w:sz w:val="18"/>
              </w:rPr>
              <w:t>GET e POST</w:t>
            </w:r>
          </w:p>
        </w:tc>
        <w:tc>
          <w:tcPr>
            <w:tcW w:type="dxa" w:w="4677"/>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/products</w:t>
            </w:r>
          </w:p>
        </w:tc>
        <w:tc>
          <w:tcPr>
            <w:tcW w:type="dxa" w:w="3770"/>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Listar ou criar produtos</w:t>
            </w:r>
          </w:p>
        </w:tc>
      </w:tr>
      <w:tr>
        <w:trPr>
          <w:cantSplit/>
        </w:trPr>
        <w:tc>
          <w:tcPr>
            <w:tcW w:type="dxa" w:w="1191"/>
            <w:vAlign w:val="center"/>
            <w:tcMar>
              <w:top w:w="65" w:type="dxa"/>
              <w:bottom w:w="65" w:type="dxa"/>
              <w:left w:w="100" w:type="dxa"/>
              <w:right w:w="100" w:type="dxa"/>
            </w:tcMar>
            <w:shd w:fill="FFFFFF"/>
          </w:tcPr>
          <w:p>
            <w:pPr>
              <w:keepNext w:val="0"/>
              <w:spacing w:after="0" w:line="250" w:lineRule="auto"/>
              <w:jc w:val="center"/>
            </w:pPr>
            <w:r>
              <w:rPr>
                <w:rFonts w:ascii="Arial" w:hAnsi="Arial"/>
                <w:b w:val="0"/>
                <w:color w:val="000000"/>
                <w:sz w:val="18"/>
              </w:rPr>
              <w:t>GET e PATCH</w:t>
            </w:r>
          </w:p>
        </w:tc>
        <w:tc>
          <w:tcPr>
            <w:tcW w:type="dxa" w:w="4677"/>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/products/:id</w:t>
            </w:r>
          </w:p>
        </w:tc>
        <w:tc>
          <w:tcPr>
            <w:tcW w:type="dxa" w:w="3770"/>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Detalhar ou editar produto</w:t>
            </w:r>
          </w:p>
        </w:tc>
      </w:tr>
      <w:tr>
        <w:trPr>
          <w:cantSplit/>
        </w:trPr>
        <w:tc>
          <w:tcPr>
            <w:tcW w:type="dxa" w:w="1191"/>
            <w:vAlign w:val="center"/>
            <w:tcMar>
              <w:top w:w="65" w:type="dxa"/>
              <w:bottom w:w="65" w:type="dxa"/>
              <w:left w:w="100" w:type="dxa"/>
              <w:right w:w="100" w:type="dxa"/>
            </w:tcMar>
            <w:shd w:fill="FFFFFF"/>
          </w:tcPr>
          <w:p>
            <w:pPr>
              <w:keepNext w:val="0"/>
              <w:spacing w:after="0" w:line="250" w:lineRule="auto"/>
              <w:jc w:val="center"/>
            </w:pPr>
            <w:r>
              <w:rPr>
                <w:rFonts w:ascii="Arial" w:hAnsi="Arial"/>
                <w:b w:val="0"/>
                <w:color w:val="000000"/>
                <w:sz w:val="18"/>
              </w:rPr>
              <w:t>PATCH</w:t>
            </w:r>
          </w:p>
        </w:tc>
        <w:tc>
          <w:tcPr>
            <w:tcW w:type="dxa" w:w="4677"/>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/products/:id/status</w:t>
            </w:r>
          </w:p>
        </w:tc>
        <w:tc>
          <w:tcPr>
            <w:tcW w:type="dxa" w:w="3770"/>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Inativar ou reativar produto</w:t>
            </w:r>
          </w:p>
        </w:tc>
      </w:tr>
      <w:tr>
        <w:trPr>
          <w:cantSplit/>
        </w:trPr>
        <w:tc>
          <w:tcPr>
            <w:tcW w:type="dxa" w:w="1191"/>
            <w:vAlign w:val="center"/>
            <w:tcMar>
              <w:top w:w="65" w:type="dxa"/>
              <w:bottom w:w="65" w:type="dxa"/>
              <w:left w:w="100" w:type="dxa"/>
              <w:right w:w="100" w:type="dxa"/>
            </w:tcMar>
            <w:shd w:fill="FFFFFF"/>
          </w:tcPr>
          <w:p>
            <w:pPr>
              <w:keepNext w:val="0"/>
              <w:spacing w:after="0" w:line="250" w:lineRule="auto"/>
              <w:jc w:val="center"/>
            </w:pPr>
            <w:r>
              <w:rPr>
                <w:rFonts w:ascii="Arial" w:hAnsi="Arial"/>
                <w:b w:val="0"/>
                <w:color w:val="000000"/>
                <w:sz w:val="18"/>
              </w:rPr>
              <w:t>GET</w:t>
            </w:r>
          </w:p>
        </w:tc>
        <w:tc>
          <w:tcPr>
            <w:tcW w:type="dxa" w:w="4677"/>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/products/audit-history</w:t>
            </w:r>
          </w:p>
        </w:tc>
        <w:tc>
          <w:tcPr>
            <w:tcW w:type="dxa" w:w="3770"/>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Consultar alterações de produto no modo Admin</w:t>
            </w:r>
          </w:p>
        </w:tc>
      </w:tr>
      <w:tr>
        <w:trPr>
          <w:cantSplit/>
        </w:trPr>
        <w:tc>
          <w:tcPr>
            <w:tcW w:type="dxa" w:w="1191"/>
            <w:vAlign w:val="center"/>
            <w:tcMar>
              <w:top w:w="65" w:type="dxa"/>
              <w:bottom w:w="65" w:type="dxa"/>
              <w:left w:w="100" w:type="dxa"/>
              <w:right w:w="100" w:type="dxa"/>
            </w:tcMar>
            <w:shd w:fill="FFFFFF"/>
          </w:tcPr>
          <w:p>
            <w:pPr>
              <w:keepNext w:val="0"/>
              <w:spacing w:after="0" w:line="250" w:lineRule="auto"/>
              <w:jc w:val="center"/>
            </w:pPr>
            <w:r>
              <w:rPr>
                <w:rFonts w:ascii="Arial" w:hAnsi="Arial"/>
                <w:b w:val="0"/>
                <w:color w:val="000000"/>
                <w:sz w:val="18"/>
              </w:rPr>
              <w:t>GET e POST</w:t>
            </w:r>
          </w:p>
        </w:tc>
        <w:tc>
          <w:tcPr>
            <w:tcW w:type="dxa" w:w="4677"/>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/products/:productId/conversions</w:t>
            </w:r>
          </w:p>
        </w:tc>
        <w:tc>
          <w:tcPr>
            <w:tcW w:type="dxa" w:w="3770"/>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Consultar ou criar conversões</w:t>
            </w:r>
          </w:p>
        </w:tc>
      </w:tr>
      <w:tr>
        <w:trPr>
          <w:cantSplit/>
        </w:trPr>
        <w:tc>
          <w:tcPr>
            <w:tcW w:type="dxa" w:w="1191"/>
            <w:vAlign w:val="center"/>
            <w:tcMar>
              <w:top w:w="65" w:type="dxa"/>
              <w:bottom w:w="65" w:type="dxa"/>
              <w:left w:w="100" w:type="dxa"/>
              <w:right w:w="100" w:type="dxa"/>
            </w:tcMar>
            <w:shd w:fill="FFFFFF"/>
          </w:tcPr>
          <w:p>
            <w:pPr>
              <w:keepNext w:val="0"/>
              <w:spacing w:after="0" w:line="250" w:lineRule="auto"/>
              <w:jc w:val="center"/>
            </w:pPr>
            <w:r>
              <w:rPr>
                <w:rFonts w:ascii="Arial" w:hAnsi="Arial"/>
                <w:b w:val="0"/>
                <w:color w:val="000000"/>
                <w:sz w:val="18"/>
              </w:rPr>
              <w:t>PATCH</w:t>
            </w:r>
          </w:p>
        </w:tc>
        <w:tc>
          <w:tcPr>
            <w:tcW w:type="dxa" w:w="4677"/>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/product-conversions/:id e /:id/status</w:t>
            </w:r>
          </w:p>
        </w:tc>
        <w:tc>
          <w:tcPr>
            <w:tcW w:type="dxa" w:w="3770"/>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Editar conversão ou alterar seu estado</w:t>
            </w:r>
          </w:p>
        </w:tc>
      </w:tr>
      <w:tr>
        <w:trPr>
          <w:cantSplit/>
        </w:trPr>
        <w:tc>
          <w:tcPr>
            <w:tcW w:type="dxa" w:w="1191"/>
            <w:vAlign w:val="center"/>
            <w:tcMar>
              <w:top w:w="65" w:type="dxa"/>
              <w:bottom w:w="65" w:type="dxa"/>
              <w:left w:w="100" w:type="dxa"/>
              <w:right w:w="100" w:type="dxa"/>
            </w:tcMar>
            <w:shd w:fill="FFFFFF"/>
          </w:tcPr>
          <w:p>
            <w:pPr>
              <w:keepNext w:val="0"/>
              <w:spacing w:after="0" w:line="250" w:lineRule="auto"/>
              <w:jc w:val="center"/>
            </w:pPr>
            <w:r>
              <w:rPr>
                <w:rFonts w:ascii="Arial" w:hAnsi="Arial"/>
                <w:b w:val="0"/>
                <w:color w:val="000000"/>
                <w:sz w:val="18"/>
              </w:rPr>
              <w:t>GET</w:t>
            </w:r>
          </w:p>
        </w:tc>
        <w:tc>
          <w:tcPr>
            <w:tcW w:type="dxa" w:w="4677"/>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/batches e /batches/:id</w:t>
            </w:r>
          </w:p>
        </w:tc>
        <w:tc>
          <w:tcPr>
            <w:tcW w:type="dxa" w:w="3770"/>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Consultar variantes operacionais</w:t>
            </w:r>
          </w:p>
        </w:tc>
      </w:tr>
      <w:tr>
        <w:trPr>
          <w:cantSplit/>
        </w:trPr>
        <w:tc>
          <w:tcPr>
            <w:tcW w:type="dxa" w:w="1191"/>
            <w:vAlign w:val="center"/>
            <w:tcMar>
              <w:top w:w="65" w:type="dxa"/>
              <w:bottom w:w="65" w:type="dxa"/>
              <w:left w:w="100" w:type="dxa"/>
              <w:right w:w="100" w:type="dxa"/>
            </w:tcMar>
            <w:shd w:fill="FFFFFF"/>
          </w:tcPr>
          <w:p>
            <w:pPr>
              <w:keepNext w:val="0"/>
              <w:spacing w:after="0" w:line="250" w:lineRule="auto"/>
              <w:jc w:val="center"/>
            </w:pPr>
            <w:r>
              <w:rPr>
                <w:rFonts w:ascii="Arial" w:hAnsi="Arial"/>
                <w:b w:val="0"/>
                <w:color w:val="000000"/>
                <w:sz w:val="18"/>
              </w:rPr>
              <w:t>GET e POST</w:t>
            </w:r>
          </w:p>
        </w:tc>
        <w:tc>
          <w:tcPr>
            <w:tcW w:type="dxa" w:w="4677"/>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/stocks</w:t>
            </w:r>
          </w:p>
        </w:tc>
        <w:tc>
          <w:tcPr>
            <w:tcW w:type="dxa" w:w="3770"/>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Listar ou criar locais</w:t>
            </w:r>
          </w:p>
        </w:tc>
      </w:tr>
      <w:tr>
        <w:trPr>
          <w:cantSplit/>
        </w:trPr>
        <w:tc>
          <w:tcPr>
            <w:tcW w:type="dxa" w:w="1191"/>
            <w:vAlign w:val="center"/>
            <w:tcMar>
              <w:top w:w="65" w:type="dxa"/>
              <w:bottom w:w="65" w:type="dxa"/>
              <w:left w:w="100" w:type="dxa"/>
              <w:right w:w="100" w:type="dxa"/>
            </w:tcMar>
            <w:shd w:fill="FFFFFF"/>
          </w:tcPr>
          <w:p>
            <w:pPr>
              <w:keepNext w:val="0"/>
              <w:spacing w:after="0" w:line="250" w:lineRule="auto"/>
              <w:jc w:val="center"/>
            </w:pPr>
            <w:r>
              <w:rPr>
                <w:rFonts w:ascii="Arial" w:hAnsi="Arial"/>
                <w:b w:val="0"/>
                <w:color w:val="000000"/>
                <w:sz w:val="18"/>
              </w:rPr>
              <w:t>GET e PATCH</w:t>
            </w:r>
          </w:p>
        </w:tc>
        <w:tc>
          <w:tcPr>
            <w:tcW w:type="dxa" w:w="4677"/>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/stocks/:id</w:t>
            </w:r>
          </w:p>
        </w:tc>
        <w:tc>
          <w:tcPr>
            <w:tcW w:type="dxa" w:w="3770"/>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Consultar ou editar local</w:t>
            </w:r>
          </w:p>
        </w:tc>
      </w:tr>
      <w:tr>
        <w:trPr>
          <w:cantSplit/>
        </w:trPr>
        <w:tc>
          <w:tcPr>
            <w:tcW w:type="dxa" w:w="1191"/>
            <w:vAlign w:val="center"/>
            <w:tcMar>
              <w:top w:w="65" w:type="dxa"/>
              <w:bottom w:w="65" w:type="dxa"/>
              <w:left w:w="100" w:type="dxa"/>
              <w:right w:w="100" w:type="dxa"/>
            </w:tcMar>
            <w:shd w:fill="FFFFFF"/>
          </w:tcPr>
          <w:p>
            <w:pPr>
              <w:keepNext w:val="0"/>
              <w:spacing w:after="0" w:line="250" w:lineRule="auto"/>
              <w:jc w:val="center"/>
            </w:pPr>
            <w:r>
              <w:rPr>
                <w:rFonts w:ascii="Arial" w:hAnsi="Arial"/>
                <w:b w:val="0"/>
                <w:color w:val="000000"/>
                <w:sz w:val="18"/>
              </w:rPr>
              <w:t>PATCH</w:t>
            </w:r>
          </w:p>
        </w:tc>
        <w:tc>
          <w:tcPr>
            <w:tcW w:type="dxa" w:w="4677"/>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/stocks/:id/status</w:t>
            </w:r>
          </w:p>
        </w:tc>
        <w:tc>
          <w:tcPr>
            <w:tcW w:type="dxa" w:w="3770"/>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Alterar estado do local</w:t>
            </w:r>
          </w:p>
        </w:tc>
      </w:tr>
      <w:tr>
        <w:trPr>
          <w:cantSplit/>
        </w:trPr>
        <w:tc>
          <w:tcPr>
            <w:tcW w:type="dxa" w:w="1191"/>
            <w:vAlign w:val="center"/>
            <w:tcMar>
              <w:top w:w="65" w:type="dxa"/>
              <w:bottom w:w="65" w:type="dxa"/>
              <w:left w:w="100" w:type="dxa"/>
              <w:right w:w="100" w:type="dxa"/>
            </w:tcMar>
            <w:shd w:fill="FFFFFF"/>
          </w:tcPr>
          <w:p>
            <w:pPr>
              <w:keepNext w:val="0"/>
              <w:spacing w:after="0" w:line="250" w:lineRule="auto"/>
              <w:jc w:val="center"/>
            </w:pPr>
            <w:r>
              <w:rPr>
                <w:rFonts w:ascii="Arial" w:hAnsi="Arial"/>
                <w:b w:val="0"/>
                <w:color w:val="000000"/>
                <w:sz w:val="18"/>
              </w:rPr>
              <w:t>GET</w:t>
            </w:r>
          </w:p>
        </w:tc>
        <w:tc>
          <w:tcPr>
            <w:tcW w:type="dxa" w:w="4677"/>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/stock-positions e /stock-positions/:id</w:t>
            </w:r>
          </w:p>
        </w:tc>
        <w:tc>
          <w:tcPr>
            <w:tcW w:type="dxa" w:w="3770"/>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Consultar saldo por posição</w:t>
            </w:r>
          </w:p>
        </w:tc>
      </w:tr>
      <w:tr>
        <w:trPr>
          <w:cantSplit/>
        </w:trPr>
        <w:tc>
          <w:tcPr>
            <w:tcW w:type="dxa" w:w="1191"/>
            <w:vAlign w:val="center"/>
            <w:tcMar>
              <w:top w:w="65" w:type="dxa"/>
              <w:bottom w:w="65" w:type="dxa"/>
              <w:left w:w="100" w:type="dxa"/>
              <w:right w:w="100" w:type="dxa"/>
            </w:tcMar>
            <w:shd w:fill="FFFFFF"/>
          </w:tcPr>
          <w:p>
            <w:pPr>
              <w:keepNext w:val="0"/>
              <w:spacing w:after="0" w:line="250" w:lineRule="auto"/>
              <w:jc w:val="center"/>
            </w:pPr>
            <w:r>
              <w:rPr>
                <w:rFonts w:ascii="Arial" w:hAnsi="Arial"/>
                <w:b w:val="0"/>
                <w:color w:val="000000"/>
                <w:sz w:val="18"/>
              </w:rPr>
              <w:t>GET</w:t>
            </w:r>
          </w:p>
        </w:tc>
        <w:tc>
          <w:tcPr>
            <w:tcW w:type="dxa" w:w="4677"/>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/settings e /settings/operational</w:t>
            </w:r>
          </w:p>
        </w:tc>
        <w:tc>
          <w:tcPr>
            <w:tcW w:type="dxa" w:w="3770"/>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Consultar configurações conforme escopo</w:t>
            </w:r>
          </w:p>
        </w:tc>
      </w:tr>
      <w:tr>
        <w:trPr>
          <w:cantSplit/>
        </w:trPr>
        <w:tc>
          <w:tcPr>
            <w:tcW w:type="dxa" w:w="1191"/>
            <w:vAlign w:val="center"/>
            <w:tcMar>
              <w:top w:w="65" w:type="dxa"/>
              <w:bottom w:w="65" w:type="dxa"/>
              <w:left w:w="100" w:type="dxa"/>
              <w:right w:w="100" w:type="dxa"/>
            </w:tcMar>
            <w:shd w:fill="FFFFFF"/>
          </w:tcPr>
          <w:p>
            <w:pPr>
              <w:keepNext w:val="0"/>
              <w:spacing w:after="0" w:line="250" w:lineRule="auto"/>
              <w:jc w:val="center"/>
            </w:pPr>
            <w:r>
              <w:rPr>
                <w:rFonts w:ascii="Arial" w:hAnsi="Arial"/>
                <w:b w:val="0"/>
                <w:color w:val="000000"/>
                <w:sz w:val="18"/>
              </w:rPr>
              <w:t>GET</w:t>
            </w:r>
          </w:p>
        </w:tc>
        <w:tc>
          <w:tcPr>
            <w:tcW w:type="dxa" w:w="4677"/>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/settings/shipment-photos</w:t>
            </w:r>
          </w:p>
        </w:tc>
        <w:tc>
          <w:tcPr>
            <w:tcW w:type="dxa" w:w="3770"/>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Consultar limites de fotos</w:t>
            </w:r>
          </w:p>
        </w:tc>
      </w:tr>
      <w:tr>
        <w:trPr>
          <w:cantSplit/>
        </w:trPr>
        <w:tc>
          <w:tcPr>
            <w:tcW w:type="dxa" w:w="1191"/>
            <w:vAlign w:val="center"/>
            <w:tcMar>
              <w:top w:w="65" w:type="dxa"/>
              <w:bottom w:w="65" w:type="dxa"/>
              <w:left w:w="100" w:type="dxa"/>
              <w:right w:w="100" w:type="dxa"/>
            </w:tcMar>
            <w:shd w:fill="FFFFFF"/>
          </w:tcPr>
          <w:p>
            <w:pPr>
              <w:keepNext w:val="0"/>
              <w:spacing w:after="0" w:line="250" w:lineRule="auto"/>
              <w:jc w:val="center"/>
            </w:pPr>
            <w:r>
              <w:rPr>
                <w:rFonts w:ascii="Arial" w:hAnsi="Arial"/>
                <w:b w:val="0"/>
                <w:color w:val="000000"/>
                <w:sz w:val="18"/>
              </w:rPr>
              <w:t>PATCH</w:t>
            </w:r>
          </w:p>
        </w:tc>
        <w:tc>
          <w:tcPr>
            <w:tcW w:type="dxa" w:w="4677"/>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/settings/immediate-separation</w:t>
            </w:r>
          </w:p>
        </w:tc>
        <w:tc>
          <w:tcPr>
            <w:tcW w:type="dxa" w:w="3770"/>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Atualizar prazo de separação</w:t>
            </w:r>
          </w:p>
        </w:tc>
      </w:tr>
      <w:tr>
        <w:trPr>
          <w:cantSplit/>
        </w:trPr>
        <w:tc>
          <w:tcPr>
            <w:tcW w:type="dxa" w:w="1191"/>
            <w:vAlign w:val="center"/>
            <w:tcMar>
              <w:top w:w="65" w:type="dxa"/>
              <w:bottom w:w="65" w:type="dxa"/>
              <w:left w:w="100" w:type="dxa"/>
              <w:right w:w="100" w:type="dxa"/>
            </w:tcMar>
            <w:shd w:fill="FFFFFF"/>
          </w:tcPr>
          <w:p>
            <w:pPr>
              <w:keepNext w:val="0"/>
              <w:spacing w:after="0" w:line="250" w:lineRule="auto"/>
              <w:jc w:val="center"/>
            </w:pPr>
            <w:r>
              <w:rPr>
                <w:rFonts w:ascii="Arial" w:hAnsi="Arial"/>
                <w:b w:val="0"/>
                <w:color w:val="000000"/>
                <w:sz w:val="18"/>
              </w:rPr>
              <w:t>PATCH</w:t>
            </w:r>
          </w:p>
        </w:tc>
        <w:tc>
          <w:tcPr>
            <w:tcW w:type="dxa" w:w="4677"/>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/settings/shipment-photos</w:t>
            </w:r>
          </w:p>
        </w:tc>
        <w:tc>
          <w:tcPr>
            <w:tcW w:type="dxa" w:w="3770"/>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Atualizar limites de fotos</w:t>
            </w:r>
          </w:p>
        </w:tc>
      </w:tr>
      <w:tr>
        <w:trPr>
          <w:cantSplit/>
        </w:trPr>
        <w:tc>
          <w:tcPr>
            <w:tcW w:type="dxa" w:w="1191"/>
            <w:vAlign w:val="center"/>
            <w:tcMar>
              <w:top w:w="65" w:type="dxa"/>
              <w:bottom w:w="65" w:type="dxa"/>
              <w:left w:w="100" w:type="dxa"/>
              <w:right w:w="100" w:type="dxa"/>
            </w:tcMar>
            <w:shd w:fill="FFFFFF"/>
          </w:tcPr>
          <w:p>
            <w:pPr>
              <w:keepNext w:val="0"/>
              <w:spacing w:after="0" w:line="250" w:lineRule="auto"/>
              <w:jc w:val="center"/>
            </w:pPr>
            <w:r>
              <w:rPr>
                <w:rFonts w:ascii="Arial" w:hAnsi="Arial"/>
                <w:b w:val="0"/>
                <w:color w:val="000000"/>
                <w:sz w:val="18"/>
              </w:rPr>
              <w:t>PATCH</w:t>
            </w:r>
          </w:p>
        </w:tc>
        <w:tc>
          <w:tcPr>
            <w:tcW w:type="dxa" w:w="4677"/>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/settings/review-destinations</w:t>
            </w:r>
          </w:p>
        </w:tc>
        <w:tc>
          <w:tcPr>
            <w:tcW w:type="dxa" w:w="3770"/>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Atualizar destinos da revisão</w:t>
            </w:r>
          </w:p>
        </w:tc>
      </w:tr>
    </w:tbl>
    <w:p>
      <w:pPr>
        <w:keepNext/>
        <w:spacing w:after="60" w:before="0" w:line="240" w:lineRule="auto"/>
      </w:pPr>
      <w:r>
        <w:rPr>
          <w:sz w:val="4"/>
        </w:rPr>
      </w:r>
    </w:p>
    <w:p>
      <w:pPr/>
      <w:r>
        <w:t>Não há rotas públicas de criação ou edição independente de lotes, ajuste direto de saldo, edição de movimentações confirmadas ou exclusão física de histórico.</w:t>
      </w:r>
    </w:p>
    <w:p>
      <w:pPr>
        <w:pStyle w:val="Heading1"/>
      </w:pPr>
      <w:r>
        <w:t>17 Referência de API operacional</w:t>
      </w:r>
    </w:p>
    <w:p>
      <w:pPr/>
      <w:r>
        <w:t>Todas as rotas usam /api/v1. Criações têm chave idempotente; ações de estado são revalidadas no backend e processadas nas transações correspondentes.</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1191"/>
        <w:gridCol w:w="4677"/>
        <w:gridCol w:w="3770"/>
      </w:tblGrid>
      <w:tr>
        <w:trPr>
          <w:cantSplit/>
          <w:tblHeader/>
        </w:trPr>
        <w:tc>
          <w:tcPr>
            <w:tcW w:type="dxa" w:w="1191"/>
            <w:vAlign w:val="center"/>
            <w:tcMar>
              <w:top w:w="65" w:type="dxa"/>
              <w:bottom w:w="65" w:type="dxa"/>
              <w:left w:w="100" w:type="dxa"/>
              <w:right w:w="100" w:type="dxa"/>
            </w:tcMar>
            <w:shd w:fill="E6EBF0"/>
          </w:tcPr>
          <w:p>
            <w:pPr>
              <w:keepNext w:val="0"/>
              <w:spacing w:after="0" w:line="250" w:lineRule="auto"/>
              <w:jc w:val="center"/>
            </w:pPr>
            <w:r>
              <w:rPr>
                <w:rFonts w:ascii="Arial" w:hAnsi="Arial"/>
                <w:b/>
                <w:color w:val="000000"/>
                <w:sz w:val="18"/>
              </w:rPr>
              <w:t>Método</w:t>
            </w:r>
          </w:p>
        </w:tc>
        <w:tc>
          <w:tcPr>
            <w:tcW w:type="dxa" w:w="4677"/>
            <w:vAlign w:val="center"/>
            <w:tcMar>
              <w:top w:w="65" w:type="dxa"/>
              <w:bottom w:w="65" w:type="dxa"/>
              <w:left w:w="100" w:type="dxa"/>
              <w:right w:w="100" w:type="dxa"/>
            </w:tcMar>
            <w:shd w:fill="E6EBF0"/>
          </w:tcPr>
          <w:p>
            <w:pPr>
              <w:keepNext w:val="0"/>
              <w:spacing w:after="0" w:line="250" w:lineRule="auto"/>
            </w:pPr>
            <w:r>
              <w:rPr>
                <w:rFonts w:ascii="Arial" w:hAnsi="Arial"/>
                <w:b/>
                <w:color w:val="000000"/>
                <w:sz w:val="18"/>
              </w:rPr>
              <w:t>Rota sem prefixo</w:t>
            </w:r>
          </w:p>
        </w:tc>
        <w:tc>
          <w:tcPr>
            <w:tcW w:type="dxa" w:w="3770"/>
            <w:vAlign w:val="center"/>
            <w:tcMar>
              <w:top w:w="65" w:type="dxa"/>
              <w:bottom w:w="65" w:type="dxa"/>
              <w:left w:w="100" w:type="dxa"/>
              <w:right w:w="100" w:type="dxa"/>
            </w:tcMar>
            <w:shd w:fill="E6EBF0"/>
          </w:tcPr>
          <w:p>
            <w:pPr>
              <w:keepNext w:val="0"/>
              <w:spacing w:after="0" w:line="250" w:lineRule="auto"/>
            </w:pPr>
            <w:r>
              <w:rPr>
                <w:rFonts w:ascii="Arial" w:hAnsi="Arial"/>
                <w:b/>
                <w:color w:val="000000"/>
                <w:sz w:val="18"/>
              </w:rPr>
              <w:t>Finalidade</w:t>
            </w:r>
          </w:p>
        </w:tc>
      </w:tr>
      <w:tr>
        <w:trPr>
          <w:cantSplit/>
        </w:trPr>
        <w:tc>
          <w:tcPr>
            <w:tcW w:type="dxa" w:w="1191"/>
            <w:vAlign w:val="center"/>
            <w:tcMar>
              <w:top w:w="65" w:type="dxa"/>
              <w:bottom w:w="65" w:type="dxa"/>
              <w:left w:w="100" w:type="dxa"/>
              <w:right w:w="100" w:type="dxa"/>
            </w:tcMar>
            <w:shd w:fill="FFFFFF"/>
          </w:tcPr>
          <w:p>
            <w:pPr>
              <w:keepNext w:val="0"/>
              <w:spacing w:after="0" w:line="250" w:lineRule="auto"/>
              <w:jc w:val="center"/>
            </w:pPr>
            <w:r>
              <w:rPr>
                <w:rFonts w:ascii="Arial" w:hAnsi="Arial"/>
                <w:b w:val="0"/>
                <w:color w:val="000000"/>
                <w:sz w:val="18"/>
              </w:rPr>
              <w:t>GET e POST</w:t>
            </w:r>
          </w:p>
        </w:tc>
        <w:tc>
          <w:tcPr>
            <w:tcW w:type="dxa" w:w="4677"/>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/shipments</w:t>
            </w:r>
          </w:p>
        </w:tc>
        <w:tc>
          <w:tcPr>
            <w:tcW w:type="dxa" w:w="3770"/>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Consultar ou criar envio</w:t>
            </w:r>
          </w:p>
        </w:tc>
      </w:tr>
      <w:tr>
        <w:trPr>
          <w:cantSplit/>
        </w:trPr>
        <w:tc>
          <w:tcPr>
            <w:tcW w:type="dxa" w:w="1191"/>
            <w:vAlign w:val="center"/>
            <w:tcMar>
              <w:top w:w="65" w:type="dxa"/>
              <w:bottom w:w="65" w:type="dxa"/>
              <w:left w:w="100" w:type="dxa"/>
              <w:right w:w="100" w:type="dxa"/>
            </w:tcMar>
            <w:shd w:fill="FFFFFF"/>
          </w:tcPr>
          <w:p>
            <w:pPr>
              <w:keepNext w:val="0"/>
              <w:spacing w:after="0" w:line="250" w:lineRule="auto"/>
              <w:jc w:val="center"/>
            </w:pPr>
            <w:r>
              <w:rPr>
                <w:rFonts w:ascii="Arial" w:hAnsi="Arial"/>
                <w:b w:val="0"/>
                <w:color w:val="000000"/>
                <w:sz w:val="18"/>
              </w:rPr>
              <w:t>GET</w:t>
            </w:r>
          </w:p>
        </w:tc>
        <w:tc>
          <w:tcPr>
            <w:tcW w:type="dxa" w:w="4677"/>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/shipments/:id</w:t>
            </w:r>
          </w:p>
        </w:tc>
        <w:tc>
          <w:tcPr>
            <w:tcW w:type="dxa" w:w="3770"/>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Detalhar envio</w:t>
            </w:r>
          </w:p>
        </w:tc>
      </w:tr>
      <w:tr>
        <w:trPr>
          <w:cantSplit/>
        </w:trPr>
        <w:tc>
          <w:tcPr>
            <w:tcW w:type="dxa" w:w="1191"/>
            <w:vAlign w:val="center"/>
            <w:tcMar>
              <w:top w:w="65" w:type="dxa"/>
              <w:bottom w:w="65" w:type="dxa"/>
              <w:left w:w="100" w:type="dxa"/>
              <w:right w:w="100" w:type="dxa"/>
            </w:tcMar>
            <w:shd w:fill="FFFFFF"/>
          </w:tcPr>
          <w:p>
            <w:pPr>
              <w:keepNext w:val="0"/>
              <w:spacing w:after="0" w:line="250" w:lineRule="auto"/>
              <w:jc w:val="center"/>
            </w:pPr>
            <w:r>
              <w:rPr>
                <w:rFonts w:ascii="Arial" w:hAnsi="Arial"/>
                <w:b w:val="0"/>
                <w:color w:val="000000"/>
                <w:sz w:val="18"/>
              </w:rPr>
              <w:t>GET</w:t>
            </w:r>
          </w:p>
        </w:tc>
        <w:tc>
          <w:tcPr>
            <w:tcW w:type="dxa" w:w="4677"/>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/shipments/available-positions</w:t>
            </w:r>
          </w:p>
        </w:tc>
        <w:tc>
          <w:tcPr>
            <w:tcW w:type="dxa" w:w="3770"/>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Consultar posições disponíveis da Revisão</w:t>
            </w:r>
          </w:p>
        </w:tc>
      </w:tr>
      <w:tr>
        <w:trPr>
          <w:cantSplit/>
        </w:trPr>
        <w:tc>
          <w:tcPr>
            <w:tcW w:type="dxa" w:w="1191"/>
            <w:vAlign w:val="center"/>
            <w:tcMar>
              <w:top w:w="65" w:type="dxa"/>
              <w:bottom w:w="65" w:type="dxa"/>
              <w:left w:w="100" w:type="dxa"/>
              <w:right w:w="100" w:type="dxa"/>
            </w:tcMar>
            <w:shd w:fill="FFFFFF"/>
          </w:tcPr>
          <w:p>
            <w:pPr>
              <w:keepNext w:val="0"/>
              <w:spacing w:after="0" w:line="250" w:lineRule="auto"/>
              <w:jc w:val="center"/>
            </w:pPr>
            <w:r>
              <w:rPr>
                <w:rFonts w:ascii="Arial" w:hAnsi="Arial"/>
                <w:b w:val="0"/>
                <w:color w:val="000000"/>
                <w:sz w:val="18"/>
              </w:rPr>
              <w:t>GET</w:t>
            </w:r>
          </w:p>
        </w:tc>
        <w:tc>
          <w:tcPr>
            <w:tcW w:type="dxa" w:w="4677"/>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/shipments/assembly-options</w:t>
            </w:r>
          </w:p>
        </w:tc>
        <w:tc>
          <w:tcPr>
            <w:tcW w:type="dxa" w:w="3770"/>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Consultar embalagens e capacidade de montagem</w:t>
            </w:r>
          </w:p>
        </w:tc>
      </w:tr>
      <w:tr>
        <w:trPr>
          <w:cantSplit/>
        </w:trPr>
        <w:tc>
          <w:tcPr>
            <w:tcW w:type="dxa" w:w="1191"/>
            <w:vAlign w:val="center"/>
            <w:tcMar>
              <w:top w:w="65" w:type="dxa"/>
              <w:bottom w:w="65" w:type="dxa"/>
              <w:left w:w="100" w:type="dxa"/>
              <w:right w:w="100" w:type="dxa"/>
            </w:tcMar>
            <w:shd w:fill="FFFFFF"/>
          </w:tcPr>
          <w:p>
            <w:pPr>
              <w:keepNext w:val="0"/>
              <w:spacing w:after="0" w:line="250" w:lineRule="auto"/>
              <w:jc w:val="center"/>
            </w:pPr>
            <w:r>
              <w:rPr>
                <w:rFonts w:ascii="Arial" w:hAnsi="Arial"/>
                <w:b w:val="0"/>
                <w:color w:val="000000"/>
                <w:sz w:val="18"/>
              </w:rPr>
              <w:t>POST</w:t>
            </w:r>
          </w:p>
        </w:tc>
        <w:tc>
          <w:tcPr>
            <w:tcW w:type="dxa" w:w="4677"/>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/shipments/resolve-lot</w:t>
            </w:r>
          </w:p>
        </w:tc>
        <w:tc>
          <w:tcPr>
            <w:tcW w:type="dxa" w:w="3770"/>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Resolver dados de lote do envio</w:t>
            </w:r>
          </w:p>
        </w:tc>
      </w:tr>
      <w:tr>
        <w:trPr>
          <w:cantSplit/>
        </w:trPr>
        <w:tc>
          <w:tcPr>
            <w:tcW w:type="dxa" w:w="1191"/>
            <w:vAlign w:val="center"/>
            <w:tcMar>
              <w:top w:w="65" w:type="dxa"/>
              <w:bottom w:w="65" w:type="dxa"/>
              <w:left w:w="100" w:type="dxa"/>
              <w:right w:w="100" w:type="dxa"/>
            </w:tcMar>
            <w:shd w:fill="FFFFFF"/>
          </w:tcPr>
          <w:p>
            <w:pPr>
              <w:keepNext w:val="0"/>
              <w:spacing w:after="0" w:line="250" w:lineRule="auto"/>
              <w:jc w:val="center"/>
            </w:pPr>
            <w:r>
              <w:rPr>
                <w:rFonts w:ascii="Arial" w:hAnsi="Arial"/>
                <w:b w:val="0"/>
                <w:color w:val="000000"/>
                <w:sz w:val="18"/>
              </w:rPr>
              <w:t>POST</w:t>
            </w:r>
          </w:p>
        </w:tc>
        <w:tc>
          <w:tcPr>
            <w:tcW w:type="dxa" w:w="4677"/>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/shipments/:id/confirmation</w:t>
            </w:r>
          </w:p>
        </w:tc>
        <w:tc>
          <w:tcPr>
            <w:tcW w:type="dxa" w:w="3770"/>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Confirmar recebimento</w:t>
            </w:r>
          </w:p>
        </w:tc>
      </w:tr>
      <w:tr>
        <w:trPr>
          <w:cantSplit/>
        </w:trPr>
        <w:tc>
          <w:tcPr>
            <w:tcW w:type="dxa" w:w="1191"/>
            <w:vAlign w:val="center"/>
            <w:tcMar>
              <w:top w:w="65" w:type="dxa"/>
              <w:bottom w:w="65" w:type="dxa"/>
              <w:left w:w="100" w:type="dxa"/>
              <w:right w:w="100" w:type="dxa"/>
            </w:tcMar>
            <w:shd w:fill="FFFFFF"/>
          </w:tcPr>
          <w:p>
            <w:pPr>
              <w:keepNext w:val="0"/>
              <w:spacing w:after="0" w:line="250" w:lineRule="auto"/>
              <w:jc w:val="center"/>
            </w:pPr>
            <w:r>
              <w:rPr>
                <w:rFonts w:ascii="Arial" w:hAnsi="Arial"/>
                <w:b w:val="0"/>
                <w:color w:val="000000"/>
                <w:sz w:val="18"/>
              </w:rPr>
              <w:t>POST</w:t>
            </w:r>
          </w:p>
        </w:tc>
        <w:tc>
          <w:tcPr>
            <w:tcW w:type="dxa" w:w="4677"/>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/shipments/:id/refusal</w:t>
            </w:r>
          </w:p>
        </w:tc>
        <w:tc>
          <w:tcPr>
            <w:tcW w:type="dxa" w:w="3770"/>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Recusar com motivo</w:t>
            </w:r>
          </w:p>
        </w:tc>
      </w:tr>
      <w:tr>
        <w:trPr>
          <w:cantSplit/>
        </w:trPr>
        <w:tc>
          <w:tcPr>
            <w:tcW w:type="dxa" w:w="1191"/>
            <w:vAlign w:val="center"/>
            <w:tcMar>
              <w:top w:w="65" w:type="dxa"/>
              <w:bottom w:w="65" w:type="dxa"/>
              <w:left w:w="100" w:type="dxa"/>
              <w:right w:w="100" w:type="dxa"/>
            </w:tcMar>
            <w:shd w:fill="FFFFFF"/>
          </w:tcPr>
          <w:p>
            <w:pPr>
              <w:keepNext w:val="0"/>
              <w:spacing w:after="0" w:line="250" w:lineRule="auto"/>
              <w:jc w:val="center"/>
            </w:pPr>
            <w:r>
              <w:rPr>
                <w:rFonts w:ascii="Arial" w:hAnsi="Arial"/>
                <w:b w:val="0"/>
                <w:color w:val="000000"/>
                <w:sz w:val="18"/>
              </w:rPr>
              <w:t>POST</w:t>
            </w:r>
          </w:p>
        </w:tc>
        <w:tc>
          <w:tcPr>
            <w:tcW w:type="dxa" w:w="4677"/>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/shipments/:id/cancellation</w:t>
            </w:r>
          </w:p>
        </w:tc>
        <w:tc>
          <w:tcPr>
            <w:tcW w:type="dxa" w:w="3770"/>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Cancelar envio pendente pelo autor</w:t>
            </w:r>
          </w:p>
        </w:tc>
      </w:tr>
      <w:tr>
        <w:trPr>
          <w:cantSplit/>
        </w:trPr>
        <w:tc>
          <w:tcPr>
            <w:tcW w:type="dxa" w:w="1191"/>
            <w:vAlign w:val="center"/>
            <w:tcMar>
              <w:top w:w="65" w:type="dxa"/>
              <w:bottom w:w="65" w:type="dxa"/>
              <w:left w:w="100" w:type="dxa"/>
              <w:right w:w="100" w:type="dxa"/>
            </w:tcMar>
            <w:shd w:fill="FFFFFF"/>
          </w:tcPr>
          <w:p>
            <w:pPr>
              <w:keepNext w:val="0"/>
              <w:spacing w:after="0" w:line="250" w:lineRule="auto"/>
              <w:jc w:val="center"/>
            </w:pPr>
            <w:r>
              <w:rPr>
                <w:rFonts w:ascii="Arial" w:hAnsi="Arial"/>
                <w:b w:val="0"/>
                <w:color w:val="000000"/>
                <w:sz w:val="18"/>
              </w:rPr>
              <w:t>PATCH</w:t>
            </w:r>
          </w:p>
        </w:tc>
        <w:tc>
          <w:tcPr>
            <w:tcW w:type="dxa" w:w="4677"/>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/shipments/:id/separation-draft</w:t>
            </w:r>
          </w:p>
        </w:tc>
        <w:tc>
          <w:tcPr>
            <w:tcW w:type="dxa" w:w="3770"/>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Salvar rascunho de retorno</w:t>
            </w:r>
          </w:p>
        </w:tc>
      </w:tr>
      <w:tr>
        <w:trPr>
          <w:cantSplit/>
        </w:trPr>
        <w:tc>
          <w:tcPr>
            <w:tcW w:type="dxa" w:w="1191"/>
            <w:vAlign w:val="center"/>
            <w:tcMar>
              <w:top w:w="65" w:type="dxa"/>
              <w:bottom w:w="65" w:type="dxa"/>
              <w:left w:w="100" w:type="dxa"/>
              <w:right w:w="100" w:type="dxa"/>
            </w:tcMar>
            <w:shd w:fill="FFFFFF"/>
          </w:tcPr>
          <w:p>
            <w:pPr>
              <w:keepNext w:val="0"/>
              <w:spacing w:after="0" w:line="250" w:lineRule="auto"/>
              <w:jc w:val="center"/>
            </w:pPr>
            <w:r>
              <w:rPr>
                <w:rFonts w:ascii="Arial" w:hAnsi="Arial"/>
                <w:b w:val="0"/>
                <w:color w:val="000000"/>
                <w:sz w:val="18"/>
              </w:rPr>
              <w:t>POST</w:t>
            </w:r>
          </w:p>
        </w:tc>
        <w:tc>
          <w:tcPr>
            <w:tcW w:type="dxa" w:w="4677"/>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/shipments/:id/separation-completion</w:t>
            </w:r>
          </w:p>
        </w:tc>
        <w:tc>
          <w:tcPr>
            <w:tcW w:type="dxa" w:w="3770"/>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Concluir separação</w:t>
            </w:r>
          </w:p>
        </w:tc>
      </w:tr>
      <w:tr>
        <w:trPr>
          <w:cantSplit/>
        </w:trPr>
        <w:tc>
          <w:tcPr>
            <w:tcW w:type="dxa" w:w="1191"/>
            <w:vAlign w:val="center"/>
            <w:tcMar>
              <w:top w:w="65" w:type="dxa"/>
              <w:bottom w:w="65" w:type="dxa"/>
              <w:left w:w="100" w:type="dxa"/>
              <w:right w:w="100" w:type="dxa"/>
            </w:tcMar>
            <w:shd w:fill="FFFFFF"/>
          </w:tcPr>
          <w:p>
            <w:pPr>
              <w:keepNext w:val="0"/>
              <w:spacing w:after="0" w:line="250" w:lineRule="auto"/>
              <w:jc w:val="center"/>
            </w:pPr>
            <w:r>
              <w:rPr>
                <w:rFonts w:ascii="Arial" w:hAnsi="Arial"/>
                <w:b w:val="0"/>
                <w:color w:val="000000"/>
                <w:sz w:val="18"/>
              </w:rPr>
              <w:t>GET</w:t>
            </w:r>
          </w:p>
        </w:tc>
        <w:tc>
          <w:tcPr>
            <w:tcW w:type="dxa" w:w="4677"/>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/shipments/:id/items/:itemId/photo</w:t>
            </w:r>
          </w:p>
        </w:tc>
        <w:tc>
          <w:tcPr>
            <w:tcW w:type="dxa" w:w="3770"/>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Ler primeira evidência privada</w:t>
            </w:r>
          </w:p>
        </w:tc>
      </w:tr>
      <w:tr>
        <w:trPr>
          <w:cantSplit/>
        </w:trPr>
        <w:tc>
          <w:tcPr>
            <w:tcW w:type="dxa" w:w="1191"/>
            <w:vAlign w:val="center"/>
            <w:tcMar>
              <w:top w:w="65" w:type="dxa"/>
              <w:bottom w:w="65" w:type="dxa"/>
              <w:left w:w="100" w:type="dxa"/>
              <w:right w:w="100" w:type="dxa"/>
            </w:tcMar>
            <w:shd w:fill="FFFFFF"/>
          </w:tcPr>
          <w:p>
            <w:pPr>
              <w:keepNext w:val="0"/>
              <w:spacing w:after="0" w:line="250" w:lineRule="auto"/>
              <w:jc w:val="center"/>
            </w:pPr>
            <w:r>
              <w:rPr>
                <w:rFonts w:ascii="Arial" w:hAnsi="Arial"/>
                <w:b w:val="0"/>
                <w:color w:val="000000"/>
                <w:sz w:val="18"/>
              </w:rPr>
              <w:t>GET</w:t>
            </w:r>
          </w:p>
        </w:tc>
        <w:tc>
          <w:tcPr>
            <w:tcW w:type="dxa" w:w="4677"/>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/shipments/:id/items/:itemId/photos/:ordinal</w:t>
            </w:r>
          </w:p>
        </w:tc>
        <w:tc>
          <w:tcPr>
            <w:tcW w:type="dxa" w:w="3770"/>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Ler evidência adicional privada</w:t>
            </w:r>
          </w:p>
        </w:tc>
      </w:tr>
      <w:tr>
        <w:trPr>
          <w:cantSplit/>
        </w:trPr>
        <w:tc>
          <w:tcPr>
            <w:tcW w:type="dxa" w:w="1191"/>
            <w:vAlign w:val="center"/>
            <w:tcMar>
              <w:top w:w="65" w:type="dxa"/>
              <w:bottom w:w="65" w:type="dxa"/>
              <w:left w:w="100" w:type="dxa"/>
              <w:right w:w="100" w:type="dxa"/>
            </w:tcMar>
            <w:shd w:fill="FFFFFF"/>
          </w:tcPr>
          <w:p>
            <w:pPr>
              <w:keepNext w:val="0"/>
              <w:spacing w:after="0" w:line="250" w:lineRule="auto"/>
              <w:jc w:val="center"/>
            </w:pPr>
            <w:r>
              <w:rPr>
                <w:rFonts w:ascii="Arial" w:hAnsi="Arial"/>
                <w:b w:val="0"/>
                <w:color w:val="000000"/>
                <w:sz w:val="18"/>
              </w:rPr>
              <w:t>POST</w:t>
            </w:r>
          </w:p>
        </w:tc>
        <w:tc>
          <w:tcPr>
            <w:tcW w:type="dxa" w:w="4677"/>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/movements/resolve-lot</w:t>
            </w:r>
          </w:p>
        </w:tc>
        <w:tc>
          <w:tcPr>
            <w:tcW w:type="dxa" w:w="3770"/>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Validar e calcular lote sem gravar</w:t>
            </w:r>
          </w:p>
        </w:tc>
      </w:tr>
      <w:tr>
        <w:trPr>
          <w:cantSplit/>
        </w:trPr>
        <w:tc>
          <w:tcPr>
            <w:tcW w:type="dxa" w:w="1191"/>
            <w:vAlign w:val="center"/>
            <w:tcMar>
              <w:top w:w="65" w:type="dxa"/>
              <w:bottom w:w="65" w:type="dxa"/>
              <w:left w:w="100" w:type="dxa"/>
              <w:right w:w="100" w:type="dxa"/>
            </w:tcMar>
            <w:shd w:fill="FFFFFF"/>
          </w:tcPr>
          <w:p>
            <w:pPr>
              <w:keepNext w:val="0"/>
              <w:spacing w:after="0" w:line="250" w:lineRule="auto"/>
              <w:jc w:val="center"/>
            </w:pPr>
            <w:r>
              <w:rPr>
                <w:rFonts w:ascii="Arial" w:hAnsi="Arial"/>
                <w:b w:val="0"/>
                <w:color w:val="000000"/>
                <w:sz w:val="18"/>
              </w:rPr>
              <w:t>POST</w:t>
            </w:r>
          </w:p>
        </w:tc>
        <w:tc>
          <w:tcPr>
            <w:tcW w:type="dxa" w:w="4677"/>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/movements/external-entries</w:t>
            </w:r>
          </w:p>
        </w:tc>
        <w:tc>
          <w:tcPr>
            <w:tcW w:type="dxa" w:w="3770"/>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Criar entrada direta</w:t>
            </w:r>
          </w:p>
        </w:tc>
      </w:tr>
      <w:tr>
        <w:trPr>
          <w:cantSplit/>
        </w:trPr>
        <w:tc>
          <w:tcPr>
            <w:tcW w:type="dxa" w:w="1191"/>
            <w:vAlign w:val="center"/>
            <w:tcMar>
              <w:top w:w="65" w:type="dxa"/>
              <w:bottom w:w="65" w:type="dxa"/>
              <w:left w:w="100" w:type="dxa"/>
              <w:right w:w="100" w:type="dxa"/>
            </w:tcMar>
            <w:shd w:fill="FFFFFF"/>
          </w:tcPr>
          <w:p>
            <w:pPr>
              <w:keepNext w:val="0"/>
              <w:spacing w:after="0" w:line="250" w:lineRule="auto"/>
              <w:jc w:val="center"/>
            </w:pPr>
            <w:r>
              <w:rPr>
                <w:rFonts w:ascii="Arial" w:hAnsi="Arial"/>
                <w:b w:val="0"/>
                <w:color w:val="000000"/>
                <w:sz w:val="18"/>
              </w:rPr>
              <w:t>POST</w:t>
            </w:r>
          </w:p>
        </w:tc>
        <w:tc>
          <w:tcPr>
            <w:tcW w:type="dxa" w:w="4677"/>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/movements/external-exits</w:t>
            </w:r>
          </w:p>
        </w:tc>
        <w:tc>
          <w:tcPr>
            <w:tcW w:type="dxa" w:w="3770"/>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Criar saída direta</w:t>
            </w:r>
          </w:p>
        </w:tc>
      </w:tr>
      <w:tr>
        <w:trPr>
          <w:cantSplit/>
        </w:trPr>
        <w:tc>
          <w:tcPr>
            <w:tcW w:type="dxa" w:w="1191"/>
            <w:vAlign w:val="center"/>
            <w:tcMar>
              <w:top w:w="65" w:type="dxa"/>
              <w:bottom w:w="65" w:type="dxa"/>
              <w:left w:w="100" w:type="dxa"/>
              <w:right w:w="100" w:type="dxa"/>
            </w:tcMar>
            <w:shd w:fill="FFFFFF"/>
          </w:tcPr>
          <w:p>
            <w:pPr>
              <w:keepNext w:val="0"/>
              <w:spacing w:after="0" w:line="250" w:lineRule="auto"/>
              <w:jc w:val="center"/>
            </w:pPr>
            <w:r>
              <w:rPr>
                <w:rFonts w:ascii="Arial" w:hAnsi="Arial"/>
                <w:b w:val="0"/>
                <w:color w:val="000000"/>
                <w:sz w:val="18"/>
              </w:rPr>
              <w:t>POST</w:t>
            </w:r>
          </w:p>
        </w:tc>
        <w:tc>
          <w:tcPr>
            <w:tcW w:type="dxa" w:w="4677"/>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/movements/internal-transfers</w:t>
            </w:r>
          </w:p>
        </w:tc>
        <w:tc>
          <w:tcPr>
            <w:tcW w:type="dxa" w:w="3770"/>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Criar transferência</w:t>
            </w:r>
          </w:p>
        </w:tc>
      </w:tr>
      <w:tr>
        <w:trPr>
          <w:cantSplit/>
        </w:trPr>
        <w:tc>
          <w:tcPr>
            <w:tcW w:type="dxa" w:w="1191"/>
            <w:vAlign w:val="center"/>
            <w:tcMar>
              <w:top w:w="65" w:type="dxa"/>
              <w:bottom w:w="65" w:type="dxa"/>
              <w:left w:w="100" w:type="dxa"/>
              <w:right w:w="100" w:type="dxa"/>
            </w:tcMar>
            <w:shd w:fill="FFFFFF"/>
          </w:tcPr>
          <w:p>
            <w:pPr>
              <w:keepNext w:val="0"/>
              <w:spacing w:after="0" w:line="250" w:lineRule="auto"/>
              <w:jc w:val="center"/>
            </w:pPr>
            <w:r>
              <w:rPr>
                <w:rFonts w:ascii="Arial" w:hAnsi="Arial"/>
                <w:b w:val="0"/>
                <w:color w:val="000000"/>
                <w:sz w:val="18"/>
              </w:rPr>
              <w:t>POST</w:t>
            </w:r>
          </w:p>
        </w:tc>
        <w:tc>
          <w:tcPr>
            <w:tcW w:type="dxa" w:w="4677"/>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/movements/reviews</w:t>
            </w:r>
          </w:p>
        </w:tc>
        <w:tc>
          <w:tcPr>
            <w:tcW w:type="dxa" w:w="3770"/>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Criar revisão</w:t>
            </w:r>
          </w:p>
        </w:tc>
      </w:tr>
      <w:tr>
        <w:trPr>
          <w:cantSplit/>
        </w:trPr>
        <w:tc>
          <w:tcPr>
            <w:tcW w:type="dxa" w:w="1191"/>
            <w:vAlign w:val="center"/>
            <w:tcMar>
              <w:top w:w="65" w:type="dxa"/>
              <w:bottom w:w="65" w:type="dxa"/>
              <w:left w:w="100" w:type="dxa"/>
              <w:right w:w="100" w:type="dxa"/>
            </w:tcMar>
            <w:shd w:fill="FFFFFF"/>
          </w:tcPr>
          <w:p>
            <w:pPr>
              <w:keepNext w:val="0"/>
              <w:spacing w:after="0" w:line="250" w:lineRule="auto"/>
              <w:jc w:val="center"/>
            </w:pPr>
            <w:r>
              <w:rPr>
                <w:rFonts w:ascii="Arial" w:hAnsi="Arial"/>
                <w:b w:val="0"/>
                <w:color w:val="000000"/>
                <w:sz w:val="18"/>
              </w:rPr>
              <w:t>POST</w:t>
            </w:r>
          </w:p>
        </w:tc>
        <w:tc>
          <w:tcPr>
            <w:tcW w:type="dxa" w:w="4677"/>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/movements/:id/cancellation</w:t>
            </w:r>
          </w:p>
        </w:tc>
        <w:tc>
          <w:tcPr>
            <w:tcW w:type="dxa" w:w="3770"/>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Cancelar movimentação elegível</w:t>
            </w:r>
          </w:p>
        </w:tc>
      </w:tr>
      <w:tr>
        <w:trPr>
          <w:cantSplit/>
        </w:trPr>
        <w:tc>
          <w:tcPr>
            <w:tcW w:type="dxa" w:w="1191"/>
            <w:vAlign w:val="center"/>
            <w:tcMar>
              <w:top w:w="65" w:type="dxa"/>
              <w:bottom w:w="65" w:type="dxa"/>
              <w:left w:w="100" w:type="dxa"/>
              <w:right w:w="100" w:type="dxa"/>
            </w:tcMar>
            <w:shd w:fill="FFFFFF"/>
          </w:tcPr>
          <w:p>
            <w:pPr>
              <w:keepNext w:val="0"/>
              <w:spacing w:after="0" w:line="250" w:lineRule="auto"/>
              <w:jc w:val="center"/>
            </w:pPr>
            <w:r>
              <w:rPr>
                <w:rFonts w:ascii="Arial" w:hAnsi="Arial"/>
                <w:b w:val="0"/>
                <w:color w:val="000000"/>
                <w:sz w:val="18"/>
              </w:rPr>
              <w:t>GET</w:t>
            </w:r>
          </w:p>
        </w:tc>
        <w:tc>
          <w:tcPr>
            <w:tcW w:type="dxa" w:w="4677"/>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/movements e /movements/:id</w:t>
            </w:r>
          </w:p>
        </w:tc>
        <w:tc>
          <w:tcPr>
            <w:tcW w:type="dxa" w:w="3770"/>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Consultar movimentações</w:t>
            </w:r>
          </w:p>
        </w:tc>
      </w:tr>
      <w:tr>
        <w:trPr>
          <w:cantSplit/>
        </w:trPr>
        <w:tc>
          <w:tcPr>
            <w:tcW w:type="dxa" w:w="1191"/>
            <w:vAlign w:val="center"/>
            <w:tcMar>
              <w:top w:w="65" w:type="dxa"/>
              <w:bottom w:w="65" w:type="dxa"/>
              <w:left w:w="100" w:type="dxa"/>
              <w:right w:w="100" w:type="dxa"/>
            </w:tcMar>
            <w:shd w:fill="FFFFFF"/>
          </w:tcPr>
          <w:p>
            <w:pPr>
              <w:keepNext w:val="0"/>
              <w:spacing w:after="0" w:line="250" w:lineRule="auto"/>
              <w:jc w:val="center"/>
            </w:pPr>
            <w:r>
              <w:rPr>
                <w:rFonts w:ascii="Arial" w:hAnsi="Arial"/>
                <w:b w:val="0"/>
                <w:color w:val="000000"/>
                <w:sz w:val="18"/>
              </w:rPr>
              <w:t>GET</w:t>
            </w:r>
          </w:p>
        </w:tc>
        <w:tc>
          <w:tcPr>
            <w:tcW w:type="dxa" w:w="4677"/>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/history</w:t>
            </w:r>
          </w:p>
        </w:tc>
        <w:tc>
          <w:tcPr>
            <w:tcW w:type="dxa" w:w="3770"/>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Consultar histórico unificado</w:t>
            </w:r>
          </w:p>
        </w:tc>
      </w:tr>
      <w:tr>
        <w:trPr>
          <w:cantSplit/>
        </w:trPr>
        <w:tc>
          <w:tcPr>
            <w:tcW w:type="dxa" w:w="1191"/>
            <w:vAlign w:val="center"/>
            <w:tcMar>
              <w:top w:w="65" w:type="dxa"/>
              <w:bottom w:w="65" w:type="dxa"/>
              <w:left w:w="100" w:type="dxa"/>
              <w:right w:w="100" w:type="dxa"/>
            </w:tcMar>
            <w:shd w:fill="FFFFFF"/>
          </w:tcPr>
          <w:p>
            <w:pPr>
              <w:keepNext w:val="0"/>
              <w:spacing w:after="0" w:line="250" w:lineRule="auto"/>
              <w:jc w:val="center"/>
            </w:pPr>
            <w:r>
              <w:rPr>
                <w:rFonts w:ascii="Arial" w:hAnsi="Arial"/>
                <w:b w:val="0"/>
                <w:color w:val="000000"/>
                <w:sz w:val="18"/>
              </w:rPr>
              <w:t>GET</w:t>
            </w:r>
          </w:p>
        </w:tc>
        <w:tc>
          <w:tcPr>
            <w:tcW w:type="dxa" w:w="4677"/>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/pcp/movements e /pcp/movements/:id</w:t>
            </w:r>
          </w:p>
        </w:tc>
        <w:tc>
          <w:tcPr>
            <w:tcW w:type="dxa" w:w="3770"/>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Consultar fila e grupo</w:t>
            </w:r>
          </w:p>
        </w:tc>
      </w:tr>
      <w:tr>
        <w:trPr>
          <w:cantSplit/>
        </w:trPr>
        <w:tc>
          <w:tcPr>
            <w:tcW w:type="dxa" w:w="1191"/>
            <w:vAlign w:val="center"/>
            <w:tcMar>
              <w:top w:w="65" w:type="dxa"/>
              <w:bottom w:w="65" w:type="dxa"/>
              <w:left w:w="100" w:type="dxa"/>
              <w:right w:w="100" w:type="dxa"/>
            </w:tcMar>
            <w:shd w:fill="FFFFFF"/>
          </w:tcPr>
          <w:p>
            <w:pPr>
              <w:keepNext w:val="0"/>
              <w:spacing w:after="0" w:line="250" w:lineRule="auto"/>
              <w:jc w:val="center"/>
            </w:pPr>
            <w:r>
              <w:rPr>
                <w:rFonts w:ascii="Arial" w:hAnsi="Arial"/>
                <w:b w:val="0"/>
                <w:color w:val="000000"/>
                <w:sz w:val="18"/>
              </w:rPr>
              <w:t>GET</w:t>
            </w:r>
          </w:p>
        </w:tc>
        <w:tc>
          <w:tcPr>
            <w:tcW w:type="dxa" w:w="4677"/>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/pcp/movements/records/:id</w:t>
            </w:r>
          </w:p>
        </w:tc>
        <w:tc>
          <w:tcPr>
            <w:tcW w:type="dxa" w:w="3770"/>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Consultar registro individual</w:t>
            </w:r>
          </w:p>
        </w:tc>
      </w:tr>
      <w:tr>
        <w:trPr>
          <w:cantSplit/>
        </w:trPr>
        <w:tc>
          <w:tcPr>
            <w:tcW w:type="dxa" w:w="1191"/>
            <w:vAlign w:val="center"/>
            <w:tcMar>
              <w:top w:w="65" w:type="dxa"/>
              <w:bottom w:w="65" w:type="dxa"/>
              <w:left w:w="100" w:type="dxa"/>
              <w:right w:w="100" w:type="dxa"/>
            </w:tcMar>
            <w:shd w:fill="FFFFFF"/>
          </w:tcPr>
          <w:p>
            <w:pPr>
              <w:keepNext w:val="0"/>
              <w:spacing w:after="0" w:line="250" w:lineRule="auto"/>
              <w:jc w:val="center"/>
            </w:pPr>
            <w:r>
              <w:rPr>
                <w:rFonts w:ascii="Arial" w:hAnsi="Arial"/>
                <w:b w:val="0"/>
                <w:color w:val="000000"/>
                <w:sz w:val="18"/>
              </w:rPr>
              <w:t>POST</w:t>
            </w:r>
          </w:p>
        </w:tc>
        <w:tc>
          <w:tcPr>
            <w:tcW w:type="dxa" w:w="4677"/>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/pcp/movements/records/:id/execution</w:t>
            </w:r>
          </w:p>
        </w:tc>
        <w:tc>
          <w:tcPr>
            <w:tcW w:type="dxa" w:w="3770"/>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Executar filho no PCP</w:t>
            </w:r>
          </w:p>
        </w:tc>
      </w:tr>
      <w:tr>
        <w:trPr>
          <w:cantSplit/>
        </w:trPr>
        <w:tc>
          <w:tcPr>
            <w:tcW w:type="dxa" w:w="1191"/>
            <w:vAlign w:val="center"/>
            <w:tcMar>
              <w:top w:w="65" w:type="dxa"/>
              <w:bottom w:w="65" w:type="dxa"/>
              <w:left w:w="100" w:type="dxa"/>
              <w:right w:w="100" w:type="dxa"/>
            </w:tcMar>
            <w:shd w:fill="FFFFFF"/>
          </w:tcPr>
          <w:p>
            <w:pPr>
              <w:keepNext w:val="0"/>
              <w:spacing w:after="0" w:line="250" w:lineRule="auto"/>
              <w:jc w:val="center"/>
            </w:pPr>
            <w:r>
              <w:rPr>
                <w:rFonts w:ascii="Arial" w:hAnsi="Arial"/>
                <w:b w:val="0"/>
                <w:color w:val="000000"/>
                <w:sz w:val="18"/>
              </w:rPr>
              <w:t>POST</w:t>
            </w:r>
          </w:p>
        </w:tc>
        <w:tc>
          <w:tcPr>
            <w:tcW w:type="dxa" w:w="4677"/>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/pcp/movements/:id/execution</w:t>
            </w:r>
          </w:p>
        </w:tc>
        <w:tc>
          <w:tcPr>
            <w:tcW w:type="dxa" w:w="3770"/>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Executar pendências do grupo</w:t>
            </w:r>
          </w:p>
        </w:tc>
      </w:tr>
      <w:tr>
        <w:trPr>
          <w:cantSplit/>
        </w:trPr>
        <w:tc>
          <w:tcPr>
            <w:tcW w:type="dxa" w:w="1191"/>
            <w:vAlign w:val="center"/>
            <w:tcMar>
              <w:top w:w="65" w:type="dxa"/>
              <w:bottom w:w="65" w:type="dxa"/>
              <w:left w:w="100" w:type="dxa"/>
              <w:right w:w="100" w:type="dxa"/>
            </w:tcMar>
            <w:shd w:fill="FFFFFF"/>
          </w:tcPr>
          <w:p>
            <w:pPr>
              <w:keepNext w:val="0"/>
              <w:spacing w:after="0" w:line="250" w:lineRule="auto"/>
              <w:jc w:val="center"/>
            </w:pPr>
            <w:r>
              <w:rPr>
                <w:rFonts w:ascii="Arial" w:hAnsi="Arial"/>
                <w:b w:val="0"/>
                <w:color w:val="000000"/>
                <w:sz w:val="18"/>
              </w:rPr>
              <w:t>GET</w:t>
            </w:r>
          </w:p>
        </w:tc>
        <w:tc>
          <w:tcPr>
            <w:tcW w:type="dxa" w:w="4677"/>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/reports/movements e /reports/movements.csv</w:t>
            </w:r>
          </w:p>
        </w:tc>
        <w:tc>
          <w:tcPr>
            <w:tcW w:type="dxa" w:w="3770"/>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Consultar ou exportar movimentações</w:t>
            </w:r>
          </w:p>
        </w:tc>
      </w:tr>
      <w:tr>
        <w:trPr>
          <w:cantSplit/>
        </w:trPr>
        <w:tc>
          <w:tcPr>
            <w:tcW w:type="dxa" w:w="1191"/>
            <w:vAlign w:val="center"/>
            <w:tcMar>
              <w:top w:w="65" w:type="dxa"/>
              <w:bottom w:w="65" w:type="dxa"/>
              <w:left w:w="100" w:type="dxa"/>
              <w:right w:w="100" w:type="dxa"/>
            </w:tcMar>
            <w:shd w:fill="FFFFFF"/>
          </w:tcPr>
          <w:p>
            <w:pPr>
              <w:keepNext w:val="0"/>
              <w:spacing w:after="0" w:line="250" w:lineRule="auto"/>
              <w:jc w:val="center"/>
            </w:pPr>
            <w:r>
              <w:rPr>
                <w:rFonts w:ascii="Arial" w:hAnsi="Arial"/>
                <w:b w:val="0"/>
                <w:color w:val="000000"/>
                <w:sz w:val="18"/>
              </w:rPr>
              <w:t>GET</w:t>
            </w:r>
          </w:p>
        </w:tc>
        <w:tc>
          <w:tcPr>
            <w:tcW w:type="dxa" w:w="4677"/>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/reports/reviews e /reports/reviews.csv</w:t>
            </w:r>
          </w:p>
        </w:tc>
        <w:tc>
          <w:tcPr>
            <w:tcW w:type="dxa" w:w="3770"/>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Consultar ou exportar revisões</w:t>
            </w:r>
          </w:p>
        </w:tc>
      </w:tr>
      <w:tr>
        <w:trPr>
          <w:cantSplit/>
        </w:trPr>
        <w:tc>
          <w:tcPr>
            <w:tcW w:type="dxa" w:w="1191"/>
            <w:vAlign w:val="center"/>
            <w:tcMar>
              <w:top w:w="65" w:type="dxa"/>
              <w:bottom w:w="65" w:type="dxa"/>
              <w:left w:w="100" w:type="dxa"/>
              <w:right w:w="100" w:type="dxa"/>
            </w:tcMar>
            <w:shd w:fill="FFFFFF"/>
          </w:tcPr>
          <w:p>
            <w:pPr>
              <w:keepNext w:val="0"/>
              <w:spacing w:after="0" w:line="250" w:lineRule="auto"/>
              <w:jc w:val="center"/>
            </w:pPr>
            <w:r>
              <w:rPr>
                <w:rFonts w:ascii="Arial" w:hAnsi="Arial"/>
                <w:b w:val="0"/>
                <w:color w:val="000000"/>
                <w:sz w:val="18"/>
              </w:rPr>
              <w:t>GET</w:t>
            </w:r>
          </w:p>
        </w:tc>
        <w:tc>
          <w:tcPr>
            <w:tcW w:type="dxa" w:w="4677"/>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/reports/stock e /reports/stock.csv</w:t>
            </w:r>
          </w:p>
        </w:tc>
        <w:tc>
          <w:tcPr>
            <w:tcW w:type="dxa" w:w="3770"/>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Consultar ou exportar estoque</w:t>
            </w:r>
          </w:p>
        </w:tc>
      </w:tr>
      <w:tr>
        <w:trPr>
          <w:cantSplit/>
        </w:trPr>
        <w:tc>
          <w:tcPr>
            <w:tcW w:type="dxa" w:w="1191"/>
            <w:vAlign w:val="center"/>
            <w:tcMar>
              <w:top w:w="65" w:type="dxa"/>
              <w:bottom w:w="65" w:type="dxa"/>
              <w:left w:w="100" w:type="dxa"/>
              <w:right w:w="100" w:type="dxa"/>
            </w:tcMar>
            <w:shd w:fill="FFFFFF"/>
          </w:tcPr>
          <w:p>
            <w:pPr>
              <w:keepNext w:val="0"/>
              <w:spacing w:after="0" w:line="250" w:lineRule="auto"/>
              <w:jc w:val="center"/>
            </w:pPr>
            <w:r>
              <w:rPr>
                <w:rFonts w:ascii="Arial" w:hAnsi="Arial"/>
                <w:b w:val="0"/>
                <w:color w:val="000000"/>
                <w:sz w:val="18"/>
              </w:rPr>
              <w:t>GET</w:t>
            </w:r>
          </w:p>
        </w:tc>
        <w:tc>
          <w:tcPr>
            <w:tcW w:type="dxa" w:w="4677"/>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/reports/stock/products</w:t>
            </w:r>
          </w:p>
        </w:tc>
        <w:tc>
          <w:tcPr>
            <w:tcW w:type="dxa" w:w="3770"/>
            <w:vAlign w:val="center"/>
            <w:tcMar>
              <w:top w:w="65" w:type="dxa"/>
              <w:bottom w:w="65" w:type="dxa"/>
              <w:left w:w="100" w:type="dxa"/>
              <w:right w:w="100" w:type="dxa"/>
            </w:tcMar>
            <w:shd w:fill="FFFFFF"/>
          </w:tcPr>
          <w:p>
            <w:pPr>
              <w:keepNext w:val="0"/>
              <w:spacing w:after="0" w:line="250" w:lineRule="auto"/>
            </w:pPr>
            <w:r>
              <w:rPr>
                <w:rFonts w:ascii="Arial" w:hAnsi="Arial"/>
                <w:b w:val="0"/>
                <w:color w:val="000000"/>
                <w:sz w:val="18"/>
              </w:rPr>
              <w:t>Consultar estoque agregado por produto</w:t>
            </w:r>
          </w:p>
        </w:tc>
      </w:tr>
    </w:tbl>
    <w:p>
      <w:pPr>
        <w:keepNext/>
        <w:spacing w:after="60" w:before="0" w:line="240" w:lineRule="auto"/>
      </w:pPr>
      <w:r>
        <w:rPr>
          <w:sz w:val="4"/>
        </w:rPr>
      </w:r>
    </w:p>
    <w:p>
      <w:pPr/>
      <w:r>
        <w:t>Envios aceitam visões pending, sent, history, updates e open. Histórico aceita view RECORD ou GROUP; PCP usa registros por padrão e view GROUP para cabeçalhos. Posição disponível exige produto e lote ou fabricação. Filtros e campos de criação seguem os DTOs de cada endpoint.</w:t>
      </w:r>
    </w:p>
    <w:p>
      <w:pPr>
        <w:pStyle w:val="Heading1"/>
      </w:pPr>
      <w:r>
        <w:t>18 Qualidade limites e rastreabilidade</w:t>
      </w:r>
    </w:p>
    <w:p>
      <w:pPr>
        <w:pStyle w:val="Heading2"/>
      </w:pPr>
      <w:r>
        <w:t>Critérios de mudança</w:t>
      </w:r>
    </w:p>
    <w:p>
      <w:pPr/>
      <w:r>
        <w:t>Regras puras e services exigem testes unitários. Constraints, operações transacionais e concorrência são verificados em PostgreSQL real e descartável, separado do banco operacional por TEST_DATABASE_URL. Testes de integração podem recriar o schema e não devem usar o ambiente operacional.</w:t>
      </w:r>
    </w:p>
    <w:p>
      <w:pPr/>
      <w:r>
        <w:t>Verificações usuais são build, lint, testes, inspeção de migrations e validação do Compose. Mudança de schema inclui migration e rollback válido, respeitando bloqueios de perda de dados históricos. Fluxos visuais verificam estados e cálculos críticos; a cobertura de interação e regressão visual deve crescer incrementalmente.</w:t>
      </w:r>
    </w:p>
    <w:p>
      <w:pPr>
        <w:pStyle w:val="Heading2"/>
      </w:pPr>
      <w:r>
        <w:t>Limites conhecidos</w:t>
      </w:r>
    </w:p>
    <w:p>
      <w:pPr/>
      <w:r>
        <w:t>Persistem dívida de divisão do bundle por rotas, concentração de telas em App.tsx, CSV em memória, seletores com limite de até 100 registros, cobertura incompleta de interação e política de retenção e consulta geral de auditoria. Objetos órfãos de fotos exigem conciliação. Cada tema está detalhado no backlog; não altera o comportamento vigente.</w:t>
      </w:r>
    </w:p>
    <w:p>
      <w:pPr/>
      <w:r>
        <w:t>A manutenção excepcional registrada em 02 de outubro de 2026 removeu dados de teste e preservou estrutura, configurações e evidências no storage. Esse evento não é funcionalidade de exclusão operacional. O inventário preservou 22 objetos e apontou um sem referência; a decisão sobre as fotos permanece tarefa separada. Nenhuma credencial integra este documento.</w:t>
      </w:r>
    </w:p>
    <w:p>
      <w:pPr>
        <w:pStyle w:val="Heading2"/>
      </w:pPr>
      <w:r>
        <w:t>Fontes e precedência</w:t>
      </w:r>
    </w:p>
    <w:tbl>
      <w:tblPr>
        <w:tblW w:type="auto" w:w="0"/>
        <w:jc w:val="center"/>
        <w:tblLayout w:type="fixed"/>
        <w:tblLook w:firstColumn="1" w:firstRow="1" w:lastColumn="0" w:lastRow="0" w:noHBand="0" w:noVBand="1" w:val="04A0"/>
        <w:tblLayout w:type="fixed"/>
        <w:tblBorders>
          <w:top w:val="single" w:sz="4" w:color="D9D9D9"/>
          <w:left w:val="single" w:sz="4" w:color="D9D9D9"/>
          <w:bottom w:val="single" w:sz="4" w:color="D9D9D9"/>
          <w:right w:val="single" w:sz="4" w:color="D9D9D9"/>
          <w:insideH w:val="single" w:sz="4" w:color="D9D9D9"/>
          <w:insideV w:val="single" w:sz="4" w:color="D9D9D9"/>
        </w:tblBorders>
      </w:tblPr>
      <w:tblGrid>
        <w:gridCol w:w="3572"/>
        <w:gridCol w:w="6066"/>
      </w:tblGrid>
      <w:tr>
        <w:trPr>
          <w:cantSplit/>
          <w:tblHeader/>
        </w:trPr>
        <w:tc>
          <w:tcPr>
            <w:tcW w:type="dxa" w:w="3572"/>
            <w:vAlign w:val="center"/>
            <w:tcMar>
              <w:top w:w="80" w:type="dxa"/>
              <w:bottom w:w="80" w:type="dxa"/>
              <w:left w:w="100" w:type="dxa"/>
              <w:right w:w="100" w:type="dxa"/>
            </w:tcMar>
            <w:shd w:fill="E6EBF0"/>
          </w:tcPr>
          <w:p>
            <w:pPr>
              <w:keepNext w:val="0"/>
              <w:spacing w:after="0" w:line="250" w:lineRule="auto"/>
            </w:pPr>
            <w:r>
              <w:rPr>
                <w:rFonts w:ascii="Arial" w:hAnsi="Arial"/>
                <w:b/>
                <w:color w:val="000000"/>
                <w:sz w:val="18"/>
              </w:rPr>
              <w:t>Referência</w:t>
            </w:r>
          </w:p>
        </w:tc>
        <w:tc>
          <w:tcPr>
            <w:tcW w:type="dxa" w:w="6066"/>
            <w:vAlign w:val="center"/>
            <w:tcMar>
              <w:top w:w="80" w:type="dxa"/>
              <w:bottom w:w="80" w:type="dxa"/>
              <w:left w:w="100" w:type="dxa"/>
              <w:right w:w="100" w:type="dxa"/>
            </w:tcMar>
            <w:shd w:fill="E6EBF0"/>
          </w:tcPr>
          <w:p>
            <w:pPr>
              <w:keepNext w:val="0"/>
              <w:spacing w:after="0" w:line="250" w:lineRule="auto"/>
            </w:pPr>
            <w:r>
              <w:rPr>
                <w:rFonts w:ascii="Arial" w:hAnsi="Arial"/>
                <w:b/>
                <w:color w:val="000000"/>
                <w:sz w:val="18"/>
              </w:rPr>
              <w:t>Cobertura desta edição</w:t>
            </w:r>
          </w:p>
        </w:tc>
      </w:tr>
      <w:tr>
        <w:trPr>
          <w:cantSplit/>
        </w:trPr>
        <w:tc>
          <w:tcPr>
            <w:tcW w:type="dxa" w:w="3572"/>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documentos/REGRAS_NEGOCIO.md</w:t>
            </w:r>
          </w:p>
        </w:tc>
        <w:tc>
          <w:tcPr>
            <w:tcW w:type="dxa" w:w="6066"/>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RN01 a RN46 e invariantes operacionais</w:t>
            </w:r>
          </w:p>
        </w:tc>
      </w:tr>
      <w:tr>
        <w:trPr>
          <w:cantSplit/>
        </w:trPr>
        <w:tc>
          <w:tcPr>
            <w:tcW w:type="dxa" w:w="3572"/>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documentos/FUNCIONALIDADES.md</w:t>
            </w:r>
          </w:p>
        </w:tc>
        <w:tc>
          <w:tcPr>
            <w:tcW w:type="dxa" w:w="6066"/>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F01 a F16, interface e catálogo de API</w:t>
            </w:r>
          </w:p>
        </w:tc>
      </w:tr>
      <w:tr>
        <w:trPr>
          <w:cantSplit/>
        </w:trPr>
        <w:tc>
          <w:tcPr>
            <w:tcW w:type="dxa" w:w="3572"/>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documentos/ARQUITETURA.md</w:t>
            </w:r>
          </w:p>
        </w:tc>
        <w:tc>
          <w:tcPr>
            <w:tcW w:type="dxa" w:w="6066"/>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AR01 a AR12, entidades, segurança e infraestrutura</w:t>
            </w:r>
          </w:p>
        </w:tc>
      </w:tr>
      <w:tr>
        <w:trPr>
          <w:cantSplit/>
        </w:trPr>
        <w:tc>
          <w:tcPr>
            <w:tcW w:type="dxa" w:w="3572"/>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documentos/HISTORICO.md</w:t>
            </w:r>
          </w:p>
        </w:tc>
        <w:tc>
          <w:tcPr>
            <w:tcW w:type="dxa" w:w="6066"/>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Marcos entregues, decisões substituídas e dívidas</w:t>
            </w:r>
          </w:p>
        </w:tc>
      </w:tr>
      <w:tr>
        <w:trPr>
          <w:cantSplit/>
        </w:trPr>
        <w:tc>
          <w:tcPr>
            <w:tcW w:type="dxa" w:w="3572"/>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documentos/ADR_SEPARACAO_CONFIGURACOES.md</w:t>
            </w:r>
          </w:p>
        </w:tc>
        <w:tc>
          <w:tcPr>
            <w:tcW w:type="dxa" w:w="6066"/>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Prazo capturado, crédito líquido e destinos dinâmicos</w:t>
            </w:r>
          </w:p>
        </w:tc>
      </w:tr>
      <w:tr>
        <w:trPr>
          <w:cantSplit/>
        </w:trPr>
        <w:tc>
          <w:tcPr>
            <w:tcW w:type="dxa" w:w="3572"/>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Relatório da etapa 54</w:t>
            </w:r>
          </w:p>
        </w:tc>
        <w:tc>
          <w:tcPr>
            <w:tcW w:type="dxa" w:w="6066"/>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Renovação automática e sessão de 14 horas</w:t>
            </w:r>
          </w:p>
        </w:tc>
      </w:tr>
      <w:tr>
        <w:trPr>
          <w:cantSplit/>
        </w:trPr>
        <w:tc>
          <w:tcPr>
            <w:tcW w:type="dxa" w:w="3572"/>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Relatório da etapa 57</w:t>
            </w:r>
          </w:p>
        </w:tc>
        <w:tc>
          <w:tcPr>
            <w:tcW w:type="dxa" w:w="6066"/>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Origem da entrada manual e pendências de segurança</w:t>
            </w:r>
          </w:p>
        </w:tc>
      </w:tr>
      <w:tr>
        <w:trPr>
          <w:cantSplit/>
        </w:trPr>
        <w:tc>
          <w:tcPr>
            <w:tcW w:type="dxa" w:w="3572"/>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Relatório da etapa 60</w:t>
            </w:r>
          </w:p>
        </w:tc>
        <w:tc>
          <w:tcPr>
            <w:tcW w:type="dxa" w:w="6066"/>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Limpeza excepcional e inventário de evidências preservadas</w:t>
            </w:r>
          </w:p>
        </w:tc>
      </w:tr>
      <w:tr>
        <w:trPr>
          <w:cantSplit/>
        </w:trPr>
        <w:tc>
          <w:tcPr>
            <w:tcW w:type="dxa" w:w="3572"/>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Relatório da etapa 61</w:t>
            </w:r>
          </w:p>
        </w:tc>
        <w:tc>
          <w:tcPr>
            <w:tcW w:type="dxa" w:w="6066"/>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Importação pontual do catálogo e linhas pendentes de correção</w:t>
            </w:r>
          </w:p>
        </w:tc>
      </w:tr>
      <w:tr>
        <w:trPr>
          <w:cantSplit/>
        </w:trPr>
        <w:tc>
          <w:tcPr>
            <w:tcW w:type="dxa" w:w="3572"/>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Relatório da etapa 62</w:t>
            </w:r>
          </w:p>
        </w:tc>
        <w:tc>
          <w:tcPr>
            <w:tcW w:type="dxa" w:w="6066"/>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Recuperação do acesso pela gestão de usuários existente</w:t>
            </w:r>
          </w:p>
        </w:tc>
      </w:tr>
      <w:tr>
        <w:trPr>
          <w:cantSplit/>
        </w:trPr>
        <w:tc>
          <w:tcPr>
            <w:tcW w:type="dxa" w:w="3572"/>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Relatório da etapa 63</w:t>
            </w:r>
          </w:p>
        </w:tc>
        <w:tc>
          <w:tcPr>
            <w:tcW w:type="dxa" w:w="6066"/>
            <w:vAlign w:val="center"/>
            <w:tcMar>
              <w:top w:w="80" w:type="dxa"/>
              <w:bottom w:w="80" w:type="dxa"/>
              <w:left w:w="100" w:type="dxa"/>
              <w:right w:w="100" w:type="dxa"/>
            </w:tcMar>
            <w:shd w:fill="FFFFFF"/>
          </w:tcPr>
          <w:p>
            <w:pPr>
              <w:keepNext w:val="0"/>
              <w:spacing w:after="0" w:line="250" w:lineRule="auto"/>
            </w:pPr>
            <w:r>
              <w:rPr>
                <w:rFonts w:ascii="Arial" w:hAnsi="Arial"/>
                <w:b w:val="0"/>
                <w:color w:val="000000"/>
                <w:sz w:val="18"/>
              </w:rPr>
              <w:t>Diagnóstico de origem CORS divergente no login publicado</w:t>
            </w:r>
          </w:p>
        </w:tc>
      </w:tr>
    </w:tbl>
    <w:p>
      <w:pPr>
        <w:keepNext/>
        <w:spacing w:after="60" w:before="0" w:line="240" w:lineRule="auto"/>
      </w:pPr>
      <w:r>
        <w:rPr>
          <w:sz w:val="4"/>
        </w:rPr>
      </w:r>
    </w:p>
    <w:p>
      <w:pPr/>
      <w:r>
        <w:t>Os Markdown canônicos são a referência de manutenção. Complementos posteriores aceitos esclarecem decisões vigentes; registros arquivados não prevalecem sobre regras atuais. Nesta consolidação, Supabase é o banco operacional, destinos são dinâmicos e a renovação automática já está entregue. Menções antigas a Docker como padrão, destinos fixos ou refresh pendente são substituídas por essas definições.</w:t>
      </w:r>
    </w:p>
    <w:p>
      <w:pPr/>
      <w:r>
        <w:t>Referência técnica adicional: SettingsService e MovementsService para destinos dinâmicos; cliente api.ts para refresh; ReportsController para endpoints CSV; ShipmentsController para cancelamento do envio. A rastreabilidade permite revisar a edição quando esses contratos mudarem.</w:t>
      </w:r>
    </w:p>
    <w:p>
      <w:pPr>
        <w:pStyle w:val="Heading1"/>
      </w:pPr>
      <w:r>
        <w:t>19 Registros operacionais recentes</w:t>
      </w:r>
    </w:p>
    <w:p>
      <w:pPr>
        <w:pStyle w:val="Heading2"/>
      </w:pPr>
      <w:r>
        <w:t>Catálogo importado</w:t>
      </w:r>
    </w:p>
    <w:p>
      <w:pPr/>
      <w:r>
        <w:t>O relatório da etapa 61 registra, em 02 de outubro de 2026, a importação pontual de 10.944 produtos válidos do catálogo Oderich: 6.385 UN, 3.935 CX e 624 FD, com 5.899 vínculos entre embalagens e códigos unitários. Produtos foram persistidos com regras de cadastro, constraints e auditoria existentes; a carga não criou uma nova API ou funcionalidade de importação.</w:t>
      </w:r>
    </w:p>
    <w:p>
      <w:pPr/>
      <w:r>
        <w:t>Gramatura foi utilizada somente em UN, e as alternativas de uma embalagem mantiveram o mesmo fator, sem soma de componentes. Nenhum código, fator ou vínculo ausente foi inventado. Linhas válidas foram conferidas contra o manifesto da carga e posições, lotes e movimentações não foram criados por esse processo.</w:t>
      </w:r>
    </w:p>
    <w:p>
      <w:pPr/>
      <w:r>
        <w:t>Ficaram fora da carga 1.039 linhas para correção, incluindo unidades KG ou L não admitidas pelo modelo atual, código fora do padrão, gramatura ausente, componente inexistente e fatores divergentes. Os motivos podem se sobrepor e não devem ser somados. A futura carga das correções deve conciliar o catálogo já existente, sem repetir a carga integral. O backlog registra essa necessidade em BL23.</w:t>
      </w:r>
    </w:p>
    <w:p>
      <w:pPr>
        <w:pStyle w:val="Heading2"/>
      </w:pPr>
      <w:r>
        <w:t>Recuperação administrativa</w:t>
      </w:r>
    </w:p>
    <w:p>
      <w:pPr/>
      <w:r>
        <w:t>A etapa 62 registra recuperação da conta administrativa pela gestão de usuários existente, com hash Argon2id, transação, revogação de sessões anteriores e auditoria. O bootstrap é destinado à criação inicial e não atualiza contas existentes; repetição do mesmo login continua bloqueada por duplicidade. Novas contas são geridas pelo administrador na interface apropriada.</w:t>
      </w:r>
    </w:p>
    <w:p>
      <w:pPr>
        <w:pStyle w:val="Heading2"/>
      </w:pPr>
      <w:r>
        <w:t>Diagnóstico do login publicado</w:t>
      </w:r>
    </w:p>
    <w:p>
      <w:pPr/>
      <w:r>
        <w:t>A etapa 63 registra API e banco disponíveis, mas acesso pelo navegador bloqueado por divergência de CORS: a origem configurada tinha barra final e a origem enviada pelo navegador não tinha. A configuração FRONTEND_URL do backend publicado deve corresponder exatamente à origem do frontend, sem barra final, mantendo URLs locais no desenvolvimento.</w:t>
      </w:r>
    </w:p>
    <w:p>
      <w:pPr/>
      <w:r>
        <w:t>Esse relatório registra a correção como pendente e não comprova um novo deploy. BL22 começa pela verificação do estado atual e, se a divergência persistir, trata configuração e publicação. Um health check positivo, isoladamente, não comprova que o navegador consegue autenticar. Estas observações são registros da data indicada, não monitoração em tempo real.</w:t>
      </w:r>
    </w:p>
    <w:sectPr w:rsidR="00FC693F" w:rsidRPr="0006063C" w:rsidSect="00034616">
      <w:footerReference w:type="default" r:id="rId9"/>
      <w:pgSz w:w="11906" w:h="16838"/>
      <w:pgMar w:top="1020"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Arial" w:hAnsi="Arial"/>
        <w:color w:val="000000"/>
        <w:sz w:val="16"/>
      </w:rPr>
      <w:t xml:space="preserve">EstoqueRevisao Documentação oficial  |  v1.0  |  </w:t>
    </w:r>
    <w:fldSimple w:instr="PAGE">
      <w:r>
        <w:rPr>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20"/>
    </w:pPr>
    <w:rPr>
      <w:rFonts w:ascii="Arial" w:hAnsi="Arial"/>
      <w:color w:val="000000"/>
      <w:sz w:val="21"/>
      <w:lang w:val="pt-B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40" w:line="252" w:lineRule="auto"/>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line="252" w:lineRule="auto"/>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20" w:line="252" w:lineRule="auto" w:before="0"/>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line="252" w:lineRule="auto"/>
    </w:pPr>
    <w:rPr>
      <w:rFonts w:asciiTheme="majorHAnsi" w:eastAsiaTheme="majorEastAsia" w:hAnsiTheme="majorHAnsi" w:cstheme="majorBidi" w:ascii="Arial" w:hAnsi="Arial"/>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Next w:val="0"/>
      <w:numPr>
        <w:numId w:val="1"/>
      </w:numPr>
      <w:spacing w:after="80" w:line="264" w:lineRule="auto"/>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EstoqueRevisao Documentação oficial</dc:title>
  <dc:subject>Referência do sistema EstoqueRevisao em 02 de outubro de 2026</dc:subject>
  <dc:creator/>
  <cp:keywords/>
  <dc:description>generated by python-docx</dc:description>
  <cp:lastModifiedBy/>
  <cp:revision>1</cp:revision>
  <dcterms:created xsi:type="dcterms:W3CDTF">2026-10-02T12:00:00Z</dcterms:created>
  <dcterms:modified xsi:type="dcterms:W3CDTF">2026-10-02T12:00:00Z</dcterms:modified>
  <cp:category/>
  <cp:version>1.0</cp:version>
</cp:coreProperties>
</file>