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864"/>
          <w:sz w:val="26"/>
          <w:szCs w:val="26"/>
        </w:rPr>
        <w:t xml:space="preserve">INFORME GERENCIAL — Detección de Fraude en Transacciones con Tarjeta de Crédito</w:t>
      </w:r>
    </w:p>
    <w:p>
      <w:pPr>
        <w:pBdr>
          <w:bottom w:val="single" w:color="B8860B" w:sz="6" w:space="4"/>
        </w:pBdr>
        <w:spacing w:after="160"/>
      </w:pPr>
      <w:r>
        <w:rPr>
          <w:i/>
          <w:iCs/>
          <w:color w:val="444444"/>
          <w:sz w:val="18"/>
          <w:szCs w:val="18"/>
        </w:rPr>
        <w:t xml:space="preserve">Consultoría Antifraude — Red de Tarjetas de Crédito · Análisis sobre 284,807 transacciones reales, 492 fraudes (0.1727%) · Credit Card Fraud Detection Dataset (ULB / Kaggle)</w:t>
      </w:r>
    </w:p>
    <w:p>
      <w:pPr>
        <w:spacing w:after="60" w:before="140"/>
      </w:pPr>
      <w:r>
        <w:rPr>
          <w:b/>
          <w:bCs/>
          <w:color w:val="1F3864"/>
          <w:sz w:val="21"/>
          <w:szCs w:val="21"/>
        </w:rPr>
        <w:t xml:space="preserve">Resumen ejecutivo</w:t>
      </w:r>
    </w:p>
    <w:p>
      <w:pPr>
        <w:spacing w:after="80"/>
      </w:pPr>
      <w:r>
        <w:rPr>
          <w:sz w:val="19"/>
          <w:szCs w:val="19"/>
        </w:rPr>
        <w:t xml:space="preserve">Con un prior de fraude de apenas 0.1727% (492 de 284,807 transacciones), este análisis muestra que ninguna señal aislada —ni siquiera el monto de la transacción— es suficiente para levantar una alerta confiable: el monto por sí solo aporta una ganancia de información prácticamente nula (≈0.00005 bits) y su relación con el fraude ni siquiera es monótona. Las componentes V14, V17 y V12 (identificadas por divergencia KL) sí separan claramente ambas clases y deberían ser el eje de cualquier regla o modelo. El hallazgo más importante para la organización es conceptual: con un prior tan extremo, incluso combinando dos señales fuertes (monto alto + V14 atípico), la probabilidad real de fraude ante una alerta es de apenas 4.17% — 24 veces el prior, pero lejos de "certeza". Cualquier sistema de bloqueo automático basado solo en "precisión aparente" generará una cantidad inaceptable de falsos positivos; se recomienda revisión humana asistida, no bloqueo automático.</w:t>
      </w:r>
    </w:p>
    <w:p>
      <w:pPr>
        <w:spacing w:after="60" w:before="140"/>
      </w:pPr>
      <w:r>
        <w:rPr>
          <w:b/>
          <w:bCs/>
          <w:color w:val="1F3864"/>
          <w:sz w:val="21"/>
          <w:szCs w:val="21"/>
        </w:rPr>
        <w:t xml:space="preserve">Hallazgos por concepto estadístico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0"/>
        <w:gridCol w:w="4550"/>
        <w:gridCol w:w="4700"/>
      </w:tblGrid>
      <w:tr>
        <w:trPr>
          <w:tblHeader/>
        </w:trPr>
        <w:tc>
          <w:tcPr>
            <w:tcW w:type="dxa" w:w="155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Concepto</w:t>
            </w:r>
          </w:p>
        </w:tc>
        <w:tc>
          <w:tcPr>
            <w:tcW w:type="dxa" w:w="455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Hallazgo (cifra propia)</w:t>
            </w:r>
          </w:p>
        </w:tc>
        <w:tc>
          <w:tcPr>
            <w:tcW w:type="dxa" w:w="47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Implicación de negocio</w:t>
            </w:r>
          </w:p>
        </w:tc>
      </w:tr>
      <w:tr>
        <w:tc>
          <w:tcPr>
            <w:tcW w:type="dxa" w:w="155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 xml:space="preserve">Prob.</w:t>
            </w:r>
            <w:r>
              <w:rPr>
                <w:b/>
                <w:bCs/>
                <w:sz w:val="16"/>
                <w:szCs w:val="16"/>
              </w:rPr>
              <w:br/>
              <w:t xml:space="preserve">condicional</w:t>
            </w:r>
          </w:p>
        </w:tc>
        <w:tc>
          <w:tcPr>
            <w:tcW w:type="dxa" w:w="455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P(fraude)=0.173% (prior). P(fraude|Amount&gt;$500)=0.383% (lift 2.22x); el lift NO es monótono: cae a 0.86x en $2,000 y a 0x en $5,000.</w:t>
            </w:r>
          </w:p>
        </w:tc>
        <w:tc>
          <w:tcPr>
            <w:tcW w:type="dxa" w:w="47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El monto no es un filtro simple de "a mayor monto, mayor riesgo": un umbral único de monto es una regla de negocio débil por sí sola.</w:t>
            </w:r>
          </w:p>
        </w:tc>
      </w:tr>
      <w:tr>
        <w:tc>
          <w:tcPr>
            <w:tcW w:type="dxa" w:w="1550"/>
            <w:shd w:fill="EDEDE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 xml:space="preserve">Teorema</w:t>
            </w:r>
            <w:r>
              <w:rPr>
                <w:b/>
                <w:bCs/>
                <w:sz w:val="16"/>
                <w:szCs w:val="16"/>
              </w:rPr>
              <w:br/>
              <w:t xml:space="preserve">de Bayes</w:t>
            </w:r>
          </w:p>
        </w:tc>
        <w:tc>
          <w:tcPr>
            <w:tcW w:type="dxa" w:w="4550"/>
            <w:shd w:fill="EDEDE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P(fraude|Amount&gt;$500) recalculada invirtiendo P(Amount&gt;500|fraude)=7.11% y P(Amount&gt;500|no-fraude)=3.20% vía Bayes: coincide exactamente con el cálculo directo (0.383%).</w:t>
            </w:r>
          </w:p>
        </w:tc>
        <w:tc>
          <w:tcPr>
            <w:tcW w:type="dxa" w:w="4700"/>
            <w:shd w:fill="EDEDE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Confirma que el modelo probabilístico es consistente: se puede razonar "hacia atrás" desde la evidencia sin necesidad de reprocesar todo el dataset.</w:t>
            </w:r>
          </w:p>
        </w:tc>
      </w:tr>
      <w:tr>
        <w:tc>
          <w:tcPr>
            <w:tcW w:type="dxa" w:w="155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 xml:space="preserve">Verosimilitud</w:t>
            </w:r>
            <w:r>
              <w:rPr>
                <w:b/>
                <w:bCs/>
                <w:sz w:val="16"/>
                <w:szCs w:val="16"/>
              </w:rPr>
              <w:br/>
              <w:t xml:space="preserve">(Likelihood)</w:t>
            </w:r>
          </w:p>
        </w:tc>
        <w:tc>
          <w:tcPr>
            <w:tcW w:type="dxa" w:w="455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Log-verosimilitud de V14 bajo Gaussiana: LL(fraude)=-1,412.8 (492 obs.); LL(no-fraude)=-372,522.2 (284,315 obs.); promedio por observación -2.87 vs -1.31.</w:t>
            </w:r>
          </w:p>
        </w:tc>
        <w:tc>
          <w:tcPr>
            <w:tcW w:type="dxa" w:w="47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La verosimilitud por observación es comparable entre clases pese a la enorme diferencia de tamaño muestral, lo que valida usar la misma familia de distribución para ambas.</w:t>
            </w:r>
          </w:p>
        </w:tc>
      </w:tr>
      <w:tr>
        <w:tc>
          <w:tcPr>
            <w:tcW w:type="dxa" w:w="1550"/>
            <w:shd w:fill="EDEDE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 xml:space="preserve">Máx.</w:t>
            </w:r>
            <w:r>
              <w:rPr>
                <w:b/>
                <w:bCs/>
                <w:sz w:val="16"/>
                <w:szCs w:val="16"/>
              </w:rPr>
              <w:br/>
              <w:t xml:space="preserve">Verosimilitud</w:t>
            </w:r>
            <w:r>
              <w:rPr>
                <w:b/>
                <w:bCs/>
                <w:sz w:val="16"/>
                <w:szCs w:val="16"/>
              </w:rPr>
              <w:br/>
              <w:t xml:space="preserve">(MLE)</w:t>
            </w:r>
          </w:p>
        </w:tc>
        <w:tc>
          <w:tcPr>
            <w:tcW w:type="dxa" w:w="4550"/>
            <w:shd w:fill="EDEDE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Parámetros estimados por MLE en V14 — fraude: μ=-6.972, σ=4.279; no-fraude: μ=0.012, σ=0.897. Diferencia de medias ≈ 6.98σ.</w:t>
            </w:r>
          </w:p>
        </w:tc>
        <w:tc>
          <w:tcPr>
            <w:tcW w:type="dxa" w:w="4700"/>
            <w:shd w:fill="EDEDE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V14 separa casi por completo ambas poblaciones: es el mejor candidato individual para una regla o modelo de alerta temprana.</w:t>
            </w:r>
          </w:p>
        </w:tc>
      </w:tr>
      <w:tr>
        <w:tc>
          <w:tcPr>
            <w:tcW w:type="dxa" w:w="155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 xml:space="preserve">Distribuciones</w:t>
            </w:r>
            <w:r>
              <w:rPr>
                <w:b/>
                <w:bCs/>
                <w:sz w:val="16"/>
                <w:szCs w:val="16"/>
              </w:rPr>
              <w:br/>
              <w:t xml:space="preserve">paramétricas</w:t>
            </w:r>
          </w:p>
        </w:tc>
        <w:tc>
          <w:tcPr>
            <w:tcW w:type="dxa" w:w="455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Shapiro-Wilk rechaza normalidad estricta (p&lt;0.001) en V14, V10, V12 y V4 para ambas clases, pero la Gaussiana sigue siendo una aproximación razonable dado el tamaño muestral.</w:t>
            </w:r>
          </w:p>
        </w:tc>
        <w:tc>
          <w:tcPr>
            <w:tcW w:type="dxa" w:w="47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Justifica usar Naive Bayes Gaussiano o Regresión Logística como modelos base, sin necesidad de transformar las componentes PCA.</w:t>
            </w:r>
          </w:p>
        </w:tc>
      </w:tr>
      <w:tr>
        <w:tc>
          <w:tcPr>
            <w:tcW w:type="dxa" w:w="1550"/>
            <w:shd w:fill="EDEDE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 xml:space="preserve">Esperanza</w:t>
            </w:r>
            <w:r>
              <w:rPr>
                <w:b/>
                <w:bCs/>
                <w:sz w:val="16"/>
                <w:szCs w:val="16"/>
              </w:rPr>
              <w:br/>
              <w:t xml:space="preserve">y Varianza</w:t>
            </w:r>
          </w:p>
        </w:tc>
        <w:tc>
          <w:tcPr>
            <w:tcW w:type="dxa" w:w="4550"/>
            <w:shd w:fill="EDEDE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Amount — fraude: E=$122.21, Var=65,886; no-fraude: E=$88.29, Var=62,552 (razón de varianzas ≈1.05x). V14 — razón de varianzas ≈22.8x entre clases.</w:t>
            </w:r>
          </w:p>
        </w:tc>
        <w:tc>
          <w:tcPr>
            <w:tcW w:type="dxa" w:w="4700"/>
            <w:shd w:fill="EDEDE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El monto es una palanca secundaria (medias parecidas, varianza casi igual); la señal fuerte está en las componentes PCA, no en Amount.</w:t>
            </w:r>
          </w:p>
        </w:tc>
      </w:tr>
      <w:tr>
        <w:tc>
          <w:tcPr>
            <w:tcW w:type="dxa" w:w="155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 xml:space="preserve">Independencia</w:t>
            </w:r>
            <w:r>
              <w:rPr>
                <w:b/>
                <w:bCs/>
                <w:sz w:val="16"/>
                <w:szCs w:val="16"/>
              </w:rPr>
              <w:br/>
              <w:t xml:space="preserve">y Correlación</w:t>
            </w:r>
          </w:p>
        </w:tc>
        <w:tc>
          <w:tcPr>
            <w:tcW w:type="dxa" w:w="455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Componentes PCA mutuamente no correlacionadas (|r|&lt;10⁻¹⁵, confirma diseño ortogonal). Amount vs Class: r=0.006 pero χ²=110.66, p&lt;0.001, Cramér's V=0.020 (efecto pequeño). V14 vs Class: r=-0.303 (la más fuerte).</w:t>
            </w:r>
          </w:p>
        </w:tc>
        <w:tc>
          <w:tcPr>
            <w:tcW w:type="dxa" w:w="47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Amount está asociado con fraude de forma estadísticamente significativa pero prácticamente débil — con 284,807 filas, hasta relaciones triviales resultan "significativas".</w:t>
            </w:r>
          </w:p>
        </w:tc>
      </w:tr>
      <w:tr>
        <w:tc>
          <w:tcPr>
            <w:tcW w:type="dxa" w:w="1550"/>
            <w:shd w:fill="EDEDE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 xml:space="preserve">Prior y</w:t>
            </w:r>
            <w:r>
              <w:rPr>
                <w:b/>
                <w:bCs/>
                <w:sz w:val="16"/>
                <w:szCs w:val="16"/>
              </w:rPr>
              <w:br/>
              <w:t xml:space="preserve">Posterior</w:t>
            </w:r>
          </w:p>
        </w:tc>
        <w:tc>
          <w:tcPr>
            <w:tcW w:type="dxa" w:w="4550"/>
            <w:shd w:fill="EDEDE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Prior 0.173% → posterior secuencial (Amount&gt;$500 luego V14&lt;-1) = 3.44% → posterior con ambas evidencias simultáneas = 4.17% (lift 24.1x). Un modelo que alertara con esas dos señales tendría 644 falsos positivos por cada 28 fraudes reales detectados.</w:t>
            </w:r>
          </w:p>
        </w:tc>
        <w:tc>
          <w:tcPr>
            <w:tcW w:type="dxa" w:w="4700"/>
            <w:shd w:fill="EDEDE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Argumento central del informe: una "precisión" del 4.17% suena baja, pero es 24 veces mejor que el azar — el prior extremo, no el modelo, es lo que limita la precisión aparente.</w:t>
            </w:r>
          </w:p>
        </w:tc>
      </w:tr>
      <w:tr>
        <w:tc>
          <w:tcPr>
            <w:tcW w:type="dxa" w:w="155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 xml:space="preserve">Entropía</w:t>
            </w:r>
          </w:p>
        </w:tc>
        <w:tc>
          <w:tcPr>
            <w:tcW w:type="dxa" w:w="455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H(Class)=0.018 bits (1.8% de la entropía máxima de 1 bit). Ponderando ambas ramas de Amount, H(Class|Amount)=0.0183 bits → ganancia de información ≈0.00005 bits.</w:t>
            </w:r>
          </w:p>
        </w:tc>
        <w:tc>
          <w:tcPr>
            <w:tcW w:type="dxa" w:w="47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El dataset es casi perfectamente predecible por el desbalance mismo ("todo es no-fraude"), y Amount por sí solo reduce esa incertidumbre en una cantidad prácticamente nula.</w:t>
            </w:r>
          </w:p>
        </w:tc>
      </w:tr>
      <w:tr>
        <w:tc>
          <w:tcPr>
            <w:tcW w:type="dxa" w:w="1550"/>
            <w:shd w:fill="EDEDE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 xml:space="preserve">Entropía</w:t>
            </w:r>
            <w:r>
              <w:rPr>
                <w:b/>
                <w:bCs/>
                <w:sz w:val="16"/>
                <w:szCs w:val="16"/>
              </w:rPr>
              <w:br/>
              <w:t xml:space="preserve">cruzada</w:t>
            </w:r>
          </w:p>
        </w:tc>
        <w:tc>
          <w:tcPr>
            <w:tcW w:type="dxa" w:w="4550"/>
            <w:shd w:fill="EDEDE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Regresión logística (12 variables, pesos balanceados, partición 75/25): log-loss train=0.133 nats (0.192 bits), test=0.135 nats (0.195 bits) — 10 veces por encima del H(Class) teórico (0.018 bits).</w:t>
            </w:r>
          </w:p>
        </w:tc>
        <w:tc>
          <w:tcPr>
            <w:tcW w:type="dxa" w:w="4700"/>
            <w:shd w:fill="EDEDE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El modelo aún tiene margen de mejora real frente al límite teórico; no basta con el desbalance para "resolver" el problema, se necesita mejor señal (ver KL).</w:t>
            </w:r>
          </w:p>
        </w:tc>
      </w:tr>
      <w:tr>
        <w:tc>
          <w:tcPr>
            <w:tcW w:type="dxa" w:w="155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 xml:space="preserve">Divergencia</w:t>
            </w:r>
            <w:r>
              <w:rPr>
                <w:b/>
                <w:bCs/>
                <w:sz w:val="16"/>
                <w:szCs w:val="16"/>
              </w:rPr>
              <w:br/>
              <w:t xml:space="preserve">KL</w:t>
            </w:r>
          </w:p>
        </w:tc>
        <w:tc>
          <w:tcPr>
            <w:tcW w:type="dxa" w:w="455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Top 5 componentes por KL(fraude‖no-fraude): V14 (4.95 nats), V17 (4.74), V12 (4.59), V11 (4.09), V16 (3.65) — muy por encima del resto (siguiente grupo: V10, V18, V4 entre 2.6–3.1 nats).</w:t>
            </w:r>
          </w:p>
        </w:tc>
        <w:tc>
          <w:tcPr>
            <w:tcW w:type="dxa" w:w="47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V14, V17 y V12 deberían ser el núcleo de cualquier modelo o regla de alerta; son mucho más informativas que Amount para separar fraude de no-fraude.</w:t>
            </w:r>
          </w:p>
        </w:tc>
      </w:tr>
    </w:tbl>
    <w:p>
      <w:pPr>
        <w:spacing w:after="60" w:before="140"/>
      </w:pPr>
      <w:r>
        <w:rPr>
          <w:b/>
          <w:bCs/>
          <w:color w:val="1F3864"/>
          <w:sz w:val="21"/>
          <w:szCs w:val="21"/>
        </w:rPr>
        <w:t xml:space="preserve">Recomendaciones accionables</w:t>
      </w:r>
    </w:p>
    <w:p>
      <w:pPr>
        <w:spacing w:after="60"/>
        <w:ind w:left="260" w:hanging="260"/>
      </w:pPr>
      <w:r>
        <w:rPr>
          <w:b/>
          <w:bCs/>
          <w:color w:val="B8860B"/>
          <w:sz w:val="19"/>
          <w:szCs w:val="19"/>
        </w:rPr>
        <w:t xml:space="preserve">1. </w:t>
      </w:r>
      <w:r>
        <w:rPr>
          <w:b/>
          <w:bCs/>
          <w:sz w:val="19"/>
          <w:szCs w:val="19"/>
        </w:rPr>
        <w:t xml:space="preserve">Priorizar V14, V17 y V12 como núcleo del modelo. </w:t>
      </w:r>
      <w:r>
        <w:rPr>
          <w:sz w:val="19"/>
          <w:szCs w:val="19"/>
        </w:rPr>
        <w:t xml:space="preserve">Son las variables más informativas por divergencia KL y por separación de medias (MLE); Amount y Time aportan muy poco valor predictivo aislado.</w:t>
      </w:r>
    </w:p>
    <w:p>
      <w:pPr>
        <w:spacing w:after="60"/>
        <w:ind w:left="260" w:hanging="260"/>
      </w:pPr>
      <w:r>
        <w:rPr>
          <w:b/>
          <w:bCs/>
          <w:color w:val="B8860B"/>
          <w:sz w:val="19"/>
          <w:szCs w:val="19"/>
        </w:rPr>
        <w:t xml:space="preserve">2. </w:t>
      </w:r>
      <w:r>
        <w:rPr>
          <w:b/>
          <w:bCs/>
          <w:sz w:val="19"/>
          <w:szCs w:val="19"/>
        </w:rPr>
        <w:t xml:space="preserve">No usar un umbral fijo de monto como regla de alerta. </w:t>
      </w:r>
      <w:r>
        <w:rPr>
          <w:sz w:val="19"/>
          <w:szCs w:val="19"/>
        </w:rPr>
        <w:t xml:space="preserve">La relación monto–fraude no es monótona (el lift cae después de $500 y se anula en $5,000); un umbral simple dejaría pasar fraudes de bajo y alto monto.</w:t>
      </w:r>
    </w:p>
    <w:p>
      <w:pPr>
        <w:spacing w:after="60"/>
        <w:ind w:left="260" w:hanging="260"/>
      </w:pPr>
      <w:r>
        <w:rPr>
          <w:b/>
          <w:bCs/>
          <w:color w:val="B8860B"/>
          <w:sz w:val="19"/>
          <w:szCs w:val="19"/>
        </w:rPr>
        <w:t xml:space="preserve">3. </w:t>
      </w:r>
      <w:r>
        <w:rPr>
          <w:b/>
          <w:bCs/>
          <w:sz w:val="19"/>
          <w:szCs w:val="19"/>
        </w:rPr>
        <w:t xml:space="preserve">Reemplazar "precisión" por métricas conscientes del desbalance. </w:t>
      </w:r>
      <w:r>
        <w:rPr>
          <w:sz w:val="19"/>
          <w:szCs w:val="19"/>
        </w:rPr>
        <w:t xml:space="preserve">Con un prior de 0.17%, incluso una regla con "buena precisión aparente" puede acertar menos de 5 de cada 100 alertas; usar recall, F1 o AUC-PR, y comunicar siempre la P(fraude real | alerta), no solo la precisión cruda.</w:t>
      </w:r>
    </w:p>
    <w:p>
      <w:pPr>
        <w:spacing w:after="60"/>
        <w:ind w:left="260" w:hanging="260"/>
      </w:pPr>
      <w:r>
        <w:rPr>
          <w:b/>
          <w:bCs/>
          <w:color w:val="B8860B"/>
          <w:sz w:val="19"/>
          <w:szCs w:val="19"/>
        </w:rPr>
        <w:t xml:space="preserve">4. </w:t>
      </w:r>
      <w:r>
        <w:rPr>
          <w:b/>
          <w:bCs/>
          <w:sz w:val="19"/>
          <w:szCs w:val="19"/>
        </w:rPr>
        <w:t xml:space="preserve">Diseñar el sistema como apoyo a un analista humano, no como bloqueo automático. </w:t>
      </w:r>
      <w:r>
        <w:rPr>
          <w:sz w:val="19"/>
          <w:szCs w:val="19"/>
        </w:rPr>
        <w:t xml:space="preserve">Con 644 falsos positivos por cada 28 fraudes reales detectados incluso en el mejor escenario de dos señales combinadas, el costo de negocio de bloquear automáticamente supera el beneficio; validar el diseño final con un piloto A/B antes de escalarlo.</w:t>
      </w:r>
    </w:p>
    <w:p>
      <w:pPr>
        <w:spacing w:after="60" w:before="140"/>
      </w:pPr>
      <w:r>
        <w:rPr>
          <w:b/>
          <w:bCs/>
          <w:color w:val="1F3864"/>
          <w:sz w:val="21"/>
          <w:szCs w:val="21"/>
        </w:rPr>
        <w:t xml:space="preserve">Metodología y fuente de datos</w:t>
      </w:r>
    </w:p>
    <w:p>
      <w:pPr>
        <w:spacing w:after="0"/>
      </w:pPr>
      <w:r>
        <w:rPr>
          <w:i/>
          <w:iCs/>
          <w:color w:val="555555"/>
          <w:sz w:val="16"/>
          <w:szCs w:val="16"/>
        </w:rPr>
        <w:t xml:space="preserve">Análisis realizado en Python (pandas, scipy, scikit-learn) sobre el Credit Card Fraud Detection Dataset (ULB Machine Learning Group, vía Kaggle): 284,807 transacciones de tarjetahabientes europeos (septiembre 2013), 492 fraudes (0.1727%), 28 componentes PCA (V1…V28) más Amount y Time. Partición 75/25 estratificada para el modelo predictivo (regresión logística con pesos de clase balanceados). Código fuente y detalle de cálculos disponibles en el notebook adjunto.</w:t>
      </w:r>
    </w:p>
    <w:sectPr>
      <w:pgSz w:w="12240" w:h="15840" w:orient="portrait"/>
      <w:pgMar w:top="620" w:right="620" w:bottom="62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2026-08-23T16:32:26.179Z</dcterms:created>
  <dcterms:modified xsi:type="dcterms:W3CDTF">2026-08-23T16:32:26.200Z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