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Km: 55.5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Linha: 235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Cidade: Olinda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Estado: 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Natureza da Transposição: transpondo um 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Bitola: 40mm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Traçado:  reto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Trilhos: sim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Fixação: parafusos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Comprimento: 150m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Largura: 20m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