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534AB7"/>
          <w:sz w:val="44"/>
          <w:szCs w:val="44"/>
        </w:rPr>
        <w:t xml:space="preserve">PSR Biosafety Assessment Tool</w:t>
      </w:r>
    </w:p>
    <w:p>
      <w:pPr>
        <w:spacing w:after="80"/>
        <w:jc w:val="center"/>
      </w:pPr>
      <w:r>
        <w:rPr>
          <w:rFonts w:ascii="Arial" w:cs="Arial" w:eastAsia="Arial" w:hAnsi="Arial"/>
          <w:color w:val="444444"/>
          <w:sz w:val="32"/>
          <w:szCs w:val="32"/>
        </w:rPr>
        <w:t xml:space="preserve">User Manual</w:t>
      </w:r>
    </w:p>
    <w:p>
      <w:pPr>
        <w:spacing w:after="80"/>
        <w:jc w:val="center"/>
      </w:pPr>
      <w:r>
        <w:rPr>
          <w:rFonts w:ascii="Arial" w:cs="Arial" w:eastAsia="Arial" w:hAnsi="Arial"/>
          <w:i/>
          <w:iCs/>
          <w:color w:val="888888"/>
          <w:sz w:val="20"/>
          <w:szCs w:val="20"/>
        </w:rPr>
        <w:t xml:space="preserve">Version 1.5.0 — June 2026</w:t>
      </w:r>
    </w:p>
    <w:p>
      <w:pPr>
        <w:spacing w:after="400"/>
        <w:jc w:val="center"/>
      </w:pPr>
      <w:hyperlink w:history="1" r:id="rId5guzcuryhcrdort4e_vlf">
        <w:r>
          <w:rPr>
            <w:rFonts w:ascii="Arial" w:cs="Arial" w:eastAsia="Arial" w:hAnsi="Arial"/>
            <w:color w:val="534AB7"/>
            <w:sz w:val="20"/>
            <w:szCs w:val="20"/>
            <w:u w:val="single"/>
          </w:rPr>
          <w:t xml:space="preserve">https://rafael-67.github.io/psr-tool/</w:t>
        </w:r>
      </w:hyperlink>
    </w:p>
    <w:p>
      <w:r>
        <w:br w:type="page"/>
      </w:r>
    </w:p>
    <w:p>
      <w:pPr>
        <w:pStyle w:val="Heading1"/>
      </w:pPr>
      <w:r>
        <w:rPr>
          <w:rFonts w:ascii="Arial" w:cs="Arial" w:eastAsia="Arial" w:hAnsi="Arial"/>
          <w:b/>
          <w:bCs/>
          <w:color w:val="534AB7"/>
          <w:sz w:val="32"/>
          <w:szCs w:val="32"/>
        </w:rPr>
        <w:t xml:space="preserve">1. Overview</w:t>
      </w:r>
    </w:p>
    <w:p>
      <w:pPr>
        <w:spacing w:after="120"/>
      </w:pPr>
      <w:r>
        <w:rPr>
          <w:rFonts w:ascii="Arial" w:cs="Arial" w:eastAsia="Arial" w:hAnsi="Arial"/>
          <w:sz w:val="20"/>
          <w:szCs w:val="20"/>
        </w:rPr>
        <w:t xml:space="preserve">The PSR Biosafety Assessment Tool is a free, open-source digital implementation of the Procedure-Specific Risk (PSR) framework for biosafety level (BSL) assignment in modern biotechnology laboratories. The tool operationalizes the 8-step PSR framework described in:</w:t>
      </w:r>
    </w:p>
    <w:p>
      <w:pPr>
        <w:spacing w:after="120" w:before="80"/>
        <w:ind w:left="360"/>
      </w:pPr>
      <w:r>
        <w:rPr>
          <w:rFonts w:ascii="Arial" w:cs="Arial" w:eastAsia="Arial" w:hAnsi="Arial"/>
          <w:i/>
          <w:iCs/>
          <w:color w:val="666666"/>
          <w:sz w:val="18"/>
          <w:szCs w:val="18"/>
        </w:rPr>
        <w:t xml:space="preserve">Cena-Diez R. An 8-Step Procedure-Specific Risk Framework Enables Reproducible Biosafety Level Assignment Beyond Agent-Based Classification. Frontiers in Bioengineering and Biotechnology [manuscript submitted].</w:t>
      </w:r>
    </w:p>
    <w:p>
      <w:pPr>
        <w:spacing w:after="120"/>
      </w:pPr>
    </w:p>
    <w:p>
      <w:pPr>
        <w:spacing w:after="120"/>
      </w:pPr>
      <w:r>
        <w:rPr>
          <w:rFonts w:ascii="Arial" w:cs="Arial" w:eastAsia="Arial" w:hAnsi="Arial"/>
          <w:sz w:val="20"/>
          <w:szCs w:val="20"/>
        </w:rPr>
        <w:t xml:space="preserve">The platform consists of three interconnected modules:</w:t>
      </w:r>
    </w:p>
    <w:p>
      <w:pPr>
        <w:pStyle w:val="ListParagraph"/>
        <w:numPr>
          <w:ilvl w:val="0"/>
          <w:numId w:val="1"/>
        </w:numPr>
        <w:spacing w:after="80"/>
      </w:pPr>
      <w:r>
        <w:rPr>
          <w:rFonts w:ascii="Arial" w:cs="Arial" w:eastAsia="Arial" w:hAnsi="Arial"/>
          <w:sz w:val="20"/>
          <w:szCs w:val="20"/>
        </w:rPr>
        <w:t xml:space="preserve">Quick Assessment Tool (tool.html) — standalone offline tool for individual assessments</w:t>
      </w:r>
    </w:p>
    <w:p>
      <w:pPr>
        <w:pStyle w:val="ListParagraph"/>
        <w:numPr>
          <w:ilvl w:val="0"/>
          <w:numId w:val="1"/>
        </w:numPr>
        <w:spacing w:after="80"/>
      </w:pPr>
      <w:r>
        <w:rPr>
          <w:rFonts w:ascii="Arial" w:cs="Arial" w:eastAsia="Arial" w:hAnsi="Arial"/>
          <w:sz w:val="20"/>
          <w:szCs w:val="20"/>
        </w:rPr>
        <w:t xml:space="preserve">Assessment Platform (platform.html) — multi-user platform with persistent storage, profiles, and audit trail</w:t>
      </w:r>
    </w:p>
    <w:p>
      <w:pPr>
        <w:pStyle w:val="ListParagraph"/>
        <w:numPr>
          <w:ilvl w:val="0"/>
          <w:numId w:val="1"/>
        </w:numPr>
        <w:spacing w:after="80"/>
      </w:pPr>
      <w:r>
        <w:rPr>
          <w:rFonts w:ascii="Arial" w:cs="Arial" w:eastAsia="Arial" w:hAnsi="Arial"/>
          <w:sz w:val="20"/>
          <w:szCs w:val="20"/>
        </w:rPr>
        <w:t xml:space="preserve">Data Analytics Module (analytics.html) — statistical analysis including BSL distributions and inter-rater reliability computation</w:t>
      </w:r>
    </w:p>
    <w:p>
      <w:pPr>
        <w:spacing w:after="120"/>
      </w:pPr>
    </w:p>
    <w:p>
      <w:pPr>
        <w:pStyle w:val="Heading1"/>
      </w:pPr>
      <w:r>
        <w:rPr>
          <w:rFonts w:ascii="Arial" w:cs="Arial" w:eastAsia="Arial" w:hAnsi="Arial"/>
          <w:b/>
          <w:bCs/>
          <w:color w:val="534AB7"/>
          <w:sz w:val="32"/>
          <w:szCs w:val="32"/>
        </w:rPr>
        <w:t xml:space="preserve">2. Getting Started</w:t>
      </w:r>
    </w:p>
    <w:p>
      <w:pPr>
        <w:pStyle w:val="Heading2"/>
      </w:pPr>
      <w:r>
        <w:rPr>
          <w:rFonts w:ascii="Arial" w:cs="Arial" w:eastAsia="Arial" w:hAnsi="Arial"/>
          <w:b/>
          <w:bCs/>
          <w:sz w:val="26"/>
          <w:szCs w:val="26"/>
        </w:rPr>
        <w:t xml:space="preserve">2.1. Accessing the tool</w:t>
      </w:r>
    </w:p>
    <w:p>
      <w:pPr>
        <w:spacing w:after="120"/>
      </w:pPr>
      <w:r>
        <w:rPr>
          <w:rFonts w:ascii="Arial" w:cs="Arial" w:eastAsia="Arial" w:hAnsi="Arial"/>
          <w:sz w:val="20"/>
          <w:szCs w:val="20"/>
        </w:rPr>
        <w:t xml:space="preserve">The tool is hosted on GitHub Pages and accessible at:</w:t>
      </w:r>
    </w:p>
    <w:p>
      <w:pPr>
        <w:spacing w:after="120"/>
      </w:pPr>
      <w:hyperlink w:history="1" r:id="rIdf2bvu1vunobscqgdwcp5p">
        <w:r>
          <w:rPr>
            <w:rFonts w:ascii="Arial" w:cs="Arial" w:eastAsia="Arial" w:hAnsi="Arial"/>
            <w:color w:val="534AB7"/>
            <w:sz w:val="20"/>
            <w:szCs w:val="20"/>
            <w:u w:val="single"/>
          </w:rPr>
          <w:t xml:space="preserve">https://rafael-67.github.io/psr-tool/</w:t>
        </w:r>
      </w:hyperlink>
    </w:p>
    <w:p>
      <w:pPr>
        <w:spacing w:after="120"/>
      </w:pPr>
      <w:r>
        <w:rPr>
          <w:rFonts w:ascii="Arial" w:cs="Arial" w:eastAsia="Arial" w:hAnsi="Arial"/>
          <w:sz w:val="20"/>
          <w:szCs w:val="20"/>
        </w:rPr>
        <w:t xml:space="preserve">No installation, login, or account is required. The tool works in any modern browser (Chrome, Firefox, Safari, Edge — last 2 major versions).</w:t>
      </w:r>
    </w:p>
    <w:p>
      <w:pPr>
        <w:spacing w:after="120"/>
      </w:pPr>
    </w:p>
    <w:p>
      <w:pPr>
        <w:pStyle w:val="Heading2"/>
      </w:pPr>
      <w:r>
        <w:rPr>
          <w:rFonts w:ascii="Arial" w:cs="Arial" w:eastAsia="Arial" w:hAnsi="Arial"/>
          <w:b/>
          <w:bCs/>
          <w:sz w:val="26"/>
          <w:szCs w:val="26"/>
        </w:rPr>
        <w:t xml:space="preserve">2.2. Offline use</w:t>
      </w:r>
    </w:p>
    <w:p>
      <w:pPr>
        <w:spacing w:after="120"/>
      </w:pPr>
      <w:r>
        <w:rPr>
          <w:rFonts w:ascii="Arial" w:cs="Arial" w:eastAsia="Arial" w:hAnsi="Arial"/>
          <w:sz w:val="20"/>
          <w:szCs w:val="20"/>
        </w:rPr>
        <w:t xml:space="preserve">The Quick Assessment Tool (tool.html) is fully offline-capable after the initial page load. No data is transmitted externally at any point. All data is stored in the browser's localStorage.</w:t>
      </w:r>
    </w:p>
    <w:p>
      <w:pPr>
        <w:spacing w:after="120" w:before="80"/>
        <w:ind w:left="360"/>
      </w:pPr>
      <w:r>
        <w:rPr>
          <w:rFonts w:ascii="Arial" w:cs="Arial" w:eastAsia="Arial" w:hAnsi="Arial"/>
          <w:i/>
          <w:iCs/>
          <w:color w:val="666666"/>
          <w:sz w:val="18"/>
          <w:szCs w:val="18"/>
        </w:rPr>
        <w:t xml:space="preserve">Important: localStorage is browser-specific and volatile. Data may be lost if you clear browser history, switch browsers, or use private browsing mode. Export your assessments regularly using the CSV or TXT export functions.</w:t>
      </w:r>
    </w:p>
    <w:p>
      <w:pPr>
        <w:spacing w:after="120"/>
      </w:pPr>
    </w:p>
    <w:p>
      <w:pPr>
        <w:pStyle w:val="Heading2"/>
      </w:pPr>
      <w:r>
        <w:rPr>
          <w:rFonts w:ascii="Arial" w:cs="Arial" w:eastAsia="Arial" w:hAnsi="Arial"/>
          <w:b/>
          <w:bCs/>
          <w:sz w:val="26"/>
          <w:szCs w:val="26"/>
        </w:rPr>
        <w:t xml:space="preserve">2.3. Setting up your profile (Platform only)</w:t>
      </w:r>
    </w:p>
    <w:p>
      <w:pPr>
        <w:spacing w:after="120"/>
      </w:pPr>
      <w:r>
        <w:rPr>
          <w:rFonts w:ascii="Arial" w:cs="Arial" w:eastAsia="Arial" w:hAnsi="Arial"/>
          <w:sz w:val="20"/>
          <w:szCs w:val="20"/>
        </w:rPr>
        <w:t xml:space="preserve">On first access to platform.html, enter your full name, institution, and role. This information is stored locally and used to populate the assessor field and audit trail in all assessments. You can update it at any time via the Settings button.</w:t>
      </w:r>
    </w:p>
    <w:p>
      <w:pPr>
        <w:spacing w:after="120"/>
      </w:pPr>
    </w:p>
    <w:p>
      <w:pPr>
        <w:pStyle w:val="Heading1"/>
      </w:pPr>
      <w:r>
        <w:rPr>
          <w:rFonts w:ascii="Arial" w:cs="Arial" w:eastAsia="Arial" w:hAnsi="Arial"/>
          <w:b/>
          <w:bCs/>
          <w:color w:val="534AB7"/>
          <w:sz w:val="32"/>
          <w:szCs w:val="32"/>
        </w:rPr>
        <w:t xml:space="preserve">3. Quick Assessment Tool (tool.html)</w:t>
      </w:r>
    </w:p>
    <w:p>
      <w:pPr>
        <w:spacing w:after="120"/>
      </w:pPr>
      <w:r>
        <w:rPr>
          <w:rFonts w:ascii="Arial" w:cs="Arial" w:eastAsia="Arial" w:hAnsi="Arial"/>
          <w:sz w:val="20"/>
          <w:szCs w:val="20"/>
        </w:rPr>
        <w:t xml:space="preserve">The standalone tool guides you through the 8-step PSR framework in a single-page workflow. Each step is accessible via the numbered progress bar at the top.</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Step</w:t>
            </w:r>
          </w:p>
        </w:tc>
        <w:tc>
          <w:tcPr>
            <w:tcW w:type="dxa" w:w="6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 — Agent identification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Risk Group (RG1–4). For GMOs: enter parental organism, genetic modification, and replication competence. RG3 replication-defective GMOs are automatically classified as RG3*. Pause point: if no Risk Group is established (novel/unclassified agent), the tool blocks progression until IBC consultation is confirmed (see Section 6.7).</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2 — Procedure characterization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List all laboratory procedures. For each, select aerosol generation (Low/Moderate/High), volume (&lt;10 mL / 10–100 mL / &gt;100 mL), and concentration (&lt;10⁶ / 10⁶–10⁸ / &gt;10⁸ CFU/PFU/mL). Pause point: if aerosol potential is uncharacterizable, the tool blocks progression pending expert consultation (see Section 6.7).</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3 — PSR classification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The tool automatically assigns Low/Moderate/High PSR to each procedure based on the inputs from Step 2, following Table 6 of the manuscript.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4 — Modulating factors</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Evaluate 9 procedural modulating factors (Volume, Concentration, Frequency, Aerosol, Environmental stability, Operator experience, Supervision, Infrastructure, Incident history) as Favorable / Neutral / Unfavorable. ≥2 unfavorable factors triggers PSR escalation.</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5 — Likelihood × Severity</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Displays the BSL assignment matrix (Table 8). The current combination of Effective Risk Group × Adjusted PSR is highlighted.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6 — BSL assignment</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Final BSL is determined. Enter the written technical justification for the assignment. Pause point: a BSL-3 or BSL-4 output blocks progression until full IBC review (and, where applicable, regulatory notification) is confirmed (see Section 6.7).</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7 — Control selection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Recommended engineering controls, PPE, administrative controls, and decontamination &amp; waste-inactivation measures for the assigned BSL are pre-loaded. Respiratory protection is shown as a protection level with its regional certified equivalent (N95/FFP2, FFP3/N99–N100); decontamination guidance adapts automatically to the agent (sporicidal/virucidal for non-enveloped viruses or spores). Add procedure-specific controls as needed.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8 — Documentation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Enter assessor, institution, date, and review triggers. Export a structured bilingual (EN/ES) assessment report as an enriched TXT file or a formatted PDF (via the browser print dialog). The report includes the agent classification, procedure table, PSR determination with the escalation rule applied, BSL matrix cell, full recommended controls, justification, documentation, and a sign-off block.</w:t>
            </w:r>
          </w:p>
        </w:tc>
      </w:tr>
    </w:tbl>
    <w:p>
      <w:pPr>
        <w:spacing w:after="120"/>
      </w:pPr>
    </w:p>
    <w:p>
      <w:pPr>
        <w:pStyle w:val="Heading1"/>
      </w:pPr>
      <w:r>
        <w:rPr>
          <w:rFonts w:ascii="Arial" w:cs="Arial" w:eastAsia="Arial" w:hAnsi="Arial"/>
          <w:b/>
          <w:bCs/>
          <w:color w:val="534AB7"/>
          <w:sz w:val="32"/>
          <w:szCs w:val="32"/>
        </w:rPr>
        <w:t xml:space="preserve">4. Assessment Platform (platform.html)</w:t>
      </w:r>
    </w:p>
    <w:p>
      <w:pPr>
        <w:pStyle w:val="Heading2"/>
      </w:pPr>
      <w:r>
        <w:rPr>
          <w:rFonts w:ascii="Arial" w:cs="Arial" w:eastAsia="Arial" w:hAnsi="Arial"/>
          <w:b/>
          <w:bCs/>
          <w:sz w:val="26"/>
          <w:szCs w:val="26"/>
        </w:rPr>
        <w:t xml:space="preserve">4.1. Dashboard</w:t>
      </w:r>
    </w:p>
    <w:p>
      <w:pPr>
        <w:spacing w:after="120"/>
      </w:pPr>
      <w:r>
        <w:rPr>
          <w:rFonts w:ascii="Arial" w:cs="Arial" w:eastAsia="Arial" w:hAnsi="Arial"/>
          <w:sz w:val="20"/>
          <w:szCs w:val="20"/>
        </w:rPr>
        <w:t xml:space="preserve">The dashboard shows all saved assessments with their current status (Draft / Final), adjusted PSR level, and assigned BSL. Click any assessment to continue editing it.</w:t>
      </w:r>
    </w:p>
    <w:p>
      <w:pPr>
        <w:spacing w:after="120"/>
      </w:pPr>
    </w:p>
    <w:p>
      <w:pPr>
        <w:pStyle w:val="Heading2"/>
      </w:pPr>
      <w:r>
        <w:rPr>
          <w:rFonts w:ascii="Arial" w:cs="Arial" w:eastAsia="Arial" w:hAnsi="Arial"/>
          <w:b/>
          <w:bCs/>
          <w:sz w:val="26"/>
          <w:szCs w:val="26"/>
        </w:rPr>
        <w:t xml:space="preserve">4.2. Assessment lifecycle</w:t>
      </w:r>
    </w:p>
    <w:p>
      <w:pPr>
        <w:pStyle w:val="ListParagraph"/>
        <w:numPr>
          <w:ilvl w:val="0"/>
          <w:numId w:val="1"/>
        </w:numPr>
        <w:spacing w:after="80"/>
      </w:pPr>
      <w:r>
        <w:rPr>
          <w:rFonts w:ascii="Arial" w:cs="Arial" w:eastAsia="Arial" w:hAnsi="Arial"/>
          <w:sz w:val="20"/>
          <w:szCs w:val="20"/>
        </w:rPr>
        <w:t xml:space="preserve">Draft: assessment saved but not yet finalized. Can be edited freely.</w:t>
      </w:r>
    </w:p>
    <w:p>
      <w:pPr>
        <w:pStyle w:val="ListParagraph"/>
        <w:numPr>
          <w:ilvl w:val="0"/>
          <w:numId w:val="1"/>
        </w:numPr>
        <w:spacing w:after="80"/>
      </w:pPr>
      <w:r>
        <w:rPr>
          <w:rFonts w:ascii="Arial" w:cs="Arial" w:eastAsia="Arial" w:hAnsi="Arial"/>
          <w:sz w:val="20"/>
          <w:szCs w:val="20"/>
        </w:rPr>
        <w:t xml:space="preserve">Final: assessment submitted for review. Finalized assessments appear in the IRR analysis.</w:t>
      </w:r>
    </w:p>
    <w:p>
      <w:pPr>
        <w:spacing w:after="120"/>
      </w:pPr>
      <w:r>
        <w:rPr>
          <w:rFonts w:ascii="Arial" w:cs="Arial" w:eastAsia="Arial" w:hAnsi="Arial"/>
          <w:sz w:val="20"/>
          <w:szCs w:val="20"/>
        </w:rPr>
        <w:t xml:space="preserve">Use 'Save draft' to preserve progress, and 'Finalize' when the assessment is complete and approved.</w:t>
      </w:r>
    </w:p>
    <w:p>
      <w:pPr>
        <w:spacing w:after="120"/>
      </w:pPr>
    </w:p>
    <w:p>
      <w:pPr>
        <w:pStyle w:val="Heading2"/>
      </w:pPr>
      <w:r>
        <w:rPr>
          <w:rFonts w:ascii="Arial" w:cs="Arial" w:eastAsia="Arial" w:hAnsi="Arial"/>
          <w:b/>
          <w:bCs/>
          <w:sz w:val="26"/>
          <w:szCs w:val="26"/>
        </w:rPr>
        <w:t xml:space="preserve">4.3. Loading example assessments</w:t>
      </w:r>
    </w:p>
    <w:p>
      <w:pPr>
        <w:spacing w:after="120"/>
      </w:pPr>
      <w:r>
        <w:rPr>
          <w:rFonts w:ascii="Arial" w:cs="Arial" w:eastAsia="Arial" w:hAnsi="Arial"/>
          <w:sz w:val="20"/>
          <w:szCs w:val="20"/>
        </w:rPr>
        <w:t xml:space="preserve">Click 'Load S3/S4 examples' to import the six built-in case studies from the manuscript (Case Studies 1–6: lentiviral vector, M. tuberculosis inactivated, AAV production, E. coli BL21 sonication, HIV-1 pseudovirus, CRISPR-RNP). These are pre-filled with complete agent characterization, procedure data, and modulating factor profiles, and serve as training examples and analytics demonstration data.</w:t>
      </w:r>
    </w:p>
    <w:p>
      <w:pPr>
        <w:spacing w:after="120"/>
      </w:pPr>
    </w:p>
    <w:p>
      <w:pPr>
        <w:pStyle w:val="Heading2"/>
      </w:pPr>
      <w:r>
        <w:rPr>
          <w:rFonts w:ascii="Arial" w:cs="Arial" w:eastAsia="Arial" w:hAnsi="Arial"/>
          <w:b/>
          <w:bCs/>
          <w:sz w:val="26"/>
          <w:szCs w:val="26"/>
        </w:rPr>
        <w:t xml:space="preserve">4.4. IRR summary view</w:t>
      </w:r>
    </w:p>
    <w:p>
      <w:pPr>
        <w:spacing w:after="120"/>
      </w:pPr>
      <w:r>
        <w:rPr>
          <w:rFonts w:ascii="Arial" w:cs="Arial" w:eastAsia="Arial" w:hAnsi="Arial"/>
          <w:sz w:val="20"/>
          <w:szCs w:val="20"/>
        </w:rPr>
        <w:t xml:space="preserve">The IRR tab in platform.html shows a simple concordance/discrepancy summary for finalized assessments of the same agent. For full statistical inter-rater reliability analysis including Cohen's κ and Fleiss' κ, use the Data Analytics Module (analytics.html).</w:t>
      </w:r>
    </w:p>
    <w:p>
      <w:pPr>
        <w:spacing w:after="120"/>
      </w:pPr>
    </w:p>
    <w:p>
      <w:pPr>
        <w:pStyle w:val="Heading2"/>
      </w:pPr>
      <w:r>
        <w:rPr>
          <w:rFonts w:ascii="Arial" w:cs="Arial" w:eastAsia="Arial" w:hAnsi="Arial"/>
          <w:b/>
          <w:bCs/>
          <w:sz w:val="26"/>
          <w:szCs w:val="26"/>
        </w:rPr>
        <w:t xml:space="preserve">4.5. CSV export</w:t>
      </w:r>
    </w:p>
    <w:p>
      <w:pPr>
        <w:spacing w:after="120"/>
      </w:pPr>
      <w:r>
        <w:rPr>
          <w:rFonts w:ascii="Arial" w:cs="Arial" w:eastAsia="Arial" w:hAnsi="Arial"/>
          <w:sz w:val="20"/>
          <w:szCs w:val="20"/>
        </w:rPr>
        <w:t xml:space="preserve">The 'Export all assessments as CSV' button generates a comma-separated file containing all stored assessments with their computed metrics (EffectiveRG, MaxPSR, AdjustedPSR, BSL, UnfavorableFactors, FavorableFactors, Escalated, and all 9 modulating factor scores). This file can be imported into the Analytics Module or processed externally with R, Python, or Excel.</w:t>
      </w:r>
    </w:p>
    <w:p>
      <w:pPr>
        <w:spacing w:after="120"/>
      </w:pPr>
    </w:p>
    <w:p>
      <w:pPr>
        <w:pStyle w:val="Heading1"/>
      </w:pPr>
      <w:r>
        <w:rPr>
          <w:rFonts w:ascii="Arial" w:cs="Arial" w:eastAsia="Arial" w:hAnsi="Arial"/>
          <w:b/>
          <w:bCs/>
          <w:color w:val="534AB7"/>
          <w:sz w:val="32"/>
          <w:szCs w:val="32"/>
        </w:rPr>
        <w:t xml:space="preserve">5. Data Analytics Module (analytics.html)</w:t>
      </w:r>
    </w:p>
    <w:p>
      <w:pPr>
        <w:spacing w:after="120"/>
      </w:pPr>
      <w:r>
        <w:rPr>
          <w:rFonts w:ascii="Arial" w:cs="Arial" w:eastAsia="Arial" w:hAnsi="Arial"/>
          <w:sz w:val="20"/>
          <w:szCs w:val="20"/>
        </w:rPr>
        <w:t xml:space="preserve">The Analytics Module loads data from localStorage (shared with platform.html) or from imported CSV/JSON files, and provides six analytical tabs.</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Tab</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Overview</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Summary metrics (total assessments, finalized, unique agents, institutions, GMO count, escalation rate). BSL distribution donut chart. Risk Group distribution. Top agents by assessment count.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Distributions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PSR level distribution. PSR before vs after modulating factor adjustment. All procedures by PSR level.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Modulating factors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Factor scoring pattern (favorable/neutral/unfavorable) across all assessments. Escalation drivers in assessments that triggered the ≥2 rule. Factor correlation with BSL elevation.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IRR analysis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Inter-rater reliability statistics — see Section 5.1 below.</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Risk patterns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Agent–BSL heatmap by Risk Group. Procedure types grouped by PSR level. GMO vs non-GMO risk profiles.</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Temporal</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Assessments over time. Cumulative assessments by institution.</w:t>
            </w:r>
          </w:p>
        </w:tc>
      </w:tr>
    </w:tbl>
    <w:p>
      <w:pPr>
        <w:spacing w:after="120"/>
      </w:pPr>
    </w:p>
    <w:p>
      <w:pPr>
        <w:pStyle w:val="Heading2"/>
      </w:pPr>
      <w:r>
        <w:rPr>
          <w:rFonts w:ascii="Arial" w:cs="Arial" w:eastAsia="Arial" w:hAnsi="Arial"/>
          <w:b/>
          <w:bCs/>
          <w:sz w:val="26"/>
          <w:szCs w:val="26"/>
        </w:rPr>
        <w:t xml:space="preserve">5.1. Inter-rater reliability (IRR) analysis</w:t>
      </w:r>
    </w:p>
    <w:p>
      <w:pPr>
        <w:spacing w:after="120"/>
      </w:pPr>
      <w:r>
        <w:rPr>
          <w:rFonts w:ascii="Arial" w:cs="Arial" w:eastAsia="Arial" w:hAnsi="Arial"/>
          <w:sz w:val="20"/>
          <w:szCs w:val="20"/>
        </w:rPr>
        <w:t xml:space="preserve">The IRR tab implements two complementary statistics for quantifying agreement between evaluators who independently assess the same agent–procedure scenarios.</w:t>
      </w:r>
    </w:p>
    <w:p>
      <w:pPr>
        <w:spacing w:after="120"/>
      </w:pPr>
    </w:p>
    <w:p>
      <w:pPr>
        <w:pStyle w:val="Heading3"/>
      </w:pPr>
      <w:r>
        <w:rPr>
          <w:rFonts w:ascii="Arial" w:cs="Arial" w:eastAsia="Arial" w:hAnsi="Arial"/>
          <w:b/>
          <w:bCs/>
          <w:sz w:val="22"/>
          <w:szCs w:val="22"/>
        </w:rPr>
        <w:t xml:space="preserve">5.1.1. Cohen's κ (pairwise agreement)</w:t>
      </w:r>
    </w:p>
    <w:p>
      <w:pPr>
        <w:spacing w:after="120"/>
      </w:pPr>
      <w:r>
        <w:rPr>
          <w:rFonts w:ascii="Arial" w:cs="Arial" w:eastAsia="Arial" w:hAnsi="Arial"/>
          <w:sz w:val="20"/>
          <w:szCs w:val="20"/>
        </w:rPr>
        <w:t xml:space="preserve">Cohen's κ is computed from all adjacent pairwise comparisons of assessors who finalized assessments for the same agent. Formula:</w:t>
      </w:r>
    </w:p>
    <w:p>
      <w:pPr>
        <w:spacing w:after="120" w:before="80"/>
        <w:ind w:left="360"/>
      </w:pPr>
      <w:r>
        <w:rPr>
          <w:rFonts w:ascii="Arial" w:cs="Arial" w:eastAsia="Arial" w:hAnsi="Arial"/>
          <w:i/>
          <w:iCs/>
          <w:color w:val="666666"/>
          <w:sz w:val="18"/>
          <w:szCs w:val="18"/>
        </w:rPr>
        <w:t xml:space="preserve">κ = (P₀ − Pₑ) / (1 − Pₑ)</w:t>
      </w:r>
    </w:p>
    <w:p>
      <w:pPr>
        <w:spacing w:after="120"/>
      </w:pPr>
      <w:r>
        <w:rPr>
          <w:rFonts w:ascii="Arial" w:cs="Arial" w:eastAsia="Arial" w:hAnsi="Arial"/>
          <w:sz w:val="20"/>
          <w:szCs w:val="20"/>
        </w:rPr>
        <w:t xml:space="preserve">where P₀ is the observed proportion of agreement and Pₑ is the proportion of agreement expected by chance.</w:t>
      </w:r>
    </w:p>
    <w:p>
      <w:pPr>
        <w:spacing w:after="120"/>
      </w:pPr>
      <w:r>
        <w:rPr>
          <w:rFonts w:ascii="Arial" w:cs="Arial" w:eastAsia="Arial" w:hAnsi="Arial"/>
          <w:sz w:val="20"/>
          <w:szCs w:val="20"/>
        </w:rPr>
        <w:t xml:space="preserve">Cohen's κ is reported for exploratory pairwise comparisons between specific institutions or evaluators.</w:t>
      </w:r>
    </w:p>
    <w:p>
      <w:pPr>
        <w:spacing w:after="120"/>
      </w:pPr>
    </w:p>
    <w:p>
      <w:pPr>
        <w:pStyle w:val="Heading3"/>
      </w:pPr>
      <w:r>
        <w:rPr>
          <w:rFonts w:ascii="Arial" w:cs="Arial" w:eastAsia="Arial" w:hAnsi="Arial"/>
          <w:b/>
          <w:bCs/>
          <w:sz w:val="22"/>
          <w:szCs w:val="22"/>
        </w:rPr>
        <w:t xml:space="preserve">5.1.2. Fleiss' κ (multi-rater agreement, primary metric)</w:t>
      </w:r>
    </w:p>
    <w:p>
      <w:pPr>
        <w:spacing w:after="120"/>
      </w:pPr>
      <w:r>
        <w:rPr>
          <w:rFonts w:ascii="Arial" w:cs="Arial" w:eastAsia="Arial" w:hAnsi="Arial"/>
          <w:sz w:val="20"/>
          <w:szCs w:val="20"/>
        </w:rPr>
        <w:t xml:space="preserve">Fleiss' κ is the recommended statistic when ≥3 raters independently assess the same set of agent–procedure scenarios. Formula:</w:t>
      </w:r>
    </w:p>
    <w:p>
      <w:pPr>
        <w:spacing w:after="120" w:before="80"/>
        <w:ind w:left="360"/>
      </w:pPr>
      <w:r>
        <w:rPr>
          <w:rFonts w:ascii="Arial" w:cs="Arial" w:eastAsia="Arial" w:hAnsi="Arial"/>
          <w:i/>
          <w:iCs/>
          <w:color w:val="666666"/>
          <w:sz w:val="18"/>
          <w:szCs w:val="18"/>
        </w:rPr>
        <w:t xml:space="preserve">κ = (P̄ − Pₑ) / (1 − Pₑ)</w:t>
      </w:r>
    </w:p>
    <w:p>
      <w:pPr>
        <w:spacing w:after="120"/>
      </w:pPr>
      <w:r>
        <w:rPr>
          <w:rFonts w:ascii="Arial" w:cs="Arial" w:eastAsia="Arial" w:hAnsi="Arial"/>
          <w:sz w:val="20"/>
          <w:szCs w:val="20"/>
        </w:rPr>
        <w:t xml:space="preserve">where P̄ is the mean observed agreement across all agent–procedure scenarios and Pₑ = Σpⱼ² is the expected agreement by chance.</w:t>
      </w:r>
    </w:p>
    <w:p>
      <w:pPr>
        <w:spacing w:after="120"/>
      </w:pPr>
      <w:r>
        <w:rPr>
          <w:rFonts w:ascii="Arial" w:cs="Arial" w:eastAsia="Arial" w:hAnsi="Arial"/>
          <w:sz w:val="20"/>
          <w:szCs w:val="20"/>
        </w:rPr>
        <w:t xml:space="preserve">Fleiss' κ is the primary metric for the prospective multi-institutional validation study described in Section 5.4 of the manuscript. A target of κ ≥ 0.60 (substantial agreement) is established for BSL assignment decisions.</w:t>
      </w:r>
    </w:p>
    <w:p>
      <w:pPr>
        <w:spacing w:after="120"/>
      </w:pPr>
    </w:p>
    <w:p>
      <w:pPr>
        <w:pStyle w:val="Heading3"/>
      </w:pPr>
      <w:r>
        <w:rPr>
          <w:rFonts w:ascii="Arial" w:cs="Arial" w:eastAsia="Arial" w:hAnsi="Arial"/>
          <w:b/>
          <w:bCs/>
          <w:sz w:val="22"/>
          <w:szCs w:val="22"/>
        </w:rPr>
        <w:t xml:space="preserve">5.1.3. Interpretation benchmarks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κ range</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Interpretation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 0.00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 (worse than chance)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0.01–0.20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0.21–0.40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Fair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0.41–0.60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0.61–0.80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Substantial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0.81–1.00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Almost perfect</w:t>
            </w:r>
          </w:p>
        </w:tc>
      </w:tr>
    </w:tbl>
    <w:p>
      <w:pPr>
        <w:spacing w:after="120" w:before="80"/>
        <w:ind w:left="360"/>
      </w:pPr>
      <w:r>
        <w:rPr>
          <w:rFonts w:ascii="Arial" w:cs="Arial" w:eastAsia="Arial" w:hAnsi="Arial"/>
          <w:i/>
          <w:iCs/>
          <w:color w:val="666666"/>
          <w:sz w:val="18"/>
          <w:szCs w:val="18"/>
        </w:rPr>
        <w:t xml:space="preserve">Reference: Landis JR, Koch GG. The measurement of observer agreement for categorical data. Biometrics. 1977;33(1):159–174.</w:t>
      </w:r>
    </w:p>
    <w:p>
      <w:pPr>
        <w:spacing w:after="120"/>
      </w:pPr>
    </w:p>
    <w:p>
      <w:pPr>
        <w:pStyle w:val="Heading3"/>
      </w:pPr>
      <w:r>
        <w:rPr>
          <w:rFonts w:ascii="Arial" w:cs="Arial" w:eastAsia="Arial" w:hAnsi="Arial"/>
          <w:b/>
          <w:bCs/>
          <w:sz w:val="22"/>
          <w:szCs w:val="22"/>
        </w:rPr>
        <w:t xml:space="preserve">5.1.4. Additional IRR outputs</w:t>
      </w:r>
    </w:p>
    <w:p>
      <w:pPr>
        <w:pStyle w:val="ListParagraph"/>
        <w:numPr>
          <w:ilvl w:val="0"/>
          <w:numId w:val="1"/>
        </w:numPr>
        <w:spacing w:after="80"/>
      </w:pPr>
      <w:r>
        <w:rPr>
          <w:rFonts w:ascii="Arial" w:cs="Arial" w:eastAsia="Arial" w:hAnsi="Arial"/>
          <w:sz w:val="20"/>
          <w:szCs w:val="20"/>
        </w:rPr>
        <w:t xml:space="preserve">Confusion matrix: pairwise BSL assignments as a matrix (Rater 1 rows × Rater 2 columns). Diagonal cells (agreements) highlighted in green.</w:t>
      </w:r>
    </w:p>
    <w:p>
      <w:pPr>
        <w:pStyle w:val="ListParagraph"/>
        <w:numPr>
          <w:ilvl w:val="0"/>
          <w:numId w:val="1"/>
        </w:numPr>
        <w:spacing w:after="80"/>
      </w:pPr>
      <w:r>
        <w:rPr>
          <w:rFonts w:ascii="Arial" w:cs="Arial" w:eastAsia="Arial" w:hAnsi="Arial"/>
          <w:sz w:val="20"/>
          <w:szCs w:val="20"/>
        </w:rPr>
        <w:t xml:space="preserve">Agreement by Risk Group: concordance rate broken down by RG category.</w:t>
      </w:r>
    </w:p>
    <w:p>
      <w:pPr>
        <w:pStyle w:val="ListParagraph"/>
        <w:numPr>
          <w:ilvl w:val="0"/>
          <w:numId w:val="1"/>
        </w:numPr>
        <w:spacing w:after="80"/>
      </w:pPr>
      <w:r>
        <w:rPr>
          <w:rFonts w:ascii="Arial" w:cs="Arial" w:eastAsia="Arial" w:hAnsi="Arial"/>
          <w:sz w:val="20"/>
          <w:szCs w:val="20"/>
        </w:rPr>
        <w:t xml:space="preserve">Discrepancy table: lists agents with divergent BSL assignments, showing which assessors assigned which BSLs.</w:t>
      </w:r>
    </w:p>
    <w:p>
      <w:pPr>
        <w:spacing w:after="120"/>
      </w:pPr>
    </w:p>
    <w:p>
      <w:pPr>
        <w:pStyle w:val="Heading2"/>
      </w:pPr>
      <w:r>
        <w:rPr>
          <w:rFonts w:ascii="Arial" w:cs="Arial" w:eastAsia="Arial" w:hAnsi="Arial"/>
          <w:b/>
          <w:bCs/>
          <w:sz w:val="26"/>
          <w:szCs w:val="26"/>
        </w:rPr>
        <w:t xml:space="preserve">5.2. Importing data</w:t>
      </w:r>
    </w:p>
    <w:p>
      <w:pPr>
        <w:spacing w:after="120"/>
      </w:pPr>
      <w:r>
        <w:rPr>
          <w:rFonts w:ascii="Arial" w:cs="Arial" w:eastAsia="Arial" w:hAnsi="Arial"/>
          <w:sz w:val="20"/>
          <w:szCs w:val="20"/>
        </w:rPr>
        <w:t xml:space="preserve">The Analytics Module can import CSV or JSON files via the 'Import CSV/JSON' button. CSV files exported from the Platform are automatically recognized. Custom CSV files can be imported if they contain at minimum: agentName, riskGroup, isGMO, and one procedure entry. All other fields default to neutral/moderate if absent.</w:t>
      </w:r>
    </w:p>
    <w:p>
      <w:pPr>
        <w:spacing w:after="120"/>
      </w:pPr>
    </w:p>
    <w:p>
      <w:pPr>
        <w:pStyle w:val="Heading2"/>
      </w:pPr>
      <w:r>
        <w:rPr>
          <w:rFonts w:ascii="Arial" w:cs="Arial" w:eastAsia="Arial" w:hAnsi="Arial"/>
          <w:b/>
          <w:bCs/>
          <w:sz w:val="26"/>
          <w:szCs w:val="26"/>
        </w:rPr>
        <w:t xml:space="preserve">5.3. Exporting the full dataset</w:t>
      </w:r>
    </w:p>
    <w:p>
      <w:pPr>
        <w:spacing w:after="120"/>
      </w:pPr>
      <w:r>
        <w:rPr>
          <w:rFonts w:ascii="Arial" w:cs="Arial" w:eastAsia="Arial" w:hAnsi="Arial"/>
          <w:sz w:val="20"/>
          <w:szCs w:val="20"/>
        </w:rPr>
        <w:t xml:space="preserve">The 'Export dataset' button generates a comprehensive CSV file with all computed fields (EffectiveRG, MaxPSR, AdjustedPSR, BSL, UnfavorableFactors, FavorableFactors, Escalated, and all 9 individual MF_ scores). This file is suitable for external statistical analysis and is the intended input for validation studies.</w:t>
      </w:r>
    </w:p>
    <w:p>
      <w:pPr>
        <w:spacing w:after="120"/>
      </w:pPr>
    </w:p>
    <w:p>
      <w:pPr>
        <w:pStyle w:val="Heading1"/>
      </w:pPr>
      <w:r>
        <w:rPr>
          <w:rFonts w:ascii="Arial" w:cs="Arial" w:eastAsia="Arial" w:hAnsi="Arial"/>
          <w:b/>
          <w:bCs/>
          <w:color w:val="534AB7"/>
          <w:sz w:val="32"/>
          <w:szCs w:val="32"/>
        </w:rPr>
        <w:t xml:space="preserve">6. Algorithm Reference</w:t>
      </w:r>
    </w:p>
    <w:p>
      <w:pPr>
        <w:pStyle w:val="Heading2"/>
      </w:pPr>
      <w:r>
        <w:rPr>
          <w:rFonts w:ascii="Arial" w:cs="Arial" w:eastAsia="Arial" w:hAnsi="Arial"/>
          <w:b/>
          <w:bCs/>
          <w:sz w:val="26"/>
          <w:szCs w:val="26"/>
        </w:rPr>
        <w:t xml:space="preserve">6.1. PSR classification matrix (Table 6)</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200"/>
        <w:gridCol w:w="2300"/>
      </w:tblGrid>
      <w:tr>
        <w:trPr>
          <w:tblHeader/>
        </w:trPr>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PSR Level</w:t>
            </w:r>
          </w:p>
        </w:tc>
        <w:tc>
          <w:tcPr>
            <w:tcW w:type="dxa" w:w="2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Aerosol</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Volume</w:t>
            </w:r>
          </w:p>
        </w:tc>
        <w:tc>
          <w:tcPr>
            <w:tcW w:type="dxa" w:w="23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Concentration</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Low</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Minimal (controlled)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&lt;10⁶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 (contained)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10⁶–10⁸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 (uncontained)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&gt;10⁸ CFU/PFU/mL</w:t>
            </w:r>
          </w:p>
        </w:tc>
      </w:tr>
    </w:tbl>
    <w:p>
      <w:pPr>
        <w:spacing w:after="120"/>
      </w:pPr>
    </w:p>
    <w:p>
      <w:pPr>
        <w:pStyle w:val="Heading2"/>
      </w:pPr>
      <w:r>
        <w:rPr>
          <w:rFonts w:ascii="Arial" w:cs="Arial" w:eastAsia="Arial" w:hAnsi="Arial"/>
          <w:b/>
          <w:bCs/>
          <w:sz w:val="26"/>
          <w:szCs w:val="26"/>
        </w:rPr>
        <w:t xml:space="preserve">6.2. BSL assignment matrix (Table 8)</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2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Risk Group</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Low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Moderate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High PSR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r>
    </w:tbl>
    <w:p>
      <w:pPr>
        <w:spacing w:after="120" w:before="80"/>
        <w:ind w:left="360"/>
      </w:pPr>
      <w:r>
        <w:rPr>
          <w:rFonts w:ascii="Arial" w:cs="Arial" w:eastAsia="Arial" w:hAnsi="Arial"/>
          <w:i/>
          <w:iCs/>
          <w:color w:val="666666"/>
          <w:sz w:val="18"/>
          <w:szCs w:val="18"/>
        </w:rPr>
        <w:t xml:space="preserve">RG3* = RG3-derived replication-defective GMO (e.g., 3rd-generation SIN lentiviral vectors). BSL-2+ for RG3* requires documented risk assessment, IBC approval, and enhanced procedural controls (Class II BSC, double gloves, eye protection).</w:t>
      </w:r>
    </w:p>
    <w:p>
      <w:pPr>
        <w:spacing w:after="120"/>
      </w:pPr>
    </w:p>
    <w:p>
      <w:pPr>
        <w:pStyle w:val="Heading2"/>
      </w:pPr>
      <w:r>
        <w:rPr>
          <w:rFonts w:ascii="Arial" w:cs="Arial" w:eastAsia="Arial" w:hAnsi="Arial"/>
          <w:b/>
          <w:bCs/>
          <w:sz w:val="26"/>
          <w:szCs w:val="26"/>
        </w:rPr>
        <w:t xml:space="preserve">6.3. Escalation rule</w:t>
      </w:r>
    </w:p>
    <w:p>
      <w:pPr>
        <w:spacing w:after="120"/>
      </w:pPr>
      <w:r>
        <w:rPr>
          <w:rFonts w:ascii="Arial" w:cs="Arial" w:eastAsia="Arial" w:hAnsi="Arial"/>
          <w:sz w:val="20"/>
          <w:szCs w:val="20"/>
        </w:rPr>
        <w:t xml:space="preserve">The presence of ≥2 unfavorable procedural modulating factors triggers automatic PSR escalation: Low → Moderate, or Moderate → High. Individual susceptibility (immunocompromised status) is documented but does not count toward the ≥2 escalation threshold — it must be addressed via occupational health measures.</w:t>
      </w:r>
    </w:p>
    <w:p>
      <w:pPr>
        <w:pStyle w:val="Heading2"/>
      </w:pPr>
      <w:r>
        <w:rPr>
          <w:rFonts w:ascii="Arial" w:cs="Arial" w:eastAsia="Arial" w:hAnsi="Arial"/>
          <w:b/>
          <w:bCs/>
          <w:sz w:val="26"/>
          <w:szCs w:val="26"/>
        </w:rPr>
        <w:t xml:space="preserve">6.4. Decontamination and waste inactivation</w:t>
      </w:r>
    </w:p>
    <w:p>
      <w:pPr>
        <w:spacing w:after="120"/>
      </w:pPr>
      <w:r>
        <w:rPr>
          <w:rFonts w:ascii="Arial" w:cs="Arial" w:eastAsia="Arial" w:hAnsi="Arial"/>
          <w:sz w:val="20"/>
          <w:szCs w:val="20"/>
        </w:rPr>
        <w:t xml:space="preserve">Step 7 generates a dedicated Decontamination &amp; waste inactivation section for the assigned BSL. The first recommendation is agent-aware: the tool flags an ethanol-resistant agent (and recommends a validated sporicidal/virucidal disinfectant such as ≥0.5–1% sodium hypochlorite with a defined contact time, noting that plain ethanol is insufficient) whenever either (a) the Environmental stability modulating factor is set to High, or (b) the agent or parental organism name matches a known non-enveloped virus or spore-former (e.g., adeno-associated virus/AAV, adenovirus, parvovirus, norovirus, rotavirus, enterovirus/poliovirus, hepatitis A, papillomavirus/HPV, calicivirus, reovirus, Bacillus/anthracis, Clostridium/C. difficile, prions, Cryptosporidium). For all other agents the tool recommends 70% ethanol or quaternary ammonium for enveloped agents, with verification against the agent safety data sheet. All BSL tiers additionally require autoclaving or validated chemical inactivation of biological waste before disposal. These recommendations are shown in Step 7 and included in the exported assessment report.</w:t>
      </w:r>
    </w:p>
    <w:p>
      <w:pPr>
        <w:pStyle w:val="Heading2"/>
      </w:pPr>
      <w:r>
        <w:rPr>
          <w:rFonts w:ascii="Arial" w:cs="Arial" w:eastAsia="Arial" w:hAnsi="Arial"/>
          <w:b/>
          <w:bCs/>
          <w:sz w:val="26"/>
          <w:szCs w:val="26"/>
        </w:rPr>
        <w:t xml:space="preserve">6.5. Respiratory protection — regional standards</w:t>
      </w:r>
    </w:p>
    <w:p>
      <w:pPr>
        <w:spacing w:after="120"/>
      </w:pPr>
      <w:r>
        <w:rPr>
          <w:rFonts w:ascii="Arial" w:cs="Arial" w:eastAsia="Arial" w:hAnsi="Arial"/>
          <w:sz w:val="20"/>
          <w:szCs w:val="20"/>
        </w:rPr>
        <w:t xml:space="preserve">Respiratory protection is specified as a required protection level; the certified device follows the applicable regional standard. The tool displays both designations: NIOSH N95/N99/N100 (United States/Canada) and EN 149 FFP2/FFP3 (European Union). For practical purposes an N95 respirator corresponds to an FFP2, while FFP3 (≥99% filtration) provides a higher level of protection (broadly comparable to N99/N100) and is recommended for the highest-risk aerosol-generating procedures, such as manipulation of high-titre RG3 agents transmissible by the airborne route. Selection of the certified equivalent in force at the user's location remains the responsibility of the institution.</w:t>
      </w:r>
    </w:p>
    <w:p>
      <w:pPr>
        <w:pStyle w:val="Heading2"/>
      </w:pPr>
      <w:r>
        <w:rPr>
          <w:rFonts w:ascii="Arial" w:cs="Arial" w:eastAsia="Arial" w:hAnsi="Arial"/>
          <w:b/>
          <w:bCs/>
          <w:sz w:val="26"/>
          <w:szCs w:val="26"/>
        </w:rPr>
        <w:t xml:space="preserve">6.6. Exporting the assessment report (bilingual TXT and PDF)</w:t>
      </w:r>
    </w:p>
    <w:p>
      <w:pPr>
        <w:spacing w:after="120"/>
      </w:pPr>
      <w:r>
        <w:rPr>
          <w:rFonts w:ascii="Arial" w:cs="Arial" w:eastAsia="Arial" w:hAnsi="Arial"/>
          <w:sz w:val="20"/>
          <w:szCs w:val="20"/>
        </w:rPr>
        <w:t xml:space="preserve">From Step 8 (Quick Assessment Tool) or the assessment screen (Platform), the completed assessment can be exported as a structured report. The report is fully bilingual: every section heading, label, and framework-derived recommendation is presented in English and Spanish in parallel, while free-text entered by the assessor (agent name, justification, additional controls) appears as typed. The report is organised into seven numbered sections — (1) agent and classification, including the RG3* caveat where applicable; (2) procedure table with the PSR of each procedure; (3) PSR determination, listing every modulating factor as Favorable/Neutral/Unfavorable and stating explicitly whether the ≥2-unfavorable escalation rule was applied; (4) BSL assignment, showing the Risk Group × adjusted-PSR matrix cell; (5) recommended controls (engineering, PPE with the regional respiratory-standard note, administrative, decontamination and waste inactivation, and any additional controls); (6) justification; and (7) documentation and review — followed by a sign-off block for the assessor and the institutional biosafety officer, and a footer with the framework citation, regulatory basis, and a disclaimer.</w:t>
      </w:r>
    </w:p>
    <w:p>
      <w:pPr>
        <w:spacing w:after="120"/>
      </w:pPr>
      <w:r>
        <w:rPr>
          <w:rFonts w:ascii="Arial" w:cs="Arial" w:eastAsia="Arial" w:hAnsi="Arial"/>
          <w:sz w:val="20"/>
          <w:szCs w:val="20"/>
        </w:rPr>
        <w:t xml:space="preserve">Two output formats are available. “Export as text” downloads an enriched plain-text (.txt) file suitable for archiving or pasting into a laboratory information system. The PDF button opens the formatted report in a new browser tab and triggers the print dialog, from which it can be saved as PDF or printed; this approach uses no external libraries, so the Quick Assessment Tool remains fully offline-capable. The exported report header records the tool version, a report identifier, and the generation timestamp.</w:t>
      </w:r>
    </w:p>
    <w:p>
      <w:pPr>
        <w:pStyle w:val="Heading2"/>
      </w:pPr>
      <w:r>
        <w:rPr>
          <w:rFonts w:ascii="Arial" w:cs="Arial" w:eastAsia="Arial" w:hAnsi="Arial"/>
          <w:b/>
          <w:bCs/>
          <w:sz w:val="26"/>
          <w:szCs w:val="26"/>
        </w:rPr>
        <w:t xml:space="preserve">6.7. Mandatory pause points (institutional consultation)</w:t>
      </w:r>
    </w:p>
    <w:p>
      <w:pPr>
        <w:spacing w:after="120"/>
      </w:pPr>
      <w:r>
        <w:rPr>
          <w:rFonts w:ascii="Arial" w:cs="Arial" w:eastAsia="Arial" w:hAnsi="Arial"/>
          <w:sz w:val="20"/>
          <w:szCs w:val="20"/>
        </w:rPr>
        <w:t xml:space="preserve">In line with the framework (Figure 2 of the manuscript), the tool enforces three mandatory pause points that interrupt the sequential flow and require institutional consultation before the assessment can continue. When a pause point is triggered, the tool displays a prominent alert and disables the “Next” button until the assessor confirms, via a checkbox, that the required Institutional Biosafety Committee (IBC) consultation or authorization has been obtained. This enforces the framework’s decision gates rather than leaving them advisory.</w:t>
      </w:r>
    </w:p>
    <w:p>
      <w:pPr>
        <w:spacing w:after="120"/>
      </w:pPr>
      <w:r>
        <w:rPr>
          <w:rFonts w:ascii="Arial" w:cs="Arial" w:eastAsia="Arial" w:hAnsi="Arial"/>
          <w:sz w:val="20"/>
          <w:szCs w:val="20"/>
        </w:rPr>
        <w:t xml:space="preserve">The three pause points are: (1) Step 1 — the agent has no established Risk Group classification (selectable as “Not established” in the Risk Group field), e.g., a novel engineered organism or gain-of-function variant; (2) Step 2 — one or more procedures have an aerosol-generating potential that cannot be characterized (selectable as “Uncharacterizable” for the aerosol parameter), in which case the PSR for that procedure is left undetermined pending expert consultation; and (3) Step 6 — the assigned containment is BSL-3 or BSL-4, which requires full IBC review and, where applicable, regulatory notification before proceeding.</w:t>
      </w:r>
    </w:p>
    <w:p>
      <w:pPr>
        <w:spacing w:after="120"/>
      </w:pPr>
    </w:p>
    <w:p>
      <w:pPr>
        <w:pStyle w:val="Heading1"/>
      </w:pPr>
      <w:r>
        <w:rPr>
          <w:rFonts w:ascii="Arial" w:cs="Arial" w:eastAsia="Arial" w:hAnsi="Arial"/>
          <w:b/>
          <w:bCs/>
          <w:color w:val="534AB7"/>
          <w:sz w:val="32"/>
          <w:szCs w:val="32"/>
        </w:rPr>
        <w:t xml:space="preserve">7. Data Storage and Privacy</w:t>
      </w:r>
    </w:p>
    <w:p>
      <w:pPr>
        <w:pStyle w:val="ListParagraph"/>
        <w:numPr>
          <w:ilvl w:val="0"/>
          <w:numId w:val="1"/>
        </w:numPr>
        <w:spacing w:after="80"/>
      </w:pPr>
      <w:r>
        <w:rPr>
          <w:rFonts w:ascii="Arial" w:cs="Arial" w:eastAsia="Arial" w:hAnsi="Arial"/>
          <w:sz w:val="20"/>
          <w:szCs w:val="20"/>
        </w:rPr>
        <w:t xml:space="preserve">All data is stored exclusively in the browser's localStorage on the user's device.</w:t>
      </w:r>
    </w:p>
    <w:p>
      <w:pPr>
        <w:pStyle w:val="ListParagraph"/>
        <w:numPr>
          <w:ilvl w:val="0"/>
          <w:numId w:val="1"/>
        </w:numPr>
        <w:spacing w:after="80"/>
      </w:pPr>
      <w:r>
        <w:rPr>
          <w:rFonts w:ascii="Arial" w:cs="Arial" w:eastAsia="Arial" w:hAnsi="Arial"/>
          <w:sz w:val="20"/>
          <w:szCs w:val="20"/>
        </w:rPr>
        <w:t xml:space="preserve">No data is transmitted to any external server at any point.</w:t>
      </w:r>
    </w:p>
    <w:p>
      <w:pPr>
        <w:pStyle w:val="ListParagraph"/>
        <w:numPr>
          <w:ilvl w:val="0"/>
          <w:numId w:val="1"/>
        </w:numPr>
        <w:spacing w:after="80"/>
      </w:pPr>
      <w:r>
        <w:rPr>
          <w:rFonts w:ascii="Arial" w:cs="Arial" w:eastAsia="Arial" w:hAnsi="Arial"/>
          <w:sz w:val="20"/>
          <w:szCs w:val="20"/>
        </w:rPr>
        <w:t xml:space="preserve">localStorage is inherently volatile: data can be lost if browser history is cleared, the browser is changed, or private/incognito mode is used.</w:t>
      </w:r>
    </w:p>
    <w:p>
      <w:pPr>
        <w:pStyle w:val="ListParagraph"/>
        <w:numPr>
          <w:ilvl w:val="0"/>
          <w:numId w:val="1"/>
        </w:numPr>
        <w:spacing w:after="80"/>
      </w:pPr>
      <w:r>
        <w:rPr>
          <w:rFonts w:ascii="Arial" w:cs="Arial" w:eastAsia="Arial" w:hAnsi="Arial"/>
          <w:sz w:val="20"/>
          <w:szCs w:val="20"/>
        </w:rPr>
        <w:t xml:space="preserve">For institutional use requiring guaranteed data persistence and audit trail integrity, export CSV/PDF after each completed assessment. Server-based institutional deployment with a database backend is recommended for production environments.</w:t>
      </w:r>
    </w:p>
    <w:p>
      <w:pPr>
        <w:pStyle w:val="ListParagraph"/>
        <w:numPr>
          <w:ilvl w:val="0"/>
          <w:numId w:val="1"/>
        </w:numPr>
        <w:spacing w:after="80"/>
      </w:pPr>
      <w:r>
        <w:rPr>
          <w:rFonts w:ascii="Arial" w:cs="Arial" w:eastAsia="Arial" w:hAnsi="Arial"/>
          <w:sz w:val="20"/>
          <w:szCs w:val="20"/>
        </w:rPr>
        <w:t xml:space="preserve">The tool is not a medical device and is not subject to IEC 62304 software validation requirements. It is provided as a research and educational decision-support tool.</w:t>
      </w:r>
    </w:p>
    <w:p>
      <w:pPr>
        <w:spacing w:after="120"/>
      </w:pPr>
    </w:p>
    <w:p>
      <w:pPr>
        <w:pStyle w:val="Heading1"/>
      </w:pPr>
      <w:r>
        <w:rPr>
          <w:rFonts w:ascii="Arial" w:cs="Arial" w:eastAsia="Arial" w:hAnsi="Arial"/>
          <w:b/>
          <w:bCs/>
          <w:color w:val="534AB7"/>
          <w:sz w:val="32"/>
          <w:szCs w:val="32"/>
        </w:rPr>
        <w:t xml:space="preserve">8. Regulatory and Methodological Basis</w:t>
      </w:r>
    </w:p>
    <w:p>
      <w:pPr>
        <w:spacing w:after="120"/>
      </w:pPr>
      <w:r>
        <w:rPr>
          <w:rFonts w:ascii="Arial" w:cs="Arial" w:eastAsia="Arial" w:hAnsi="Arial"/>
          <w:sz w:val="20"/>
          <w:szCs w:val="20"/>
        </w:rPr>
        <w:t xml:space="preserve">The PSR framework is derived from structured regulatory synthesis of 10 international and national frameworks: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Source</w:t>
            </w:r>
          </w:p>
        </w:tc>
        <w:tc>
          <w:tcPr>
            <w:tcW w:type="dxa" w:w="2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Type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WHO Laboratory Biosafety Manual, 4th ed.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BMBL, 6th ed. (CDC/NIH,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CDC Biological Risk Assessment Process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Technical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Technical Guidance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NTP 875, NTP 1201, NTP 1202</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AAMI Laboratory Biosafety Brief (2016)</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Professional consensus</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Agents Program (CDC/USDA, 2025)</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Regulatory</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Spanish RD 664/1997</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legislation</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EU Directives 2000/54/EC and 2009/41/EC</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Supranational law</w:t>
            </w:r>
          </w:p>
        </w:tc>
      </w:tr>
    </w:tbl>
    <w:p>
      <w:pPr>
        <w:spacing w:after="120"/>
      </w:pPr>
    </w:p>
    <w:p>
      <w:pPr>
        <w:pStyle w:val="Heading1"/>
      </w:pPr>
      <w:r>
        <w:rPr>
          <w:rFonts w:ascii="Arial" w:cs="Arial" w:eastAsia="Arial" w:hAnsi="Arial"/>
          <w:b/>
          <w:bCs/>
          <w:color w:val="534AB7"/>
          <w:sz w:val="32"/>
          <w:szCs w:val="32"/>
        </w:rPr>
        <w:t xml:space="preserve">9. License and Citation</w:t>
      </w:r>
    </w:p>
    <w:p>
      <w:pPr>
        <w:pStyle w:val="Heading2"/>
      </w:pPr>
      <w:r>
        <w:rPr>
          <w:rFonts w:ascii="Arial" w:cs="Arial" w:eastAsia="Arial" w:hAnsi="Arial"/>
          <w:b/>
          <w:bCs/>
          <w:sz w:val="26"/>
          <w:szCs w:val="26"/>
        </w:rPr>
        <w:t xml:space="preserve">9.1. License</w:t>
      </w:r>
    </w:p>
    <w:p>
      <w:pPr>
        <w:spacing w:after="120"/>
      </w:pPr>
      <w:r>
        <w:rPr>
          <w:rFonts w:ascii="Arial" w:cs="Arial" w:eastAsia="Arial" w:hAnsi="Arial"/>
          <w:sz w:val="20"/>
          <w:szCs w:val="20"/>
        </w:rPr>
        <w:t xml:space="preserve">The PSR Biosafety Assessment Tool is released under the MIT License. Free for research and institutional biosafety use. Source code: https://github.com/Rafael-67/psr-tool</w:t>
      </w:r>
    </w:p>
    <w:p>
      <w:pPr>
        <w:spacing w:after="120"/>
      </w:pPr>
    </w:p>
    <w:p>
      <w:pPr>
        <w:pStyle w:val="Heading2"/>
      </w:pPr>
      <w:r>
        <w:rPr>
          <w:rFonts w:ascii="Arial" w:cs="Arial" w:eastAsia="Arial" w:hAnsi="Arial"/>
          <w:b/>
          <w:bCs/>
          <w:sz w:val="26"/>
          <w:szCs w:val="26"/>
        </w:rPr>
        <w:t xml:space="preserve">9.2. Citation</w:t>
      </w:r>
    </w:p>
    <w:p>
      <w:pPr>
        <w:spacing w:after="120"/>
      </w:pPr>
      <w:r>
        <w:rPr>
          <w:rFonts w:ascii="Arial" w:cs="Arial" w:eastAsia="Arial" w:hAnsi="Arial"/>
          <w:sz w:val="20"/>
          <w:szCs w:val="20"/>
        </w:rPr>
        <w:t xml:space="preserve">If you use this tool in published research, please cite:</w:t>
      </w:r>
    </w:p>
    <w:p>
      <w:pPr>
        <w:spacing w:after="120" w:before="80"/>
        <w:ind w:left="360"/>
      </w:pPr>
      <w:r>
        <w:rPr>
          <w:rFonts w:ascii="Arial" w:cs="Arial" w:eastAsia="Arial" w:hAnsi="Arial"/>
          <w:i/>
          <w:iCs/>
          <w:color w:val="666666"/>
          <w:sz w:val="18"/>
          <w:szCs w:val="18"/>
        </w:rPr>
        <w:t xml:space="preserve">Cena-Diez R. An 8-Step Procedure-Specific Risk Framework Enables Reproducible Biosafety Level Assignment Beyond Agent-Based Classification. Frontiers in Bioengineering and Biotechnology [manuscript submitted]. Digital tool: https://rafael-67.github.io/psr-tool/</w:t>
      </w:r>
    </w:p>
    <w:p>
      <w:pPr>
        <w:spacing w:after="120"/>
      </w:pPr>
    </w:p>
    <w:p>
      <w:pPr>
        <w:pStyle w:val="Heading1"/>
      </w:pPr>
      <w:r>
        <w:rPr>
          <w:rFonts w:ascii="Arial" w:cs="Arial" w:eastAsia="Arial" w:hAnsi="Arial"/>
          <w:b/>
          <w:bCs/>
          <w:color w:val="534AB7"/>
          <w:sz w:val="32"/>
          <w:szCs w:val="32"/>
        </w:rPr>
        <w:t xml:space="preserve">10. Version History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00"/>
      </w:tblGrid>
      <w:tr>
        <w:trPr>
          <w:tblHeader/>
        </w:trPr>
        <w:tc>
          <w:tcPr>
            <w:tcW w:type="dxa" w:w="1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Version</w:t>
            </w:r>
          </w:p>
        </w:tc>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Date</w:t>
            </w:r>
          </w:p>
        </w:tc>
        <w:tc>
          <w:tcPr>
            <w:tcW w:type="dxa" w:w="5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Changes</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January 2025</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Initial release. Quick Tool and Platform with Cohen's κ pairwise IRR.</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1.1.0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April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Analytics module expanded. Built-in case studies 1–6 added.</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1.2.0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May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Fleiss' κ (multi-rater) added as primary IRR metric. IRR tab redesigned with dual Cohen/Fleiss display, confusion matrix, discrepancy table, and agreement by Risk Group. interpKappa() extracted as shared function.</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1.3.0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Step 7 enhanced: added Decontamination &amp; waste-inactivation section with agent-aware disinfectant logic (sporicidal/virucidal for non-enveloped viruses and spore-formers; ethanol flagged as insufficient). Respiratory protection now shows regional standard equivalents (N95/FFP2, FFP3/N99–N100) with an explanatory note. Decontamination and respiratory guidance added to the exported report.</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1.4.0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Full-suite internationalization (EN/ES) across the Quick Tool, Platform, and Analytics module, with a shared, persistent language selector. New bilingual structured assessment report (Section 6.6) exportable as enriched TXT and formatted PDF, including PSR determination with the escalation rule, BSL matrix cell, full controls, sign-off block, and citation/regulatory footer. Citation updated to the final manuscript title.</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1.5.0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Implemented the framework’s three mandatory pause points (Section 6.7) as enforced hard stops in the Quick Tool and Platform: Step 1 (no established Risk Group), Step 2 (uncharacterizable aerosol potential), and Step 6 (BSL-3/4 output) now block progression until institutional (IBC) consultation is confirmed. Added “Not established” and “Uncharacterizable” input options accordingly.</w:t>
            </w:r>
          </w:p>
        </w:tc>
      </w:tr>
    </w:tbl>
    <w:p>
      <w:pPr>
        <w:spacing w:after="120"/>
      </w:pPr>
    </w:p>
    <w:p>
      <w:pPr>
        <w:spacing w:before="400"/>
        <w:jc w:val="center"/>
      </w:pPr>
      <w:r>
        <w:rPr>
          <w:rFonts w:ascii="Arial" w:cs="Arial" w:eastAsia="Arial" w:hAnsi="Arial"/>
          <w:i/>
          <w:iCs/>
          <w:color w:val="999999"/>
          <w:sz w:val="18"/>
          <w:szCs w:val="18"/>
        </w:rPr>
        <w:t xml:space="preserve">PSR Biosafety Assessment Tool — User Manual v1.2.0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uzcuryhcrdort4e_vlf" Type="http://schemas.openxmlformats.org/officeDocument/2006/relationships/hyperlink" Target="https://rafael-67.github.io/psr-tool/" TargetMode="External"/><Relationship Id="rIdf2bvu1vunobscqgdwcp5p" Type="http://schemas.openxmlformats.org/officeDocument/2006/relationships/hyperlink" Target="https://rafael-67.github.io/psr-too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2026-05-03T20:43:18.888Z</dcterms:created>
  <dcterms:modified xsi:type="dcterms:W3CDTF">2026-05-03T20:43:18.888Z</dcterms:modified>
</cp:coreProperties>
</file>

<file path=docProps/custom.xml><?xml version="1.0" encoding="utf-8"?>
<Properties xmlns="http://schemas.openxmlformats.org/officeDocument/2006/custom-properties" xmlns:vt="http://schemas.openxmlformats.org/officeDocument/2006/docPropsVTypes"/>
</file>