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jc w:val="center"/>
      </w:pPr>
      <w:r>
        <w:rPr>
          <w:rFonts w:ascii="Calibri" w:cs="Calibri" w:eastAsia="Calibri" w:hAnsi="Calibri"/>
          <w:b/>
          <w:bCs/>
          <w:color w:val="2E5090"/>
          <w:sz w:val="48"/>
          <w:szCs w:val="48"/>
        </w:rPr>
        <w:t xml:space="preserve">PSR Biosafety Assessment Tool</w:t>
      </w:r>
    </w:p>
    <w:p>
      <w:pPr>
        <w:spacing w:after="200"/>
        <w:jc w:val="center"/>
      </w:pPr>
      <w:r>
        <w:rPr>
          <w:rFonts w:ascii="Calibri" w:cs="Calibri" w:eastAsia="Calibri" w:hAnsi="Calibri"/>
          <w:color w:val="666666"/>
          <w:sz w:val="28"/>
          <w:szCs w:val="28"/>
        </w:rPr>
        <w:t xml:space="preserve">User Manual v1.1.0</w:t>
      </w:r>
    </w:p>
    <w:p>
      <w:pPr>
        <w:spacing w:after="300"/>
        <w:jc w:val="center"/>
      </w:pPr>
      <w:r>
        <w:rPr>
          <w:rFonts w:ascii="Calibri" w:cs="Calibri" w:eastAsia="Calibri" w:hAnsi="Calibri"/>
          <w:i/>
          <w:iCs/>
          <w:color w:val="666666"/>
          <w:sz w:val="22"/>
          <w:szCs w:val="22"/>
        </w:rPr>
        <w:t xml:space="preserve">Interactive digital implementation of the 8-step Procedure-Specific Risk (PSR) framework for biosafety level assignment in modern biotechnology laboratories.</w:t>
      </w:r>
    </w:p>
    <w:p>
      <w:pPr>
        <w:spacing w:after="60"/>
        <w:jc w:val="center"/>
      </w:pPr>
      <w:r>
        <w:rPr>
          <w:rFonts w:ascii="Calibri" w:cs="Calibri" w:eastAsia="Calibri" w:hAnsi="Calibri"/>
          <w:color w:val="999999"/>
          <w:sz w:val="22"/>
          <w:szCs w:val="22"/>
        </w:rPr>
        <w:t xml:space="preserve">April 2026</w:t>
      </w:r>
    </w:p>
    <w:p>
      <w:pPr>
        <w:spacing w:after="200"/>
        <w:jc w:val="center"/>
      </w:pPr>
      <w:r>
        <w:rPr>
          <w:rFonts w:ascii="Calibri" w:cs="Calibri" w:eastAsia="Calibri" w:hAnsi="Calibri"/>
          <w:color w:val="2E5090"/>
          <w:sz w:val="20"/>
          <w:szCs w:val="20"/>
        </w:rPr>
        <w:t xml:space="preserve">https://rafael-67.github.io/psr-tool/</w:t>
      </w:r>
    </w:p>
    <w:p>
      <w:pPr>
        <w:spacing w:after="120"/>
        <w:jc w:val="center"/>
      </w:pPr>
      <w:r>
        <w:rPr>
          <w:rFonts w:ascii="Calibri" w:cs="Calibri" w:eastAsia="Calibri" w:hAnsi="Calibri"/>
          <w:i/>
          <w:iCs/>
          <w:color w:val="999999"/>
          <w:sz w:val="18"/>
          <w:szCs w:val="18"/>
        </w:rPr>
        <w:t xml:space="preserve">Based on WHO (2020), BMBL (2020), CDC (2024), and INSST (2024) guidelines.</w:t>
      </w:r>
    </w:p>
    <w:p>
      <w:pPr>
        <w:spacing w:after="120"/>
        <w:jc w:val="center"/>
      </w:pPr>
      <w:r>
        <w:rPr>
          <w:rFonts w:ascii="Calibri" w:cs="Calibri" w:eastAsia="Calibri" w:hAnsi="Calibri"/>
          <w:i/>
          <w:iCs/>
          <w:color w:val="999999"/>
          <w:sz w:val="18"/>
          <w:szCs w:val="18"/>
        </w:rPr>
        <w:t xml:space="preserve">Open source under MIT License. For research and institutional biosafety use.</w:t>
      </w:r>
    </w:p>
    <w:p>
      <w:r>
        <w:br w:type="page"/>
      </w:r>
    </w:p>
    <w:p>
      <w:pPr>
        <w:pStyle w:val="Heading1"/>
        <w:spacing w:after="120" w:before="360"/>
      </w:pPr>
      <w:r>
        <w:rPr>
          <w:rFonts w:ascii="Calibri" w:cs="Calibri" w:eastAsia="Calibri" w:hAnsi="Calibri"/>
          <w:b/>
          <w:bCs/>
          <w:color w:val="2E5090"/>
          <w:sz w:val="32"/>
          <w:szCs w:val="32"/>
        </w:rPr>
        <w:t xml:space="preserve">Contents</w:t>
      </w:r>
    </w:p>
    <w:p>
      <w:pPr>
        <w:spacing w:after="120"/>
      </w:pPr>
      <w:r>
        <w:rPr>
          <w:rFonts w:ascii="Calibri" w:cs="Calibri" w:eastAsia="Calibri" w:hAnsi="Calibri"/>
          <w:color w:val="444444"/>
          <w:sz w:val="22"/>
          <w:szCs w:val="22"/>
        </w:rPr>
        <w:t xml:space="preserve">1. Overview</w:t>
      </w:r>
    </w:p>
    <w:p>
      <w:pPr>
        <w:spacing w:after="120"/>
      </w:pPr>
      <w:r>
        <w:rPr>
          <w:rFonts w:ascii="Calibri" w:cs="Calibri" w:eastAsia="Calibri" w:hAnsi="Calibri"/>
          <w:color w:val="444444"/>
          <w:sz w:val="22"/>
          <w:szCs w:val="22"/>
        </w:rPr>
        <w:t xml:space="preserve">2. System requirements and deployment</w:t>
      </w:r>
    </w:p>
    <w:p>
      <w:pPr>
        <w:spacing w:after="120"/>
      </w:pPr>
      <w:r>
        <w:rPr>
          <w:rFonts w:ascii="Calibri" w:cs="Calibri" w:eastAsia="Calibri" w:hAnsi="Calibri"/>
          <w:color w:val="444444"/>
          <w:sz w:val="22"/>
          <w:szCs w:val="22"/>
        </w:rPr>
        <w:t xml:space="preserve">3. Platform components</w:t>
      </w:r>
    </w:p>
    <w:p>
      <w:pPr>
        <w:spacing w:after="120"/>
      </w:pPr>
      <w:r>
        <w:rPr>
          <w:rFonts w:ascii="Calibri" w:cs="Calibri" w:eastAsia="Calibri" w:hAnsi="Calibri"/>
          <w:color w:val="444444"/>
          <w:sz w:val="22"/>
          <w:szCs w:val="22"/>
        </w:rPr>
        <w:t xml:space="preserve">4. Quick Assessment Tool: step-by-step guide</w:t>
      </w:r>
    </w:p>
    <w:p>
      <w:pPr>
        <w:spacing w:after="120"/>
      </w:pPr>
      <w:r>
        <w:rPr>
          <w:rFonts w:ascii="Calibri" w:cs="Calibri" w:eastAsia="Calibri" w:hAnsi="Calibri"/>
          <w:color w:val="444444"/>
          <w:sz w:val="22"/>
          <w:szCs w:val="22"/>
        </w:rPr>
        <w:t xml:space="preserve">5. Assessment Platform: multi-user workflow</w:t>
      </w:r>
    </w:p>
    <w:p>
      <w:pPr>
        <w:spacing w:after="120"/>
      </w:pPr>
      <w:r>
        <w:rPr>
          <w:rFonts w:ascii="Calibri" w:cs="Calibri" w:eastAsia="Calibri" w:hAnsi="Calibri"/>
          <w:color w:val="444444"/>
          <w:sz w:val="22"/>
          <w:szCs w:val="22"/>
        </w:rPr>
        <w:t xml:space="preserve">6. Data management: backup, import, and export</w:t>
      </w:r>
    </w:p>
    <w:p>
      <w:pPr>
        <w:spacing w:after="120"/>
      </w:pPr>
      <w:r>
        <w:rPr>
          <w:rFonts w:ascii="Calibri" w:cs="Calibri" w:eastAsia="Calibri" w:hAnsi="Calibri"/>
          <w:color w:val="444444"/>
          <w:sz w:val="22"/>
          <w:szCs w:val="22"/>
        </w:rPr>
        <w:t xml:space="preserve">7. Data Analytics Module</w:t>
      </w:r>
    </w:p>
    <w:p>
      <w:pPr>
        <w:spacing w:after="120"/>
      </w:pPr>
      <w:r>
        <w:rPr>
          <w:rFonts w:ascii="Calibri" w:cs="Calibri" w:eastAsia="Calibri" w:hAnsi="Calibri"/>
          <w:color w:val="444444"/>
          <w:sz w:val="22"/>
          <w:szCs w:val="22"/>
        </w:rPr>
        <w:t xml:space="preserve">8. Algorithm reference</w:t>
      </w:r>
    </w:p>
    <w:p>
      <w:pPr>
        <w:spacing w:after="120"/>
      </w:pPr>
      <w:r>
        <w:rPr>
          <w:rFonts w:ascii="Calibri" w:cs="Calibri" w:eastAsia="Calibri" w:hAnsi="Calibri"/>
          <w:color w:val="444444"/>
          <w:sz w:val="22"/>
          <w:szCs w:val="22"/>
        </w:rPr>
        <w:t xml:space="preserve">9. Troubleshooting</w:t>
      </w:r>
    </w:p>
    <w:p>
      <w:pPr>
        <w:spacing w:after="120"/>
      </w:pPr>
      <w:r>
        <w:rPr>
          <w:rFonts w:ascii="Calibri" w:cs="Calibri" w:eastAsia="Calibri" w:hAnsi="Calibri"/>
          <w:color w:val="444444"/>
          <w:sz w:val="22"/>
          <w:szCs w:val="22"/>
        </w:rPr>
        <w:t xml:space="preserve">10. Appendix: keyboard shortcuts and tips</w:t>
      </w:r>
    </w:p>
    <w:p>
      <w:r>
        <w:br w:type="page"/>
      </w:r>
    </w:p>
    <w:p>
      <w:pPr>
        <w:pStyle w:val="Heading1"/>
        <w:spacing w:after="120" w:before="360"/>
      </w:pPr>
      <w:r>
        <w:rPr>
          <w:rFonts w:ascii="Calibri" w:cs="Calibri" w:eastAsia="Calibri" w:hAnsi="Calibri"/>
          <w:b/>
          <w:bCs/>
          <w:color w:val="2E5090"/>
          <w:sz w:val="32"/>
          <w:szCs w:val="32"/>
        </w:rPr>
        <w:t xml:space="preserve">1. Overview</w:t>
      </w:r>
    </w:p>
    <w:p>
      <w:pPr>
        <w:spacing w:after="120"/>
      </w:pPr>
      <w:r>
        <w:rPr>
          <w:rFonts w:ascii="Calibri" w:cs="Calibri" w:eastAsia="Calibri" w:hAnsi="Calibri"/>
          <w:sz w:val="22"/>
          <w:szCs w:val="22"/>
        </w:rPr>
        <w:t xml:space="preserve">The PSR Biosafety Assessment Tool is a free, open-source web application that implements the 8-step Procedure-Specific Risk (PSR) framework for biosafety level (BSL) assignment. It translates the methodology described in the accompanying manuscript into a guided, interactive workflow.</w:t>
      </w:r>
    </w:p>
    <w:p>
      <w:pPr>
        <w:spacing w:after="120"/>
      </w:pPr>
      <w:r>
        <w:rPr>
          <w:rFonts w:ascii="Calibri" w:cs="Calibri" w:eastAsia="Calibri" w:hAnsi="Calibri"/>
          <w:sz w:val="22"/>
          <w:szCs w:val="22"/>
        </w:rPr>
        <w:t xml:space="preserve">The tool is designed for principal investigators, biosafety officers, IBC members, and laboratory personnel who need to perform, document, and audit procedure-specific biological risk assessments.</w:t>
      </w:r>
    </w:p>
    <w:p>
      <w:pPr>
        <w:spacing w:after="120"/>
      </w:pPr>
      <w:r>
        <w:rPr>
          <w:rFonts w:ascii="Calibri" w:cs="Calibri" w:eastAsia="Calibri" w:hAnsi="Calibri"/>
          <w:b/>
          <w:bCs/>
          <w:sz w:val="22"/>
          <w:szCs w:val="22"/>
        </w:rPr>
        <w:t xml:space="preserve">Key principle: </w:t>
      </w:r>
      <w:r>
        <w:rPr>
          <w:rFonts w:ascii="Calibri" w:cs="Calibri" w:eastAsia="Calibri" w:hAnsi="Calibri"/>
          <w:sz w:val="22"/>
          <w:szCs w:val="22"/>
        </w:rPr>
        <w:t xml:space="preserve">The PSR framework shifts biosafety evaluation from static agent classification to dynamic assessment of the agent–procedure combination. Identical agents may require different BSL assignments depending on procedural exposure risk.</w:t>
      </w:r>
    </w:p>
    <w:p>
      <w:pPr>
        <w:pStyle w:val="Heading1"/>
        <w:spacing w:after="120" w:before="360"/>
      </w:pPr>
      <w:r>
        <w:rPr>
          <w:rFonts w:ascii="Calibri" w:cs="Calibri" w:eastAsia="Calibri" w:hAnsi="Calibri"/>
          <w:b/>
          <w:bCs/>
          <w:color w:val="2E5090"/>
          <w:sz w:val="32"/>
          <w:szCs w:val="32"/>
        </w:rPr>
        <w:t xml:space="preserve">2. System requirements and deployment</w:t>
      </w:r>
    </w:p>
    <w:p>
      <w:pPr>
        <w:pStyle w:val="Heading2"/>
        <w:spacing w:after="120" w:before="240"/>
      </w:pPr>
      <w:r>
        <w:rPr>
          <w:rFonts w:ascii="Calibri" w:cs="Calibri" w:eastAsia="Calibri" w:hAnsi="Calibri"/>
          <w:b/>
          <w:bCs/>
          <w:color w:val="2E5090"/>
          <w:sz w:val="26"/>
          <w:szCs w:val="26"/>
        </w:rPr>
        <w:t xml:space="preserve">2.1. Browser compatibility</w:t>
      </w:r>
    </w:p>
    <w:p>
      <w:pPr>
        <w:spacing w:after="120"/>
      </w:pPr>
      <w:r>
        <w:rPr>
          <w:rFonts w:ascii="Calibri" w:cs="Calibri" w:eastAsia="Calibri" w:hAnsi="Calibri"/>
          <w:sz w:val="22"/>
          <w:szCs w:val="22"/>
        </w:rPr>
        <w:t xml:space="preserve">The tool runs in any modern web browser: Chrome, Firefox, Safari, or Edge (last 2 major versions). No plugins, extensions, or special configurations are required.</w:t>
      </w:r>
    </w:p>
    <w:p>
      <w:pPr>
        <w:pStyle w:val="Heading2"/>
        <w:spacing w:after="120" w:before="240"/>
      </w:pPr>
      <w:r>
        <w:rPr>
          <w:rFonts w:ascii="Calibri" w:cs="Calibri" w:eastAsia="Calibri" w:hAnsi="Calibri"/>
          <w:b/>
          <w:bCs/>
          <w:color w:val="2E5090"/>
          <w:sz w:val="26"/>
          <w:szCs w:val="26"/>
        </w:rPr>
        <w:t xml:space="preserve">2.2. Deployment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6"/>
      </w:tblGrid>
      <w:tr>
        <w:tc>
          <w:tcPr>
            <w:tcW w:type="dxa" w:w="2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Option</w:t>
            </w:r>
          </w:p>
        </w:tc>
        <w:tc>
          <w:tcPr>
            <w:tcW w:type="dxa" w:w="4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Method</w:t>
            </w:r>
          </w:p>
        </w:tc>
        <w:tc>
          <w:tcPr>
            <w:tcW w:type="dxa" w:w="2826"/>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Use case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GitHub Pages (default)</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Access via https://rafael-67.github.io/psr-tool/</w:t>
            </w:r>
          </w:p>
        </w:tc>
        <w:tc>
          <w:tcPr>
            <w:tcW w:type="dxa" w:w="2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General use, quick evaluation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Local file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Download files, open tool.html or platform.html directly in browser</w:t>
            </w:r>
          </w:p>
        </w:tc>
        <w:tc>
          <w:tcPr>
            <w:tcW w:type="dxa" w:w="2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Offline laboratory use, air-gapped networks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Institutional server</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Copy files to any web server (Apache, Nginx, IIS). No backend required.</w:t>
            </w:r>
          </w:p>
        </w:tc>
        <w:tc>
          <w:tcPr>
            <w:tcW w:type="dxa" w:w="2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Institutional deployment with shared URL</w:t>
            </w:r>
          </w:p>
        </w:tc>
      </w:tr>
    </w:tbl>
    <w:p>
      <w:pPr>
        <w:spacing w:after="80"/>
      </w:pPr>
    </w:p>
    <w:p>
      <w:pPr>
        <w:spacing w:after="120"/>
      </w:pPr>
      <w:r>
        <w:rPr>
          <w:rFonts w:ascii="Calibri" w:cs="Calibri" w:eastAsia="Calibri" w:hAnsi="Calibri"/>
          <w:b/>
          <w:bCs/>
          <w:sz w:val="22"/>
          <w:szCs w:val="22"/>
        </w:rPr>
        <w:t xml:space="preserve">Important: </w:t>
      </w:r>
      <w:r>
        <w:rPr>
          <w:rFonts w:ascii="Calibri" w:cs="Calibri" w:eastAsia="Calibri" w:hAnsi="Calibri"/>
          <w:sz w:val="22"/>
          <w:szCs w:val="22"/>
        </w:rPr>
        <w:t xml:space="preserve">The Quick Assessment Tool (tool.html) works entirely offline after the first load. No data is transmitted externally. All processing is client-side.</w:t>
      </w:r>
    </w:p>
    <w:p>
      <w:pPr>
        <w:pStyle w:val="Heading1"/>
        <w:spacing w:after="120" w:before="360"/>
      </w:pPr>
      <w:r>
        <w:rPr>
          <w:rFonts w:ascii="Calibri" w:cs="Calibri" w:eastAsia="Calibri" w:hAnsi="Calibri"/>
          <w:b/>
          <w:bCs/>
          <w:color w:val="2E5090"/>
          <w:sz w:val="32"/>
          <w:szCs w:val="32"/>
        </w:rPr>
        <w:t xml:space="preserve">3. Platform components</w:t>
      </w:r>
    </w:p>
    <w:p>
      <w:pPr>
        <w:spacing w:after="120"/>
      </w:pPr>
      <w:r>
        <w:rPr>
          <w:rFonts w:ascii="Calibri" w:cs="Calibri" w:eastAsia="Calibri" w:hAnsi="Calibri"/>
          <w:sz w:val="22"/>
          <w:szCs w:val="22"/>
        </w:rPr>
        <w:t xml:space="preserve">The platform comprises four files, accessible from the landing page (index.html):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026"/>
      </w:tblGrid>
      <w:tr>
        <w:tc>
          <w:tcPr>
            <w:tcW w:type="dxa" w:w="1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File</w:t>
            </w:r>
          </w:p>
        </w:tc>
        <w:tc>
          <w:tcPr>
            <w:tcW w:type="dxa" w:w="4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Function</w:t>
            </w:r>
          </w:p>
        </w:tc>
        <w:tc>
          <w:tcPr>
            <w:tcW w:type="dxa" w:w="3026"/>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Data storage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tool.html</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Standalone single-page assessment. No account needed. Bilingual EN/ES. PDF/TXT export.</w:t>
            </w:r>
          </w:p>
        </w:tc>
        <w:tc>
          <w:tcPr>
            <w:tcW w:type="dxa" w:w="3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None (stateless)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platform.html</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Full platform with persistent storage, user profiles, dashboard, audit trail, IRR analysis.</w:t>
            </w:r>
          </w:p>
        </w:tc>
        <w:tc>
          <w:tcPr>
            <w:tcW w:type="dxa" w:w="3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Browser localStorage + JSON backup</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analytics.html</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Data analytics module: BSL distributions, escalation drivers, Cohen’s κ computation, confusion matrices.</w:t>
            </w:r>
          </w:p>
        </w:tc>
        <w:tc>
          <w:tcPr>
            <w:tcW w:type="dxa" w:w="3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Reads from localStorage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index.html</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Landing page with links to all components and framework description.</w:t>
            </w:r>
          </w:p>
        </w:tc>
        <w:tc>
          <w:tcPr>
            <w:tcW w:type="dxa" w:w="3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None</w:t>
            </w:r>
          </w:p>
        </w:tc>
      </w:tr>
    </w:tbl>
    <w:p>
      <w:r>
        <w:br w:type="page"/>
      </w:r>
    </w:p>
    <w:p>
      <w:pPr>
        <w:pStyle w:val="Heading1"/>
        <w:spacing w:after="120" w:before="360"/>
      </w:pPr>
      <w:r>
        <w:rPr>
          <w:rFonts w:ascii="Calibri" w:cs="Calibri" w:eastAsia="Calibri" w:hAnsi="Calibri"/>
          <w:b/>
          <w:bCs/>
          <w:color w:val="2E5090"/>
          <w:sz w:val="32"/>
          <w:szCs w:val="32"/>
        </w:rPr>
        <w:t xml:space="preserve">4. Quick Assessment Tool: step-by-step guide</w:t>
      </w:r>
    </w:p>
    <w:p>
      <w:pPr>
        <w:spacing w:after="120"/>
      </w:pPr>
      <w:r>
        <w:rPr>
          <w:rFonts w:ascii="Calibri" w:cs="Calibri" w:eastAsia="Calibri" w:hAnsi="Calibri"/>
          <w:sz w:val="22"/>
          <w:szCs w:val="22"/>
        </w:rPr>
        <w:t xml:space="preserve">Open tool.html in your browser. The tool guides you through the 8 steps sequentially. Use the "Next step" and "Previous" buttons to navigate. A progress bar at the top shows completed steps.</w:t>
      </w:r>
    </w:p>
    <w:p>
      <w:pPr>
        <w:pStyle w:val="Heading2"/>
        <w:spacing w:after="120" w:before="240"/>
      </w:pPr>
      <w:r>
        <w:rPr>
          <w:rFonts w:ascii="Calibri" w:cs="Calibri" w:eastAsia="Calibri" w:hAnsi="Calibri"/>
          <w:b/>
          <w:bCs/>
          <w:color w:val="2E5090"/>
          <w:sz w:val="26"/>
          <w:szCs w:val="26"/>
        </w:rPr>
        <w:t xml:space="preserve">Step 1: Agent identification</w:t>
      </w:r>
    </w:p>
    <w:p>
      <w:pPr>
        <w:spacing w:after="120"/>
      </w:pPr>
      <w:r>
        <w:rPr>
          <w:rFonts w:ascii="Calibri" w:cs="Calibri" w:eastAsia="Calibri" w:hAnsi="Calibri"/>
          <w:sz w:val="22"/>
          <w:szCs w:val="22"/>
        </w:rPr>
        <w:t xml:space="preserve">Enter the biological agent name and select its Risk Group (RG1–RG4). If the agent is a genetically modified organism, check the GMO box and provide: parental organism, genetic modification description, and replication competence (yes/no).</w:t>
      </w:r>
    </w:p>
    <w:p>
      <w:pPr>
        <w:spacing w:after="120"/>
      </w:pPr>
      <w:r>
        <w:rPr>
          <w:rFonts w:ascii="Calibri" w:cs="Calibri" w:eastAsia="Calibri" w:hAnsi="Calibri"/>
          <w:b/>
          <w:bCs/>
          <w:sz w:val="22"/>
          <w:szCs w:val="22"/>
        </w:rPr>
        <w:t xml:space="preserve">RG3 replication-defective GMOs: </w:t>
      </w:r>
      <w:r>
        <w:rPr>
          <w:rFonts w:ascii="Calibri" w:cs="Calibri" w:eastAsia="Calibri" w:hAnsi="Calibri"/>
          <w:sz w:val="22"/>
          <w:szCs w:val="22"/>
        </w:rPr>
        <w:t xml:space="preserve">The system automatically classifies these as RG3* (attenuated). If your institutional evaluation supports reclassification to RG2 based on documented attenuation, use the "Effective Risk Group" selector that appears. This override requires written justification in Step 8.</w:t>
      </w:r>
    </w:p>
    <w:p>
      <w:pPr>
        <w:pStyle w:val="Heading2"/>
        <w:spacing w:after="120" w:before="240"/>
      </w:pPr>
      <w:r>
        <w:rPr>
          <w:rFonts w:ascii="Calibri" w:cs="Calibri" w:eastAsia="Calibri" w:hAnsi="Calibri"/>
          <w:b/>
          <w:bCs/>
          <w:color w:val="2E5090"/>
          <w:sz w:val="26"/>
          <w:szCs w:val="26"/>
        </w:rPr>
        <w:t xml:space="preserve">Step 2: Procedure characterization</w:t>
      </w:r>
    </w:p>
    <w:p>
      <w:pPr>
        <w:spacing w:after="120"/>
      </w:pPr>
      <w:r>
        <w:rPr>
          <w:rFonts w:ascii="Calibri" w:cs="Calibri" w:eastAsia="Calibri" w:hAnsi="Calibri"/>
          <w:sz w:val="22"/>
          <w:szCs w:val="22"/>
        </w:rPr>
        <w:t xml:space="preserve">Add each laboratory procedure performed with the agent. For each procedure, specify three parameters:</w:t>
      </w:r>
    </w:p>
    <w:p>
      <w:pPr>
        <w:spacing w:after="60"/>
        <w:ind w:left="360" w:hanging="180"/>
      </w:pPr>
      <w:r>
        <w:rPr>
          <w:rFonts w:ascii="Calibri" w:cs="Calibri" w:eastAsia="Calibri" w:hAnsi="Calibri"/>
          <w:sz w:val="22"/>
          <w:szCs w:val="22"/>
        </w:rPr>
        <w:t xml:space="preserve">• Aerosol generation potential: Minimal (controlled, e.g., slow pipetting in BSC), Moderate (contained, e.g., sealed centrifugation), or High (uncontained, e.g., sonication, intense vortexing)</w:t>
      </w:r>
    </w:p>
    <w:p>
      <w:pPr>
        <w:spacing w:after="60"/>
        <w:ind w:left="360" w:hanging="180"/>
      </w:pPr>
      <w:r>
        <w:rPr>
          <w:rFonts w:ascii="Calibri" w:cs="Calibri" w:eastAsia="Calibri" w:hAnsi="Calibri"/>
          <w:sz w:val="22"/>
          <w:szCs w:val="22"/>
        </w:rPr>
        <w:t xml:space="preserve">• Volume: &lt;10 mL, 10–100 mL, or &gt;100 mL</w:t>
      </w:r>
    </w:p>
    <w:p>
      <w:pPr>
        <w:spacing w:after="60"/>
        <w:ind w:left="360" w:hanging="180"/>
      </w:pPr>
      <w:r>
        <w:rPr>
          <w:rFonts w:ascii="Calibri" w:cs="Calibri" w:eastAsia="Calibri" w:hAnsi="Calibri"/>
          <w:sz w:val="22"/>
          <w:szCs w:val="22"/>
        </w:rPr>
        <w:t xml:space="preserve">• Concentration: &lt;10⁶ CFU/PFU/mL, 10⁶–10⁸, or &gt;10⁸</w:t>
      </w:r>
    </w:p>
    <w:p>
      <w:pPr>
        <w:spacing w:after="120"/>
      </w:pPr>
      <w:r>
        <w:rPr>
          <w:rFonts w:ascii="Calibri" w:cs="Calibri" w:eastAsia="Calibri" w:hAnsi="Calibri"/>
          <w:sz w:val="22"/>
          <w:szCs w:val="22"/>
        </w:rPr>
        <w:t xml:space="preserve">Use "+ Add procedure" for additional procedures. Each procedure receives an independent PSR classification.</w:t>
      </w:r>
    </w:p>
    <w:p>
      <w:pPr>
        <w:pStyle w:val="Heading2"/>
        <w:spacing w:after="120" w:before="240"/>
      </w:pPr>
      <w:r>
        <w:rPr>
          <w:rFonts w:ascii="Calibri" w:cs="Calibri" w:eastAsia="Calibri" w:hAnsi="Calibri"/>
          <w:b/>
          <w:bCs/>
          <w:color w:val="2E5090"/>
          <w:sz w:val="26"/>
          <w:szCs w:val="26"/>
        </w:rPr>
        <w:t xml:space="preserve">Step 3: PSR classification</w:t>
      </w:r>
    </w:p>
    <w:p>
      <w:pPr>
        <w:spacing w:after="120"/>
      </w:pPr>
      <w:r>
        <w:rPr>
          <w:rFonts w:ascii="Calibri" w:cs="Calibri" w:eastAsia="Calibri" w:hAnsi="Calibri"/>
          <w:sz w:val="22"/>
          <w:szCs w:val="22"/>
        </w:rPr>
        <w:t xml:space="preserve">The tool automatically classifies each procedure as Low, Moderate, or High PSR based on the combination of the three parameters (Table 6 of the manuscript). The highest PSR across all procedures determines the baseline for BSL assignment.</w:t>
      </w:r>
    </w:p>
    <w:p>
      <w:pPr>
        <w:pStyle w:val="Heading2"/>
        <w:spacing w:after="120" w:before="240"/>
      </w:pPr>
      <w:r>
        <w:rPr>
          <w:rFonts w:ascii="Calibri" w:cs="Calibri" w:eastAsia="Calibri" w:hAnsi="Calibri"/>
          <w:b/>
          <w:bCs/>
          <w:color w:val="2E5090"/>
          <w:sz w:val="26"/>
          <w:szCs w:val="26"/>
        </w:rPr>
        <w:t xml:space="preserve">Step 4: Modulating factors</w:t>
      </w:r>
    </w:p>
    <w:p>
      <w:pPr>
        <w:spacing w:after="120"/>
      </w:pPr>
      <w:r>
        <w:rPr>
          <w:rFonts w:ascii="Calibri" w:cs="Calibri" w:eastAsia="Calibri" w:hAnsi="Calibri"/>
          <w:sz w:val="22"/>
          <w:szCs w:val="22"/>
        </w:rPr>
        <w:t xml:space="preserve">Evaluate 9 procedural modulating factors. For each factor, select Favorable, Neutral, or Unfavorable: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c>
          <w:tcPr>
            <w:tcW w:type="dxa" w:w="2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Factor</w:t>
            </w:r>
          </w:p>
        </w:tc>
        <w:tc>
          <w:tcPr>
            <w:tcW w:type="dxa" w:w="36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Unfavorable</w:t>
            </w:r>
          </w:p>
        </w:tc>
        <w:tc>
          <w:tcPr>
            <w:tcW w:type="dxa" w:w="3226"/>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Favorable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Volume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&gt;100 mL</w:t>
            </w:r>
          </w:p>
        </w:tc>
        <w:tc>
          <w:tcPr>
            <w:tcW w:type="dxa" w:w="3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&lt;10 mL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Concentration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&gt;10⁸ CFU/PFU/mL</w:t>
            </w:r>
          </w:p>
        </w:tc>
        <w:tc>
          <w:tcPr>
            <w:tcW w:type="dxa" w:w="3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&lt;10⁶ CFU/PFU/mL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Frequency</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Daily/Weekly</w:t>
            </w:r>
          </w:p>
        </w:tc>
        <w:tc>
          <w:tcPr>
            <w:tcW w:type="dxa" w:w="3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Occasional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Aerosol generation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High (sonication, vortex)</w:t>
            </w:r>
          </w:p>
        </w:tc>
        <w:tc>
          <w:tcPr>
            <w:tcW w:type="dxa" w:w="3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Minimal (slow pipetting)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Environmental stability</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High (AAV, spores)</w:t>
            </w:r>
          </w:p>
        </w:tc>
        <w:tc>
          <w:tcPr>
            <w:tcW w:type="dxa" w:w="3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Low (lentivirus)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Operator experience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&lt;6 months</w:t>
            </w:r>
          </w:p>
        </w:tc>
        <w:tc>
          <w:tcPr>
            <w:tcW w:type="dxa" w:w="3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&gt;2 years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Supervision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None</w:t>
            </w:r>
          </w:p>
        </w:tc>
        <w:tc>
          <w:tcPr>
            <w:tcW w:type="dxa" w:w="3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Direct, continuous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Infrastructure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Inadequate BSL</w:t>
            </w:r>
          </w:p>
        </w:tc>
        <w:tc>
          <w:tcPr>
            <w:tcW w:type="dxa" w:w="3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Appropriate BSL + Class III BSC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Incident history</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Previous exposures</w:t>
            </w:r>
          </w:p>
        </w:tc>
        <w:tc>
          <w:tcPr>
            <w:tcW w:type="dxa" w:w="32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No incidents</w:t>
            </w:r>
          </w:p>
        </w:tc>
      </w:tr>
    </w:tbl>
    <w:p>
      <w:pPr>
        <w:spacing w:after="80"/>
      </w:pPr>
    </w:p>
    <w:p>
      <w:pPr>
        <w:spacing w:after="120"/>
      </w:pPr>
      <w:r>
        <w:rPr>
          <w:rFonts w:ascii="Calibri" w:cs="Calibri" w:eastAsia="Calibri" w:hAnsi="Calibri"/>
          <w:b/>
          <w:bCs/>
          <w:sz w:val="22"/>
          <w:szCs w:val="22"/>
        </w:rPr>
        <w:t xml:space="preserve">Escalation rule: </w:t>
      </w:r>
      <w:r>
        <w:rPr>
          <w:rFonts w:ascii="Calibri" w:cs="Calibri" w:eastAsia="Calibri" w:hAnsi="Calibri"/>
          <w:sz w:val="22"/>
          <w:szCs w:val="22"/>
        </w:rPr>
        <w:t xml:space="preserve">≥2 unfavorable factors triggers automatic PSR escalation (Low → Moderate, or Moderate → High). The tool displays a red alert when this rule is triggered.</w:t>
      </w:r>
    </w:p>
    <w:p>
      <w:pPr>
        <w:pStyle w:val="Heading2"/>
        <w:spacing w:after="120" w:before="240"/>
      </w:pPr>
      <w:r>
        <w:rPr>
          <w:rFonts w:ascii="Calibri" w:cs="Calibri" w:eastAsia="Calibri" w:hAnsi="Calibri"/>
          <w:b/>
          <w:bCs/>
          <w:color w:val="2E5090"/>
          <w:sz w:val="26"/>
          <w:szCs w:val="26"/>
        </w:rPr>
        <w:t xml:space="preserve">Step 5: Likelihood × Severity integration</w:t>
      </w:r>
    </w:p>
    <w:p>
      <w:pPr>
        <w:spacing w:after="120"/>
      </w:pPr>
      <w:r>
        <w:rPr>
          <w:rFonts w:ascii="Calibri" w:cs="Calibri" w:eastAsia="Calibri" w:hAnsi="Calibri"/>
          <w:sz w:val="22"/>
          <w:szCs w:val="22"/>
        </w:rPr>
        <w:t xml:space="preserve">The tool displays the Agent–PSR assignment matrix (Table 8) with the current combination highlighted. A guidance note maps PSR levels to likelihood categories: Low PSR = Rare–Possible; Moderate PSR = Possible–Likely; High PSR = Likely–Very Likely.</w:t>
      </w:r>
    </w:p>
    <w:p>
      <w:pPr>
        <w:pStyle w:val="Heading2"/>
        <w:spacing w:after="120" w:before="240"/>
      </w:pPr>
      <w:r>
        <w:rPr>
          <w:rFonts w:ascii="Calibri" w:cs="Calibri" w:eastAsia="Calibri" w:hAnsi="Calibri"/>
          <w:b/>
          <w:bCs/>
          <w:color w:val="2E5090"/>
          <w:sz w:val="26"/>
          <w:szCs w:val="26"/>
        </w:rPr>
        <w:t xml:space="preserve">Step 6: BSL assignment</w:t>
      </w:r>
    </w:p>
    <w:p>
      <w:pPr>
        <w:spacing w:after="120"/>
      </w:pPr>
      <w:r>
        <w:rPr>
          <w:rFonts w:ascii="Calibri" w:cs="Calibri" w:eastAsia="Calibri" w:hAnsi="Calibri"/>
          <w:sz w:val="22"/>
          <w:szCs w:val="22"/>
        </w:rPr>
        <w:t xml:space="preserve">The assigned BSL is displayed prominently. For RG3* agents assigned BSL-2+, a warning note details the four mandatory conditions. Enter the written justification narrative for the assignment.</w:t>
      </w:r>
    </w:p>
    <w:p>
      <w:pPr>
        <w:pStyle w:val="Heading2"/>
        <w:spacing w:after="120" w:before="240"/>
      </w:pPr>
      <w:r>
        <w:rPr>
          <w:rFonts w:ascii="Calibri" w:cs="Calibri" w:eastAsia="Calibri" w:hAnsi="Calibri"/>
          <w:b/>
          <w:bCs/>
          <w:color w:val="2E5090"/>
          <w:sz w:val="26"/>
          <w:szCs w:val="26"/>
        </w:rPr>
        <w:t xml:space="preserve">Step 7: Control selection</w:t>
      </w:r>
    </w:p>
    <w:p>
      <w:pPr>
        <w:spacing w:after="120"/>
      </w:pPr>
      <w:r>
        <w:rPr>
          <w:rFonts w:ascii="Calibri" w:cs="Calibri" w:eastAsia="Calibri" w:hAnsi="Calibri"/>
          <w:sz w:val="22"/>
          <w:szCs w:val="22"/>
        </w:rPr>
        <w:t xml:space="preserve">The tool presents recommended engineering controls, PPE, and administrative measures based on the assigned BSL. Check applicable controls and add any procedure-specific additional controls in the free-text field.</w:t>
      </w:r>
    </w:p>
    <w:p>
      <w:pPr>
        <w:pStyle w:val="Heading2"/>
        <w:spacing w:after="120" w:before="240"/>
      </w:pPr>
      <w:r>
        <w:rPr>
          <w:rFonts w:ascii="Calibri" w:cs="Calibri" w:eastAsia="Calibri" w:hAnsi="Calibri"/>
          <w:b/>
          <w:bCs/>
          <w:color w:val="2E5090"/>
          <w:sz w:val="26"/>
          <w:szCs w:val="26"/>
        </w:rPr>
        <w:t xml:space="preserve">Step 8: Documentation and review</w:t>
      </w:r>
    </w:p>
    <w:p>
      <w:pPr>
        <w:spacing w:after="120"/>
      </w:pPr>
      <w:r>
        <w:rPr>
          <w:rFonts w:ascii="Calibri" w:cs="Calibri" w:eastAsia="Calibri" w:hAnsi="Calibri"/>
          <w:sz w:val="22"/>
          <w:szCs w:val="22"/>
        </w:rPr>
        <w:t xml:space="preserve">Enter assessor name, institution, date, and review triggers (conditions that would require reassessment: agent change, procedure modification, incident, scale increase, annual review). A summary of the complete assessment is displayed for final review.</w:t>
      </w:r>
    </w:p>
    <w:p>
      <w:pPr>
        <w:spacing w:after="120"/>
      </w:pPr>
      <w:r>
        <w:rPr>
          <w:rFonts w:ascii="Calibri" w:cs="Calibri" w:eastAsia="Calibri" w:hAnsi="Calibri"/>
          <w:sz w:val="22"/>
          <w:szCs w:val="22"/>
        </w:rPr>
        <w:t xml:space="preserve">Export options: "Export" generates a structured TXT report. "Print PDF" uses the browser’s print dialog to save as PDF.</w:t>
      </w:r>
    </w:p>
    <w:p>
      <w:r>
        <w:br w:type="page"/>
      </w:r>
    </w:p>
    <w:p>
      <w:pPr>
        <w:pStyle w:val="Heading1"/>
        <w:spacing w:after="120" w:before="360"/>
      </w:pPr>
      <w:r>
        <w:rPr>
          <w:rFonts w:ascii="Calibri" w:cs="Calibri" w:eastAsia="Calibri" w:hAnsi="Calibri"/>
          <w:b/>
          <w:bCs/>
          <w:color w:val="2E5090"/>
          <w:sz w:val="32"/>
          <w:szCs w:val="32"/>
        </w:rPr>
        <w:t xml:space="preserve">5. Assessment Platform: multi-user workflow</w:t>
      </w:r>
    </w:p>
    <w:p>
      <w:pPr>
        <w:pStyle w:val="Heading2"/>
        <w:spacing w:after="120" w:before="240"/>
      </w:pPr>
      <w:r>
        <w:rPr>
          <w:rFonts w:ascii="Calibri" w:cs="Calibri" w:eastAsia="Calibri" w:hAnsi="Calibri"/>
          <w:b/>
          <w:bCs/>
          <w:color w:val="2E5090"/>
          <w:sz w:val="26"/>
          <w:szCs w:val="26"/>
        </w:rPr>
        <w:t xml:space="preserve">5.1. Initial setup</w:t>
      </w:r>
    </w:p>
    <w:p>
      <w:pPr>
        <w:spacing w:after="120"/>
      </w:pPr>
      <w:r>
        <w:rPr>
          <w:rFonts w:ascii="Calibri" w:cs="Calibri" w:eastAsia="Calibri" w:hAnsi="Calibri"/>
          <w:sz w:val="22"/>
          <w:szCs w:val="22"/>
        </w:rPr>
        <w:t xml:space="preserve">On first access, the platform asks for your profile: full name, institution, and role (PI, Biosafety Officer, IBC Member, or Researcher). This information is attached to every assessment for audit trail purposes.</w:t>
      </w:r>
    </w:p>
    <w:p>
      <w:pPr>
        <w:pStyle w:val="Heading2"/>
        <w:spacing w:after="120" w:before="240"/>
      </w:pPr>
      <w:r>
        <w:rPr>
          <w:rFonts w:ascii="Calibri" w:cs="Calibri" w:eastAsia="Calibri" w:hAnsi="Calibri"/>
          <w:b/>
          <w:bCs/>
          <w:color w:val="2E5090"/>
          <w:sz w:val="26"/>
          <w:szCs w:val="26"/>
        </w:rPr>
        <w:t xml:space="preserve">5.2. Dashboard</w:t>
      </w:r>
    </w:p>
    <w:p>
      <w:pPr>
        <w:spacing w:after="120"/>
      </w:pPr>
      <w:r>
        <w:rPr>
          <w:rFonts w:ascii="Calibri" w:cs="Calibri" w:eastAsia="Calibri" w:hAnsi="Calibri"/>
          <w:sz w:val="22"/>
          <w:szCs w:val="22"/>
        </w:rPr>
        <w:t xml:space="preserve">The dashboard shows: total assessments, finalized count, and drafts count. Each assessment card displays the agent name, date, institution, status (draft/final), adjusted PSR, and assigned BSL. Click any card to edit.</w:t>
      </w:r>
    </w:p>
    <w:p>
      <w:pPr>
        <w:spacing w:after="120"/>
      </w:pPr>
      <w:r>
        <w:rPr>
          <w:rFonts w:ascii="Calibri" w:cs="Calibri" w:eastAsia="Calibri" w:hAnsi="Calibri"/>
          <w:sz w:val="22"/>
          <w:szCs w:val="22"/>
        </w:rPr>
        <w:t xml:space="preserve">Available actions from the dashboard:</w:t>
      </w:r>
    </w:p>
    <w:p>
      <w:pPr>
        <w:spacing w:after="60"/>
        <w:ind w:left="360" w:hanging="180"/>
      </w:pPr>
      <w:r>
        <w:rPr>
          <w:rFonts w:ascii="Calibri" w:cs="Calibri" w:eastAsia="Calibri" w:hAnsi="Calibri"/>
          <w:sz w:val="22"/>
          <w:szCs w:val="22"/>
        </w:rPr>
        <w:t xml:space="preserve">• + New assessment: starts a blank 8-step evaluation</w:t>
      </w:r>
    </w:p>
    <w:p>
      <w:pPr>
        <w:spacing w:after="60"/>
        <w:ind w:left="360" w:hanging="180"/>
      </w:pPr>
      <w:r>
        <w:rPr>
          <w:rFonts w:ascii="Calibri" w:cs="Calibri" w:eastAsia="Calibri" w:hAnsi="Calibri"/>
          <w:sz w:val="22"/>
          <w:szCs w:val="22"/>
        </w:rPr>
        <w:t xml:space="preserve">• Load S3/S4 examples: imports the two worked examples from Supplementary Appendix S2</w:t>
      </w:r>
    </w:p>
    <w:p>
      <w:pPr>
        <w:spacing w:after="60"/>
        <w:ind w:left="360" w:hanging="180"/>
      </w:pPr>
      <w:r>
        <w:rPr>
          <w:rFonts w:ascii="Calibri" w:cs="Calibri" w:eastAsia="Calibri" w:hAnsi="Calibri"/>
          <w:sz w:val="22"/>
          <w:szCs w:val="22"/>
        </w:rPr>
        <w:t xml:space="preserve">• IRR analysis: opens the inter-rater reliability module</w:t>
      </w:r>
    </w:p>
    <w:p>
      <w:pPr>
        <w:spacing w:after="60"/>
        <w:ind w:left="360" w:hanging="180"/>
      </w:pPr>
      <w:r>
        <w:rPr>
          <w:rFonts w:ascii="Calibri" w:cs="Calibri" w:eastAsia="Calibri" w:hAnsi="Calibri"/>
          <w:sz w:val="22"/>
          <w:szCs w:val="22"/>
        </w:rPr>
        <w:t xml:space="preserve">• Analytics: opens the data analytics module</w:t>
      </w:r>
    </w:p>
    <w:p>
      <w:pPr>
        <w:spacing w:after="60"/>
        <w:ind w:left="360" w:hanging="180"/>
      </w:pPr>
      <w:r>
        <w:rPr>
          <w:rFonts w:ascii="Calibri" w:cs="Calibri" w:eastAsia="Calibri" w:hAnsi="Calibri"/>
          <w:sz w:val="22"/>
          <w:szCs w:val="22"/>
        </w:rPr>
        <w:t xml:space="preserve">• Settings: modify profile information</w:t>
      </w:r>
    </w:p>
    <w:p>
      <w:pPr>
        <w:pStyle w:val="Heading2"/>
        <w:spacing w:after="120" w:before="240"/>
      </w:pPr>
      <w:r>
        <w:rPr>
          <w:rFonts w:ascii="Calibri" w:cs="Calibri" w:eastAsia="Calibri" w:hAnsi="Calibri"/>
          <w:b/>
          <w:bCs/>
          <w:color w:val="2E5090"/>
          <w:sz w:val="26"/>
          <w:szCs w:val="26"/>
        </w:rPr>
        <w:t xml:space="preserve">5.3. Assessment lifecycle</w:t>
      </w:r>
    </w:p>
    <w:p>
      <w:pPr>
        <w:spacing w:after="120"/>
      </w:pPr>
      <w:r>
        <w:rPr>
          <w:rFonts w:ascii="Calibri" w:cs="Calibri" w:eastAsia="Calibri" w:hAnsi="Calibri"/>
          <w:sz w:val="22"/>
          <w:szCs w:val="22"/>
        </w:rPr>
        <w:t xml:space="preserve">Assessments progress through two states:</w:t>
      </w:r>
    </w:p>
    <w:p>
      <w:pPr>
        <w:spacing w:after="60"/>
        <w:ind w:left="360" w:hanging="180"/>
      </w:pPr>
      <w:r>
        <w:rPr>
          <w:rFonts w:ascii="Calibri" w:cs="Calibri" w:eastAsia="Calibri" w:hAnsi="Calibri"/>
          <w:sz w:val="22"/>
          <w:szCs w:val="22"/>
        </w:rPr>
        <w:t xml:space="preserve">• Draft: work in progress, editable, not included in IRR analysis</w:t>
      </w:r>
    </w:p>
    <w:p>
      <w:pPr>
        <w:spacing w:after="60"/>
        <w:ind w:left="360" w:hanging="180"/>
      </w:pPr>
      <w:r>
        <w:rPr>
          <w:rFonts w:ascii="Calibri" w:cs="Calibri" w:eastAsia="Calibri" w:hAnsi="Calibri"/>
          <w:sz w:val="22"/>
          <w:szCs w:val="22"/>
        </w:rPr>
        <w:t xml:space="preserve">• Final: completed assessment, included in IRR analysis. Can still be edited (will be re-saved as a new version).</w:t>
      </w:r>
    </w:p>
    <w:p>
      <w:pPr>
        <w:spacing w:after="120"/>
      </w:pPr>
      <w:r>
        <w:rPr>
          <w:rFonts w:ascii="Calibri" w:cs="Calibri" w:eastAsia="Calibri" w:hAnsi="Calibri"/>
          <w:sz w:val="22"/>
          <w:szCs w:val="22"/>
        </w:rPr>
        <w:t xml:space="preserve">Use "Save draft" at any point to preserve your work. Use "Finalize" when the assessment is complete and approved. Finalizing automatically triggers a JSON backup download.</w:t>
      </w:r>
    </w:p>
    <w:p>
      <w:pPr>
        <w:pStyle w:val="Heading2"/>
        <w:spacing w:after="120" w:before="240"/>
      </w:pPr>
      <w:r>
        <w:rPr>
          <w:rFonts w:ascii="Calibri" w:cs="Calibri" w:eastAsia="Calibri" w:hAnsi="Calibri"/>
          <w:b/>
          <w:bCs/>
          <w:color w:val="2E5090"/>
          <w:sz w:val="26"/>
          <w:szCs w:val="26"/>
        </w:rPr>
        <w:t xml:space="preserve">5.4. Inter-rater reliability (IRR)</w:t>
      </w:r>
    </w:p>
    <w:p>
      <w:pPr>
        <w:spacing w:after="120"/>
      </w:pPr>
      <w:r>
        <w:rPr>
          <w:rFonts w:ascii="Calibri" w:cs="Calibri" w:eastAsia="Calibri" w:hAnsi="Calibri"/>
          <w:sz w:val="22"/>
          <w:szCs w:val="22"/>
        </w:rPr>
        <w:t xml:space="preserve">The platform compares BSL assignments across evaluators for the same agent (matched by agent name). It requires at least 2 finalized assessments of the same agent by different evaluators.</w:t>
      </w:r>
    </w:p>
    <w:p>
      <w:pPr>
        <w:spacing w:after="120"/>
      </w:pPr>
      <w:r>
        <w:rPr>
          <w:rFonts w:ascii="Calibri" w:cs="Calibri" w:eastAsia="Calibri" w:hAnsi="Calibri"/>
          <w:sz w:val="22"/>
          <w:szCs w:val="22"/>
        </w:rPr>
        <w:t xml:space="preserve">The IRR module displays: agreement rate (%), concordant pairs, total comparisons, and per-agent comparison with discrepancy alerts. For full Cohen’s κ computation with confusion matrices, use the Data Analytics module.</w:t>
      </w:r>
    </w:p>
    <w:p>
      <w:r>
        <w:br w:type="page"/>
      </w:r>
    </w:p>
    <w:p>
      <w:pPr>
        <w:pStyle w:val="Heading1"/>
        <w:spacing w:after="120" w:before="360"/>
      </w:pPr>
      <w:r>
        <w:rPr>
          <w:rFonts w:ascii="Calibri" w:cs="Calibri" w:eastAsia="Calibri" w:hAnsi="Calibri"/>
          <w:b/>
          <w:bCs/>
          <w:color w:val="2E5090"/>
          <w:sz w:val="32"/>
          <w:szCs w:val="32"/>
        </w:rPr>
        <w:t xml:space="preserve">6. Data management: backup, import, and export</w:t>
      </w:r>
    </w:p>
    <w:p>
      <w:pPr>
        <w:spacing w:after="120"/>
      </w:pPr>
      <w:r>
        <w:rPr>
          <w:rFonts w:ascii="Calibri" w:cs="Calibri" w:eastAsia="Calibri" w:hAnsi="Calibri"/>
          <w:b/>
          <w:bCs/>
          <w:color w:val="A32D2D"/>
          <w:sz w:val="22"/>
          <w:szCs w:val="22"/>
        </w:rPr>
        <w:t xml:space="preserve">Critical: </w:t>
      </w:r>
      <w:r>
        <w:rPr>
          <w:rFonts w:ascii="Calibri" w:cs="Calibri" w:eastAsia="Calibri" w:hAnsi="Calibri"/>
          <w:sz w:val="22"/>
          <w:szCs w:val="22"/>
        </w:rPr>
        <w:t xml:space="preserve">Data in the platform is stored in browser localStorage, which is inherently volatile. It can be lost by clearing browser history, changing devices, or browser storage eviction. The backup system described below is essential for laboratory use.</w:t>
      </w:r>
    </w:p>
    <w:p>
      <w:pPr>
        <w:pStyle w:val="Heading2"/>
        <w:spacing w:after="120" w:before="240"/>
      </w:pPr>
      <w:r>
        <w:rPr>
          <w:rFonts w:ascii="Calibri" w:cs="Calibri" w:eastAsia="Calibri" w:hAnsi="Calibri"/>
          <w:b/>
          <w:bCs/>
          <w:color w:val="2E5090"/>
          <w:sz w:val="26"/>
          <w:szCs w:val="26"/>
        </w:rPr>
        <w:t xml:space="preserve">6.1. Automatic backup</w:t>
      </w:r>
    </w:p>
    <w:p>
      <w:pPr>
        <w:spacing w:after="120"/>
      </w:pPr>
      <w:r>
        <w:rPr>
          <w:rFonts w:ascii="Calibri" w:cs="Calibri" w:eastAsia="Calibri" w:hAnsi="Calibri"/>
          <w:sz w:val="22"/>
          <w:szCs w:val="22"/>
        </w:rPr>
        <w:t xml:space="preserve">Every time an assessment is finalized, the platform automatically downloads a JSON backup file containing all assessments and the user profile. The file is named PSR_AutoBackup_[datetime].json and saved to the browser’s default download folder.</w:t>
      </w:r>
    </w:p>
    <w:p>
      <w:pPr>
        <w:spacing w:after="120"/>
      </w:pPr>
      <w:r>
        <w:rPr>
          <w:rFonts w:ascii="Calibri" w:cs="Calibri" w:eastAsia="Calibri" w:hAnsi="Calibri"/>
          <w:b/>
          <w:bCs/>
          <w:sz w:val="22"/>
          <w:szCs w:val="22"/>
        </w:rPr>
        <w:t xml:space="preserve">Recommended practice: </w:t>
      </w:r>
      <w:r>
        <w:rPr>
          <w:rFonts w:ascii="Calibri" w:cs="Calibri" w:eastAsia="Calibri" w:hAnsi="Calibri"/>
          <w:sz w:val="22"/>
          <w:szCs w:val="22"/>
        </w:rPr>
        <w:t xml:space="preserve">Configure your download folder to point to a shared network drive or cloud-synced folder accessible by the laboratory’s biosafety team.</w:t>
      </w:r>
    </w:p>
    <w:p>
      <w:pPr>
        <w:pStyle w:val="Heading2"/>
        <w:spacing w:after="120" w:before="240"/>
      </w:pPr>
      <w:r>
        <w:rPr>
          <w:rFonts w:ascii="Calibri" w:cs="Calibri" w:eastAsia="Calibri" w:hAnsi="Calibri"/>
          <w:b/>
          <w:bCs/>
          <w:color w:val="2E5090"/>
          <w:sz w:val="26"/>
          <w:szCs w:val="26"/>
        </w:rPr>
        <w:t xml:space="preserve">6.2. Manual backup</w:t>
      </w:r>
    </w:p>
    <w:p>
      <w:pPr>
        <w:spacing w:after="120"/>
      </w:pPr>
      <w:r>
        <w:rPr>
          <w:rFonts w:ascii="Calibri" w:cs="Calibri" w:eastAsia="Calibri" w:hAnsi="Calibri"/>
          <w:sz w:val="22"/>
          <w:szCs w:val="22"/>
        </w:rPr>
        <w:t xml:space="preserve">Click "Backup (JSON)" on the dashboard to manually export all data at any time. Use this before clearing browser data, before system updates, or at regular intervals (e.g., weekly).</w:t>
      </w:r>
    </w:p>
    <w:p>
      <w:pPr>
        <w:pStyle w:val="Heading2"/>
        <w:spacing w:after="120" w:before="240"/>
      </w:pPr>
      <w:r>
        <w:rPr>
          <w:rFonts w:ascii="Calibri" w:cs="Calibri" w:eastAsia="Calibri" w:hAnsi="Calibri"/>
          <w:b/>
          <w:bCs/>
          <w:color w:val="2E5090"/>
          <w:sz w:val="26"/>
          <w:szCs w:val="26"/>
        </w:rPr>
        <w:t xml:space="preserve">6.3. Import and consolidation</w:t>
      </w:r>
    </w:p>
    <w:p>
      <w:pPr>
        <w:spacing w:after="120"/>
      </w:pPr>
      <w:r>
        <w:rPr>
          <w:rFonts w:ascii="Calibri" w:cs="Calibri" w:eastAsia="Calibri" w:hAnsi="Calibri"/>
          <w:sz w:val="22"/>
          <w:szCs w:val="22"/>
        </w:rPr>
        <w:t xml:space="preserve">Click "Import backup" and select any JSON backup file. The import uses merge logic:</w:t>
      </w:r>
    </w:p>
    <w:p>
      <w:pPr>
        <w:spacing w:after="60"/>
        <w:ind w:left="360" w:hanging="180"/>
      </w:pPr>
      <w:r>
        <w:rPr>
          <w:rFonts w:ascii="Calibri" w:cs="Calibri" w:eastAsia="Calibri" w:hAnsi="Calibri"/>
          <w:sz w:val="22"/>
          <w:szCs w:val="22"/>
        </w:rPr>
        <w:t xml:space="preserve">• New assessments (ID not found locally): added</w:t>
      </w:r>
    </w:p>
    <w:p>
      <w:pPr>
        <w:spacing w:after="60"/>
        <w:ind w:left="360" w:hanging="180"/>
      </w:pPr>
      <w:r>
        <w:rPr>
          <w:rFonts w:ascii="Calibri" w:cs="Calibri" w:eastAsia="Calibri" w:hAnsi="Calibri"/>
          <w:sz w:val="22"/>
          <w:szCs w:val="22"/>
        </w:rPr>
        <w:t xml:space="preserve">• Existing assessments with a newer version in the file: updated</w:t>
      </w:r>
    </w:p>
    <w:p>
      <w:pPr>
        <w:spacing w:after="60"/>
        <w:ind w:left="360" w:hanging="180"/>
      </w:pPr>
      <w:r>
        <w:rPr>
          <w:rFonts w:ascii="Calibri" w:cs="Calibri" w:eastAsia="Calibri" w:hAnsi="Calibri"/>
          <w:sz w:val="22"/>
          <w:szCs w:val="22"/>
        </w:rPr>
        <w:t xml:space="preserve">• Existing assessments already current: skipped</w:t>
      </w:r>
    </w:p>
    <w:p>
      <w:pPr>
        <w:spacing w:after="120"/>
      </w:pPr>
      <w:r>
        <w:rPr>
          <w:rFonts w:ascii="Calibri" w:cs="Calibri" w:eastAsia="Calibri" w:hAnsi="Calibri"/>
          <w:sz w:val="22"/>
          <w:szCs w:val="22"/>
        </w:rPr>
        <w:t xml:space="preserve">This allows consolidation of data from multiple workstations into a single database for analysis.</w:t>
      </w:r>
    </w:p>
    <w:p>
      <w:pPr>
        <w:pStyle w:val="Heading2"/>
        <w:spacing w:after="120" w:before="240"/>
      </w:pPr>
      <w:r>
        <w:rPr>
          <w:rFonts w:ascii="Calibri" w:cs="Calibri" w:eastAsia="Calibri" w:hAnsi="Calibri"/>
          <w:b/>
          <w:bCs/>
          <w:color w:val="2E5090"/>
          <w:sz w:val="26"/>
          <w:szCs w:val="26"/>
        </w:rPr>
        <w:t xml:space="preserve">6.4. Recommended laboratory workflow</w:t>
      </w:r>
    </w:p>
    <w:p>
      <w:pPr>
        <w:spacing w:after="60"/>
        <w:ind w:left="360" w:hanging="360"/>
      </w:pPr>
      <w:r>
        <w:rPr>
          <w:rFonts w:ascii="Calibri" w:cs="Calibri" w:eastAsia="Calibri" w:hAnsi="Calibri"/>
          <w:b/>
          <w:bCs/>
          <w:color w:val="2E5090"/>
          <w:sz w:val="22"/>
          <w:szCs w:val="22"/>
        </w:rPr>
        <w:t xml:space="preserve">1. </w:t>
      </w:r>
      <w:r>
        <w:rPr>
          <w:rFonts w:ascii="Calibri" w:cs="Calibri" w:eastAsia="Calibri" w:hAnsi="Calibri"/>
          <w:sz w:val="22"/>
          <w:szCs w:val="22"/>
        </w:rPr>
        <w:t xml:space="preserve">Each evaluator works on their own workstation, performing assessments in the platform.</w:t>
      </w:r>
    </w:p>
    <w:p>
      <w:pPr>
        <w:spacing w:after="60"/>
        <w:ind w:left="360" w:hanging="360"/>
      </w:pPr>
      <w:r>
        <w:rPr>
          <w:rFonts w:ascii="Calibri" w:cs="Calibri" w:eastAsia="Calibri" w:hAnsi="Calibri"/>
          <w:b/>
          <w:bCs/>
          <w:color w:val="2E5090"/>
          <w:sz w:val="22"/>
          <w:szCs w:val="22"/>
        </w:rPr>
        <w:t xml:space="preserve">2. </w:t>
      </w:r>
      <w:r>
        <w:rPr>
          <w:rFonts w:ascii="Calibri" w:cs="Calibri" w:eastAsia="Calibri" w:hAnsi="Calibri"/>
          <w:sz w:val="22"/>
          <w:szCs w:val="22"/>
        </w:rPr>
        <w:t xml:space="preserve">Auto-backups are saved to a shared laboratory folder after each finalization.</w:t>
      </w:r>
    </w:p>
    <w:p>
      <w:pPr>
        <w:spacing w:after="60"/>
        <w:ind w:left="360" w:hanging="360"/>
      </w:pPr>
      <w:r>
        <w:rPr>
          <w:rFonts w:ascii="Calibri" w:cs="Calibri" w:eastAsia="Calibri" w:hAnsi="Calibri"/>
          <w:b/>
          <w:bCs/>
          <w:color w:val="2E5090"/>
          <w:sz w:val="22"/>
          <w:szCs w:val="22"/>
        </w:rPr>
        <w:t xml:space="preserve">3. </w:t>
      </w:r>
      <w:r>
        <w:rPr>
          <w:rFonts w:ascii="Calibri" w:cs="Calibri" w:eastAsia="Calibri" w:hAnsi="Calibri"/>
          <w:sz w:val="22"/>
          <w:szCs w:val="22"/>
        </w:rPr>
        <w:t xml:space="preserve">Periodically (e.g., monthly), the biosafety officer imports all backup files into one workstation.</w:t>
      </w:r>
    </w:p>
    <w:p>
      <w:pPr>
        <w:spacing w:after="60"/>
        <w:ind w:left="360" w:hanging="360"/>
      </w:pPr>
      <w:r>
        <w:rPr>
          <w:rFonts w:ascii="Calibri" w:cs="Calibri" w:eastAsia="Calibri" w:hAnsi="Calibri"/>
          <w:b/>
          <w:bCs/>
          <w:color w:val="2E5090"/>
          <w:sz w:val="22"/>
          <w:szCs w:val="22"/>
        </w:rPr>
        <w:t xml:space="preserve">4. </w:t>
      </w:r>
      <w:r>
        <w:rPr>
          <w:rFonts w:ascii="Calibri" w:cs="Calibri" w:eastAsia="Calibri" w:hAnsi="Calibri"/>
          <w:sz w:val="22"/>
          <w:szCs w:val="22"/>
        </w:rPr>
        <w:t xml:space="preserve">From the consolidated workstation, export CSV for statistical analysis or use the Analytics module for IRR computation.</w:t>
      </w:r>
    </w:p>
    <w:p>
      <w:pPr>
        <w:spacing w:after="60"/>
        <w:ind w:left="360" w:hanging="360"/>
      </w:pPr>
      <w:r>
        <w:rPr>
          <w:rFonts w:ascii="Calibri" w:cs="Calibri" w:eastAsia="Calibri" w:hAnsi="Calibri"/>
          <w:b/>
          <w:bCs/>
          <w:color w:val="2E5090"/>
          <w:sz w:val="22"/>
          <w:szCs w:val="22"/>
        </w:rPr>
        <w:t xml:space="preserve">5. </w:t>
      </w:r>
      <w:r>
        <w:rPr>
          <w:rFonts w:ascii="Calibri" w:cs="Calibri" w:eastAsia="Calibri" w:hAnsi="Calibri"/>
          <w:sz w:val="22"/>
          <w:szCs w:val="22"/>
        </w:rPr>
        <w:t xml:space="preserve">Archive backup files with date stamps for regulatory compliance and audit trail.</w:t>
      </w:r>
    </w:p>
    <w:p>
      <w:pPr>
        <w:pStyle w:val="Heading2"/>
        <w:spacing w:after="120" w:before="240"/>
      </w:pPr>
      <w:r>
        <w:rPr>
          <w:rFonts w:ascii="Calibri" w:cs="Calibri" w:eastAsia="Calibri" w:hAnsi="Calibri"/>
          <w:b/>
          <w:bCs/>
          <w:color w:val="2E5090"/>
          <w:sz w:val="26"/>
          <w:szCs w:val="26"/>
        </w:rPr>
        <w:t xml:space="preserve">6.5. CSV export</w:t>
      </w:r>
    </w:p>
    <w:p>
      <w:pPr>
        <w:spacing w:after="120"/>
      </w:pPr>
      <w:r>
        <w:rPr>
          <w:rFonts w:ascii="Calibri" w:cs="Calibri" w:eastAsia="Calibri" w:hAnsi="Calibri"/>
          <w:sz w:val="22"/>
          <w:szCs w:val="22"/>
        </w:rPr>
        <w:t xml:space="preserve">Click "Export CSV" to generate a spreadsheet-compatible file with one row per assessment. Columns include: ID, Agent, Risk Group, Effective RG, Max PSR, Adjusted PSR, BSL, Unfavorable/Favorable factors, Status, Reviewer, Institution, and Date. Compatible with Excel, R, SPSS, and any statistical software.</w:t>
      </w:r>
    </w:p>
    <w:p>
      <w:r>
        <w:br w:type="page"/>
      </w:r>
    </w:p>
    <w:p>
      <w:pPr>
        <w:pStyle w:val="Heading1"/>
        <w:spacing w:after="120" w:before="360"/>
      </w:pPr>
      <w:r>
        <w:rPr>
          <w:rFonts w:ascii="Calibri" w:cs="Calibri" w:eastAsia="Calibri" w:hAnsi="Calibri"/>
          <w:b/>
          <w:bCs/>
          <w:color w:val="2E5090"/>
          <w:sz w:val="32"/>
          <w:szCs w:val="32"/>
        </w:rPr>
        <w:t xml:space="preserve">7. Data Analytics Module</w:t>
      </w:r>
    </w:p>
    <w:p>
      <w:pPr>
        <w:spacing w:after="120"/>
      </w:pPr>
      <w:r>
        <w:rPr>
          <w:rFonts w:ascii="Calibri" w:cs="Calibri" w:eastAsia="Calibri" w:hAnsi="Calibri"/>
          <w:sz w:val="22"/>
          <w:szCs w:val="22"/>
        </w:rPr>
        <w:t xml:space="preserve">Accessible from the dashboard or directly via analytics.html. Reads assessment data from localStorage. Provides:</w:t>
      </w:r>
    </w:p>
    <w:p>
      <w:pPr>
        <w:spacing w:after="60"/>
        <w:ind w:left="360" w:hanging="180"/>
      </w:pPr>
      <w:r>
        <w:rPr>
          <w:rFonts w:ascii="Calibri" w:cs="Calibri" w:eastAsia="Calibri" w:hAnsi="Calibri"/>
          <w:sz w:val="22"/>
          <w:szCs w:val="22"/>
        </w:rPr>
        <w:t xml:space="preserve">• BSL distribution: bar chart showing how many assessments are assigned to each BSL level</w:t>
      </w:r>
    </w:p>
    <w:p>
      <w:pPr>
        <w:spacing w:after="60"/>
        <w:ind w:left="360" w:hanging="180"/>
      </w:pPr>
      <w:r>
        <w:rPr>
          <w:rFonts w:ascii="Calibri" w:cs="Calibri" w:eastAsia="Calibri" w:hAnsi="Calibri"/>
          <w:sz w:val="22"/>
          <w:szCs w:val="22"/>
        </w:rPr>
        <w:t xml:space="preserve">• Escalation analysis: identifies which modulating factors most frequently drive BSL escalation across the portfolio</w:t>
      </w:r>
    </w:p>
    <w:p>
      <w:pPr>
        <w:spacing w:after="60"/>
        <w:ind w:left="360" w:hanging="180"/>
      </w:pPr>
      <w:r>
        <w:rPr>
          <w:rFonts w:ascii="Calibri" w:cs="Calibri" w:eastAsia="Calibri" w:hAnsi="Calibri"/>
          <w:sz w:val="22"/>
          <w:szCs w:val="22"/>
        </w:rPr>
        <w:t xml:space="preserve">• Cohen’s κ (kappa) computation: calculates inter-rater reliability from paired assessments with interpretation per Landis &amp; Koch (1977): κ &lt; 0.20 = Poor, 0.21–0.40 = Fair, 0.41–0.60 = Moderate, 0.61–0.80 = Substantial, 0.81–1.00 = Almost perfect</w:t>
      </w:r>
    </w:p>
    <w:p>
      <w:pPr>
        <w:spacing w:after="60"/>
        <w:ind w:left="360" w:hanging="180"/>
      </w:pPr>
      <w:r>
        <w:rPr>
          <w:rFonts w:ascii="Calibri" w:cs="Calibri" w:eastAsia="Calibri" w:hAnsi="Calibri"/>
          <w:sz w:val="22"/>
          <w:szCs w:val="22"/>
        </w:rPr>
        <w:t xml:space="preserve">• Confusion matrix: shows the cross-tabulation of BSL assignments between paired evaluators</w:t>
      </w:r>
    </w:p>
    <w:p>
      <w:pPr>
        <w:spacing w:after="60"/>
        <w:ind w:left="360" w:hanging="180"/>
      </w:pPr>
      <w:r>
        <w:rPr>
          <w:rFonts w:ascii="Calibri" w:cs="Calibri" w:eastAsia="Calibri" w:hAnsi="Calibri"/>
          <w:sz w:val="22"/>
          <w:szCs w:val="22"/>
        </w:rPr>
        <w:t xml:space="preserve">• Discrepancy report: lists all agent–procedure scenarios where evaluators disagreed on BSL assignment</w:t>
      </w:r>
    </w:p>
    <w:p>
      <w:pPr>
        <w:spacing w:after="60"/>
        <w:ind w:left="360" w:hanging="180"/>
      </w:pPr>
      <w:r>
        <w:rPr>
          <w:rFonts w:ascii="Calibri" w:cs="Calibri" w:eastAsia="Calibri" w:hAnsi="Calibri"/>
          <w:sz w:val="22"/>
          <w:szCs w:val="22"/>
        </w:rPr>
        <w:t xml:space="preserve">• Temporal trends: tracks assessment volume and BSL distribution over time</w:t>
      </w:r>
    </w:p>
    <w:p>
      <w:pPr>
        <w:spacing w:after="60"/>
        <w:ind w:left="360" w:hanging="180"/>
      </w:pPr>
      <w:r>
        <w:rPr>
          <w:rFonts w:ascii="Calibri" w:cs="Calibri" w:eastAsia="Calibri" w:hAnsi="Calibri"/>
          <w:sz w:val="22"/>
          <w:szCs w:val="22"/>
        </w:rPr>
        <w:t xml:space="preserve">• CSV export: download the full dataset for external analysis</w:t>
      </w:r>
    </w:p>
    <w:p>
      <w:r>
        <w:br w:type="page"/>
      </w:r>
    </w:p>
    <w:p>
      <w:pPr>
        <w:pStyle w:val="Heading1"/>
        <w:spacing w:after="120" w:before="360"/>
      </w:pPr>
      <w:r>
        <w:rPr>
          <w:rFonts w:ascii="Calibri" w:cs="Calibri" w:eastAsia="Calibri" w:hAnsi="Calibri"/>
          <w:b/>
          <w:bCs/>
          <w:color w:val="2E5090"/>
          <w:sz w:val="32"/>
          <w:szCs w:val="32"/>
        </w:rPr>
        <w:t xml:space="preserve">8. Algorithm reference</w:t>
      </w:r>
    </w:p>
    <w:p>
      <w:pPr>
        <w:pStyle w:val="Heading2"/>
        <w:spacing w:after="120" w:before="240"/>
      </w:pPr>
      <w:r>
        <w:rPr>
          <w:rFonts w:ascii="Calibri" w:cs="Calibri" w:eastAsia="Calibri" w:hAnsi="Calibri"/>
          <w:b/>
          <w:bCs/>
          <w:color w:val="2E5090"/>
          <w:sz w:val="26"/>
          <w:szCs w:val="26"/>
        </w:rPr>
        <w:t xml:space="preserve">8.1. PSR classification (Table 6)</w:t>
      </w:r>
    </w:p>
    <w:p>
      <w:pPr>
        <w:spacing w:after="120"/>
      </w:pPr>
      <w:r>
        <w:rPr>
          <w:rFonts w:ascii="Calibri" w:cs="Calibri" w:eastAsia="Calibri" w:hAnsi="Calibri"/>
          <w:sz w:val="22"/>
          <w:szCs w:val="22"/>
        </w:rPr>
        <w:t xml:space="preserve">Each procedure is classified based on the combination of aerosol generation, volume, and concentration. The algorithm counts how many of the three parameters fall into each category (low/moderate/high) and applies:</w:t>
      </w:r>
    </w:p>
    <w:p>
      <w:pPr>
        <w:spacing w:after="60"/>
        <w:ind w:left="360" w:hanging="180"/>
      </w:pPr>
      <w:r>
        <w:rPr>
          <w:rFonts w:ascii="Calibri" w:cs="Calibri" w:eastAsia="Calibri" w:hAnsi="Calibri"/>
          <w:sz w:val="22"/>
          <w:szCs w:val="22"/>
        </w:rPr>
        <w:t xml:space="preserve">• High PSR: ≥2 parameters high, or 1 high + 1 moderate</w:t>
      </w:r>
    </w:p>
    <w:p>
      <w:pPr>
        <w:spacing w:after="60"/>
        <w:ind w:left="360" w:hanging="180"/>
      </w:pPr>
      <w:r>
        <w:rPr>
          <w:rFonts w:ascii="Calibri" w:cs="Calibri" w:eastAsia="Calibri" w:hAnsi="Calibri"/>
          <w:sz w:val="22"/>
          <w:szCs w:val="22"/>
        </w:rPr>
        <w:t xml:space="preserve">• Moderate PSR: ≥2 parameters moderate, or 1 high + 2 low</w:t>
      </w:r>
    </w:p>
    <w:p>
      <w:pPr>
        <w:spacing w:after="60"/>
        <w:ind w:left="360" w:hanging="180"/>
      </w:pPr>
      <w:r>
        <w:rPr>
          <w:rFonts w:ascii="Calibri" w:cs="Calibri" w:eastAsia="Calibri" w:hAnsi="Calibri"/>
          <w:sz w:val="22"/>
          <w:szCs w:val="22"/>
        </w:rPr>
        <w:t xml:space="preserve">• Low PSR: all other combinations</w:t>
      </w:r>
    </w:p>
    <w:p>
      <w:pPr>
        <w:pStyle w:val="Heading2"/>
        <w:spacing w:after="120" w:before="240"/>
      </w:pPr>
      <w:r>
        <w:rPr>
          <w:rFonts w:ascii="Calibri" w:cs="Calibri" w:eastAsia="Calibri" w:hAnsi="Calibri"/>
          <w:b/>
          <w:bCs/>
          <w:color w:val="2E5090"/>
          <w:sz w:val="26"/>
          <w:szCs w:val="26"/>
        </w:rPr>
        <w:t xml:space="preserve">8.2. Escalation rule</w:t>
      </w:r>
    </w:p>
    <w:p>
      <w:pPr>
        <w:spacing w:after="120"/>
      </w:pPr>
      <w:r>
        <w:rPr>
          <w:rFonts w:ascii="Calibri" w:cs="Calibri" w:eastAsia="Calibri" w:hAnsi="Calibri"/>
          <w:sz w:val="22"/>
          <w:szCs w:val="22"/>
        </w:rPr>
        <w:t xml:space="preserve">If ≥2 modulating factors are scored as Unfavorable, the PSR is escalated one level: Low → Moderate, Moderate → High. High PSR cannot be escalated further. All factors are weighted equally; future versions may incorporate differential weighting.</w:t>
      </w:r>
    </w:p>
    <w:p>
      <w:pPr>
        <w:pStyle w:val="Heading2"/>
        <w:spacing w:after="120" w:before="240"/>
      </w:pPr>
      <w:r>
        <w:rPr>
          <w:rFonts w:ascii="Calibri" w:cs="Calibri" w:eastAsia="Calibri" w:hAnsi="Calibri"/>
          <w:b/>
          <w:bCs/>
          <w:color w:val="2E5090"/>
          <w:sz w:val="26"/>
          <w:szCs w:val="26"/>
        </w:rPr>
        <w:t xml:space="preserve">8.3. BSL assignment matrix (Table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026"/>
      </w:tblGrid>
      <w:tr>
        <w:tc>
          <w:tcPr>
            <w:tcW w:type="dxa" w:w="2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Risk Group</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Low PSR</w:t>
            </w:r>
          </w:p>
        </w:tc>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Moderate PSR</w:t>
            </w:r>
          </w:p>
        </w:tc>
        <w:tc>
          <w:tcPr>
            <w:tcW w:type="dxa" w:w="2026"/>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High PSR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bCs/>
                <w:sz w:val="20"/>
                <w:szCs w:val="20"/>
              </w:rPr>
              <w:t xml:space="preserve">RG1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BSL-1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BSL-1*</w:t>
            </w:r>
          </w:p>
        </w:tc>
        <w:tc>
          <w:tcPr>
            <w:tcW w:type="dxa" w:w="2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BSL-2**</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bCs/>
                <w:sz w:val="20"/>
                <w:szCs w:val="20"/>
              </w:rPr>
              <w:t xml:space="preserve">RG2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BSL-2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BSL-2</w:t>
            </w:r>
          </w:p>
        </w:tc>
        <w:tc>
          <w:tcPr>
            <w:tcW w:type="dxa" w:w="2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BSL-2+</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bCs/>
                <w:sz w:val="20"/>
                <w:szCs w:val="20"/>
              </w:rPr>
              <w:t xml:space="preserve">RG3</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BSL-2+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BSL-3</w:t>
            </w:r>
          </w:p>
        </w:tc>
        <w:tc>
          <w:tcPr>
            <w:tcW w:type="dxa" w:w="2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BSL-3</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bCs/>
                <w:sz w:val="20"/>
                <w:szCs w:val="20"/>
              </w:rPr>
              <w:t xml:space="preserve">RG3*</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BSL-2+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BSL-2+/BSL-3</w:t>
            </w:r>
          </w:p>
        </w:tc>
        <w:tc>
          <w:tcPr>
            <w:tcW w:type="dxa" w:w="2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BSL-3</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bCs/>
                <w:sz w:val="20"/>
                <w:szCs w:val="20"/>
              </w:rPr>
              <w:t xml:space="preserve">RG4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BSL-4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BSL-4</w:t>
            </w:r>
          </w:p>
        </w:tc>
        <w:tc>
          <w:tcPr>
            <w:tcW w:type="dxa" w:w="2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BSL-4</w:t>
            </w:r>
          </w:p>
        </w:tc>
      </w:tr>
    </w:tbl>
    <w:p>
      <w:pPr>
        <w:spacing w:after="80"/>
      </w:pPr>
    </w:p>
    <w:p>
      <w:pPr>
        <w:spacing w:after="120"/>
      </w:pPr>
      <w:r>
        <w:rPr>
          <w:rFonts w:ascii="Calibri" w:cs="Calibri" w:eastAsia="Calibri" w:hAnsi="Calibri"/>
          <w:b/>
          <w:bCs/>
          <w:sz w:val="22"/>
          <w:szCs w:val="22"/>
        </w:rPr>
        <w:t xml:space="preserve">RG3*</w:t>
      </w:r>
      <w:r>
        <w:rPr>
          <w:rFonts w:ascii="Calibri" w:cs="Calibri" w:eastAsia="Calibri" w:hAnsi="Calibri"/>
          <w:sz w:val="22"/>
          <w:szCs w:val="22"/>
        </w:rPr>
        <w:t xml:space="preserve"> = RG3 agents with limited airborne transmissibility, low environmental stability, and available treatment, when replication-defective. The tool allows manual override to RG2 when institutional evaluation supports reclassification based on documented attenuation.</w:t>
      </w:r>
    </w:p>
    <w:p>
      <w:pPr>
        <w:pStyle w:val="Heading2"/>
        <w:spacing w:after="120" w:before="240"/>
      </w:pPr>
      <w:r>
        <w:rPr>
          <w:rFonts w:ascii="Calibri" w:cs="Calibri" w:eastAsia="Calibri" w:hAnsi="Calibri"/>
          <w:b/>
          <w:bCs/>
          <w:color w:val="2E5090"/>
          <w:sz w:val="26"/>
          <w:szCs w:val="26"/>
        </w:rPr>
        <w:t xml:space="preserve">8.4. Effective Risk Group override</w:t>
      </w:r>
    </w:p>
    <w:p>
      <w:pPr>
        <w:spacing w:after="120"/>
      </w:pPr>
      <w:r>
        <w:rPr>
          <w:rFonts w:ascii="Calibri" w:cs="Calibri" w:eastAsia="Calibri" w:hAnsi="Calibri"/>
          <w:sz w:val="22"/>
          <w:szCs w:val="22"/>
        </w:rPr>
        <w:t xml:space="preserve">For GMOs that are replication-defective and derived from RG3 agents, the system auto-classifies as RG3*. The evaluator may override this to RG2 if the institutional biosafety committee has approved reclassification based on documented attenuation evidence (e.g., third-generation lentiviral vectors with validated replication incompetence). This override requires written justification in Step 8.</w:t>
      </w:r>
    </w:p>
    <w:p>
      <w:r>
        <w:br w:type="page"/>
      </w:r>
    </w:p>
    <w:p>
      <w:pPr>
        <w:pStyle w:val="Heading1"/>
        <w:spacing w:after="120" w:before="360"/>
      </w:pPr>
      <w:r>
        <w:rPr>
          <w:rFonts w:ascii="Calibri" w:cs="Calibri" w:eastAsia="Calibri" w:hAnsi="Calibri"/>
          <w:b/>
          <w:bCs/>
          <w:color w:val="2E5090"/>
          <w:sz w:val="32"/>
          <w:szCs w:val="32"/>
        </w:rPr>
        <w:t xml:space="preserve">9.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Problem</w:t>
            </w:r>
          </w:p>
        </w:tc>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Cause</w:t>
            </w:r>
          </w:p>
        </w:tc>
        <w:tc>
          <w:tcPr>
            <w:tcW w:type="dxa" w:w="3826"/>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Calibri" w:cs="Calibri" w:eastAsia="Calibri" w:hAnsi="Calibri"/>
                <w:b/>
                <w:bCs/>
                <w:color w:val="FFFFFF"/>
                <w:sz w:val="20"/>
                <w:szCs w:val="20"/>
              </w:rPr>
              <w:t xml:space="preserve">Solution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Assessments disappeared</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Browser data cleared, or different browser/device</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Import from latest JSON backup file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Cannot finalize</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Required fields missing</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Check agent name, Risk Group, at least one procedure with all three parameters, and justification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Backup file won’t import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Corrupted or non-PSR JSON file</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Ensure file was exported by the PSR platform. Check file opens in a text editor.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IRR shows no data</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No agent with ≥2 finalized assessments by different evaluators</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Finalize assessments for the same agent (exact name match) from different evaluator profiles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Analytics page is blank</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No assessments in localStorage</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Open platform.html first, load examples or import a backup, then open analytics.html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Print/PDF layout issues</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Browser-specific rendering</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Use Chrome for best print results. The tool includes @media print styles.</w:t>
            </w:r>
          </w:p>
        </w:tc>
      </w:tr>
    </w:tbl>
    <w:p>
      <w:pPr>
        <w:spacing w:after="80"/>
      </w:pPr>
    </w:p>
    <w:p>
      <w:pPr>
        <w:pStyle w:val="Heading1"/>
        <w:spacing w:after="120" w:before="360"/>
      </w:pPr>
      <w:r>
        <w:rPr>
          <w:rFonts w:ascii="Calibri" w:cs="Calibri" w:eastAsia="Calibri" w:hAnsi="Calibri"/>
          <w:b/>
          <w:bCs/>
          <w:color w:val="2E5090"/>
          <w:sz w:val="32"/>
          <w:szCs w:val="32"/>
        </w:rPr>
        <w:t xml:space="preserve">10. Appendix: tips for laboratory use</w:t>
      </w:r>
    </w:p>
    <w:p>
      <w:pPr>
        <w:spacing w:after="60"/>
        <w:ind w:left="360" w:hanging="180"/>
      </w:pPr>
      <w:r>
        <w:rPr>
          <w:rFonts w:ascii="Calibri" w:cs="Calibri" w:eastAsia="Calibri" w:hAnsi="Calibri"/>
          <w:sz w:val="22"/>
          <w:szCs w:val="22"/>
        </w:rPr>
        <w:t xml:space="preserve">• Use consistent agent names across evaluators to enable IRR matching (e.g., always "HIV-1 lentiviral vector", not "LV" or "lentivirus").</w:t>
      </w:r>
    </w:p>
    <w:p>
      <w:pPr>
        <w:spacing w:after="60"/>
        <w:ind w:left="360" w:hanging="180"/>
      </w:pPr>
      <w:r>
        <w:rPr>
          <w:rFonts w:ascii="Calibri" w:cs="Calibri" w:eastAsia="Calibri" w:hAnsi="Calibri"/>
          <w:sz w:val="22"/>
          <w:szCs w:val="22"/>
        </w:rPr>
        <w:t xml:space="preserve">• Finalize assessments only after IBC review. Use draft status during preparation.</w:t>
      </w:r>
    </w:p>
    <w:p>
      <w:pPr>
        <w:spacing w:after="60"/>
        <w:ind w:left="360" w:hanging="180"/>
      </w:pPr>
      <w:r>
        <w:rPr>
          <w:rFonts w:ascii="Calibri" w:cs="Calibri" w:eastAsia="Calibri" w:hAnsi="Calibri"/>
          <w:sz w:val="22"/>
          <w:szCs w:val="22"/>
        </w:rPr>
        <w:t xml:space="preserve">• Set a calendar reminder for periodic backup exports (recommended: weekly).</w:t>
      </w:r>
    </w:p>
    <w:p>
      <w:pPr>
        <w:spacing w:after="60"/>
        <w:ind w:left="360" w:hanging="180"/>
      </w:pPr>
      <w:r>
        <w:rPr>
          <w:rFonts w:ascii="Calibri" w:cs="Calibri" w:eastAsia="Calibri" w:hAnsi="Calibri"/>
          <w:sz w:val="22"/>
          <w:szCs w:val="22"/>
        </w:rPr>
        <w:t xml:space="preserve">• For air-gapped laboratories: download all HTML files to a USB drive. Open directly in browser. Export backups to the same USB drive.</w:t>
      </w:r>
    </w:p>
    <w:p>
      <w:pPr>
        <w:spacing w:after="60"/>
        <w:ind w:left="360" w:hanging="180"/>
      </w:pPr>
      <w:r>
        <w:rPr>
          <w:rFonts w:ascii="Calibri" w:cs="Calibri" w:eastAsia="Calibri" w:hAnsi="Calibri"/>
          <w:sz w:val="22"/>
          <w:szCs w:val="22"/>
        </w:rPr>
        <w:t xml:space="preserve">• The bilingual toggle (EN/ES) in the Quick Tool affects all interface text, including exported reports.</w:t>
      </w:r>
    </w:p>
    <w:p>
      <w:pPr>
        <w:spacing w:after="60"/>
        <w:ind w:left="360" w:hanging="180"/>
      </w:pPr>
      <w:r>
        <w:rPr>
          <w:rFonts w:ascii="Calibri" w:cs="Calibri" w:eastAsia="Calibri" w:hAnsi="Calibri"/>
          <w:sz w:val="22"/>
          <w:szCs w:val="22"/>
        </w:rPr>
        <w:t xml:space="preserve">• The platform is a decision-support tool and does not replace the professional judgment of the Institutional Biosafety Officer or the requirements of local regulatory authorities.</w:t>
      </w:r>
    </w:p>
    <w:p>
      <w:pPr>
        <w:spacing w:after="80"/>
      </w:pPr>
    </w:p>
    <w:p>
      <w:pPr>
        <w:spacing w:after="120"/>
        <w:jc w:val="center"/>
      </w:pPr>
      <w:r>
        <w:rPr>
          <w:rFonts w:ascii="Calibri" w:cs="Calibri" w:eastAsia="Calibri" w:hAnsi="Calibri"/>
          <w:color w:val="CCCCCC"/>
          <w:sz w:val="22"/>
          <w:szCs w:val="22"/>
        </w:rPr>
        <w:t xml:space="preserve">—</w:t>
      </w:r>
    </w:p>
    <w:p>
      <w:pPr>
        <w:spacing w:after="120"/>
        <w:jc w:val="center"/>
      </w:pPr>
      <w:r>
        <w:rPr>
          <w:rFonts w:ascii="Calibri" w:cs="Calibri" w:eastAsia="Calibri" w:hAnsi="Calibri"/>
          <w:color w:val="999999"/>
          <w:sz w:val="18"/>
          <w:szCs w:val="18"/>
        </w:rPr>
        <w:t xml:space="preserve">PSR Biosafety Assessment Tool v1.1.0 — April 2026</w:t>
      </w:r>
    </w:p>
    <w:p>
      <w:pPr>
        <w:spacing w:after="120"/>
        <w:jc w:val="center"/>
      </w:pPr>
      <w:r>
        <w:rPr>
          <w:rFonts w:ascii="Calibri" w:cs="Calibri" w:eastAsia="Calibri" w:hAnsi="Calibri"/>
          <w:color w:val="2E5090"/>
          <w:sz w:val="18"/>
          <w:szCs w:val="18"/>
        </w:rPr>
        <w:t xml:space="preserve">https://rafael-67.github.io/psr-tool/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99999"/>
        <w:sz w:val="16"/>
        <w:szCs w:val="16"/>
      </w:rPr>
      <w:t xml:space="preserve">PSR Biosafety Assessment Tool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2E5090"/>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090"/>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E509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2026-04-06T11:41:20.134Z</dcterms:created>
  <dcterms:modified xsi:type="dcterms:W3CDTF">2026-04-06T11:41:20.134Z</dcterms:modified>
</cp:coreProperties>
</file>

<file path=docProps/custom.xml><?xml version="1.0" encoding="utf-8"?>
<Properties xmlns="http://schemas.openxmlformats.org/officeDocument/2006/custom-properties" xmlns:vt="http://schemas.openxmlformats.org/officeDocument/2006/docPropsVTypes"/>
</file>