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534AB7"/>
          <w:sz w:val="44"/>
          <w:szCs w:val="44"/>
        </w:rPr>
        <w:t xml:space="preserve">PSR Biosafety Assessment Tool</w:t>
      </w:r>
    </w:p>
    <w:p>
      <w:pPr>
        <w:spacing w:after="240"/>
      </w:pPr>
      <w:r>
        <w:rPr>
          <w:color w:val="333333"/>
          <w:sz w:val="30"/>
          <w:szCs w:val="30"/>
        </w:rPr>
        <w:t xml:space="preserve">User Manual</w:t>
      </w:r>
    </w:p>
    <w:p>
      <w:pPr>
        <w:spacing w:after="160" w:line="300"/>
      </w:pPr>
      <w:r>
        <w:rPr>
          <w:i/>
          <w:iCs/>
          <w:color w:val="666666"/>
          <w:sz w:val="20"/>
          <w:szCs w:val="20"/>
        </w:rPr>
        <w:t xml:space="preserve">Version 2.0.0 — August 2026</w:t>
      </w:r>
    </w:p>
    <w:p>
      <w:pPr>
        <w:spacing w:after="160" w:line="300"/>
      </w:pPr>
      <w:hyperlink w:history="1" r:id="rId6zbhfm58uzkz9hgd3xdct">
        <w:r>
          <w:rPr>
            <w:rStyle w:val="Hyperlink"/>
          </w:rPr>
          <w:t xml:space="preserve">https://rafael-67.github.io/psr-tool/</w:t>
        </w:r>
      </w:hyperlink>
    </w:p>
    <w:p>
      <w:pPr>
        <w:pStyle w:val="Heading1"/>
        <w:spacing w:after="200" w:before="400"/>
      </w:pPr>
      <w:r>
        <w:t xml:space="preserve">1. Overview</w:t>
      </w:r>
    </w:p>
    <w:p>
      <w:pPr>
        <w:spacing w:after="160" w:line="300"/>
      </w:pPr>
      <w:r>
        <w:t xml:space="preserve">The PSR Biosafety Assessment Tool is a free, open-source, bilingual (English/Spanish) digital implementation of the Procedure-Specific Risk (PSR) framework for biosafety level (BSL) assignment in modern biotechnology laboratories. The tool operationalizes the 8-step PSR framework described in:</w:t>
      </w:r>
    </w:p>
    <w:p>
      <w:pPr>
        <w:spacing w:after="160" w:line="300"/>
        <w:ind w:left="300"/>
      </w:pPr>
      <w:r>
        <w:rPr>
          <w:i/>
          <w:iCs/>
          <w:sz w:val="20"/>
          <w:szCs w:val="20"/>
        </w:rPr>
        <w:t xml:space="preserve">Cena-Diez R. (2026). An 8-Step Procedure-Specific Risk Framework Enables Reproducible Biosafety Level Assignment Beyond Agent-Based Classification. Frontiers in Bioengineering and Biotechnology 14:1879247. doi:10.3389/fbioe.2026.1879247.</w:t>
      </w:r>
    </w:p>
    <w:p>
      <w:pPr>
        <w:spacing w:after="160" w:line="300"/>
      </w:pPr>
      <w:r>
        <w:t xml:space="preserve">The platform consists of three interconnected modules:</w:t>
      </w:r>
    </w:p>
    <w:p>
      <w:pPr>
        <w:pStyle w:val="ListParagraph"/>
        <w:numPr>
          <w:ilvl w:val="0"/>
          <w:numId w:val="1"/>
        </w:numPr>
        <w:spacing w:after="80" w:line="280"/>
      </w:pPr>
      <w:r>
        <w:t xml:space="preserve">Quick Assessment Tool (tool.html) — standalone, offline-capable tool for a single assessment; nothing is saved between sessions.</w:t>
      </w:r>
    </w:p>
    <w:p>
      <w:pPr>
        <w:pStyle w:val="ListParagraph"/>
        <w:numPr>
          <w:ilvl w:val="0"/>
          <w:numId w:val="1"/>
        </w:numPr>
        <w:spacing w:after="80" w:line="280"/>
      </w:pPr>
      <w:r>
        <w:t xml:space="preserve">Assessment Platform (platform.html) — persistent, browser-local storage for ongoing use, multiple assessments, and multiple evaluators, with formal study/scenario/rater/institution metadata.</w:t>
      </w:r>
    </w:p>
    <w:p>
      <w:pPr>
        <w:pStyle w:val="ListParagraph"/>
        <w:numPr>
          <w:ilvl w:val="0"/>
          <w:numId w:val="1"/>
        </w:numPr>
        <w:spacing w:after="80" w:line="280"/>
      </w:pPr>
      <w:r>
        <w:t xml:space="preserve">Data Analytics Module (analytics.html) — distributions, modulating-factor patterns, risk patterns, and formal Inter-Rater Reliability (Cohen’s κ / Fleiss’ κ).</w:t>
      </w:r>
    </w:p>
    <w:p>
      <w:pPr>
        <w:pBdr>
          <w:left w:val="single" w:color="534AB7" w:sz="16"/>
        </w:pBdr>
        <w:shd w:fill="EEEDFE" w:val="clear"/>
        <w:spacing w:after="200" w:before="100" w:line="280"/>
        <w:ind w:left="200" w:right="200"/>
      </w:pPr>
      <w:r>
        <w:rPr>
          <w:i/>
          <w:iCs/>
          <w:sz w:val="20"/>
          <w:szCs w:val="20"/>
        </w:rPr>
        <w:t xml:space="preserve">All data processing happens locally in the browser. No data is transmitted to any external server at any point.</w:t>
      </w:r>
    </w:p>
    <w:p>
      <w:pPr>
        <w:pStyle w:val="Heading1"/>
        <w:spacing w:after="200" w:before="400"/>
      </w:pPr>
      <w:r>
        <w:t xml:space="preserve">2. Getting Started</w:t>
      </w:r>
    </w:p>
    <w:p>
      <w:pPr>
        <w:pStyle w:val="Heading2"/>
        <w:spacing w:after="150" w:before="300"/>
      </w:pPr>
      <w:r>
        <w:t xml:space="preserve">2.1 Accessing the tool</w:t>
      </w:r>
    </w:p>
    <w:p>
      <w:pPr>
        <w:spacing w:after="160" w:line="300"/>
      </w:pPr>
      <w:r>
        <w:t xml:space="preserve">The tool is hosted on GitHub Pages and accessible at: </w:t>
      </w:r>
      <w:hyperlink w:history="1" r:id="rId6kgnb8sywpwp9drn_sxqs">
        <w:r>
          <w:rPr>
            <w:rStyle w:val="Hyperlink"/>
          </w:rPr>
          <w:t xml:space="preserve">https://rafael-67.github.io/psr-tool/</w:t>
        </w:r>
      </w:hyperlink>
    </w:p>
    <w:p>
      <w:pPr>
        <w:spacing w:after="160" w:line="300"/>
      </w:pPr>
      <w:r>
        <w:t xml:space="preserve">No installation, login, or account is required. The tool works in any modern browser (Chrome, Firefox, Safari, Edge — last two major versions).</w:t>
      </w:r>
    </w:p>
    <w:p>
      <w:pPr>
        <w:pStyle w:val="Heading2"/>
        <w:spacing w:after="150" w:before="300"/>
      </w:pPr>
      <w:r>
        <w:t xml:space="preserve">2.2 Choosing an interface</w:t>
      </w:r>
    </w:p>
    <w:p>
      <w:pPr>
        <w:spacing w:after="160" w:line="300"/>
      </w:pPr>
      <w:r>
        <w:t xml:space="preserve">Use the Quick Assessment Tool for a single, one-off assessment: it works fully offline and nothing is saved once you close the tab unless you export a report. Use the Assessment Platform for ongoing work: it keeps a dashboard of past assessments in the browser’s local storage, collects the study metadata needed for formal inter-rater reliability analysis, and lets you load demonstration examples. The Data Analytics Module reads whatever assessments exist in the Platform’s local storage (plus 14 built-in demonstration records) and is only useful after assessments have been created in platform.html.</w:t>
      </w:r>
    </w:p>
    <w:p>
      <w:pPr>
        <w:pBdr>
          <w:left w:val="single" w:color="534AB7" w:sz="16"/>
        </w:pBdr>
        <w:shd w:fill="EEEDFE" w:val="clear"/>
        <w:spacing w:after="200" w:before="100" w:line="280"/>
        <w:ind w:left="200" w:right="200"/>
      </w:pPr>
      <w:r>
        <w:rPr>
          <w:i/>
          <w:iCs/>
          <w:sz w:val="20"/>
          <w:szCs w:val="20"/>
        </w:rPr>
        <w:t xml:space="preserve">“Saved in the browser” means the data lives in that browser’s local storage, on that device only. It is not uploaded anywhere, not shared between devices, and will be lost if browser storage is cleared or private/incognito mode is used. Export regularly (JSON or CSV) to keep a backup.</w:t>
      </w:r>
    </w:p>
    <w:p>
      <w:pPr>
        <w:pStyle w:val="Heading1"/>
        <w:spacing w:after="200" w:before="400"/>
      </w:pPr>
      <w:r>
        <w:t xml:space="preserve">3. The 8-Step Workflow</w:t>
      </w:r>
    </w:p>
    <w:p>
      <w:pPr>
        <w:spacing w:after="160" w:line="300"/>
      </w:pPr>
      <w:r>
        <w:t xml:space="preserve">Both the Quick Assessment Tool and the Assessment Platform walk through the same eight steps; the Platform additionally stores metadata for institutional traceability and formal IRR eligibility.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1 — Agent identification</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Name the agent, select a classification source (WHO / BMBL / EU Directive 2000/54/EC / INSST / other), and assign Risk Group (RG1–4). For RG3 agents, the RG3* Table 8 operational designation may optionally be established: it is not a separate Risk Group, and it only takes effect when a recognized qualifying basis — replication incompetence, confirmed absence of airborne transmissibility, or validated inactivation — AND supporting evidence are both documented. An EU RG3** regulatory notation may also be recorded where applicable; it does not by itself establish RG3*. GMO details (parental organism, genetic modification, replication competence) can be entered when relevant.</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2 — Procedure characterization</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List every technical procedure. For each one, rate aerosol-generation potential (Minimal / Moderate / High, or “cannot be characterized — expert consultation required”), working volume, and concentration as Minimal / Moderate / High. Quantitative values may optionally be recorded for traceability, but the selected category remains authoritative.</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3 — PSR classification</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Fully automatic. Each procedure’s PSR (Low / Moderate / High) is the highest of its three Step-2 parameters. This step cannot be edited directly.</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4 — Modulating factors</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Rate nine procedural modulators — volume, concentration, frequency, aerosol, environmental stability, operator experience, supervision, infrastructure, and incident history — as favorable / neutral / unfavorable. ≥ 2 unfavorable factors flags a containment-escalation consideration and shifts the applicable likelihood range up one category in Step 5. It does not change the Step 3 PSR. Individual susceptibility (e.g. immunocompromised personnel) is recorded separately in this step and never counts toward the ≥ 2 threshold; it is a severity-of-consequence issue for the individual, addressed through occupational health surveillance.</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5 — Likelihood × Severity</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Baseline severity is fixed by Risk Group (RG1 = Low, RG2 = Moderate, RG3 = High, RG4 = Extreme). A documented reduction of effective severity below that baseline is possible — never an increase — provided a recognized basis, written justification, and supporting evidence are all supplied. A likelihood is then selected within the range implied by the Step 3 PSR (shifted up one category if ≥ 2 unfavorable factors were flagged in Step 4). When that range has more than one valid option, a written justification for the selected likelihood is required before the Severity × Likelihood integration result is computed.</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6 — BSL assignment</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The Agent(-notation)–PSR combination is looked up automatically in the Table 8 matrix. Where the matrix output allows more than one branch (e.g. BSL-2+/BSL-3 for RG3* at Moderate PSR, or the RG3-Low-PSR pathway to BSL-2+, which additionally requires all four published conditions — documented risk assessment, institutional status, enhanced controls, and operator competency — to be recorded), the final professional decision is made and justified here. Pause-point notices appear when the Risk Group is not established, aerosol potential cannot be characterized, or the result is BSL-3/4 or an overall risk level of Very High/Critical — all of which require full institutional/IBC review.</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7 — Control selection</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Engineering controls, PPE, administrative controls, and decontamination/waste-inactivation measures are suggested for the assigned BSL/control profile. Respiratory protection is shown as a required protection level with its certified regional equivalents. Decontamination guidance automatically flags environmentally stable or non-enveloped agents as requiring a validated sporicidal/virucidal disinfectant rather than plain ethanol. Additional procedure-specific controls can be added as free text.</w:t>
            </w:r>
          </w:p>
        </w:tc>
      </w:tr>
      <w:tr>
        <w:tc>
          <w:tcPr>
            <w:tcW w:type="dxa" w:w="2600"/>
            <w:tcBorders>
              <w:top w:val="single" w:color="CCCCCC" w:sz="4"/>
              <w:left w:val="single" w:color="CCCCCC" w:sz="4"/>
              <w:bottom w:val="single" w:color="CCCCCC" w:sz="4"/>
              <w:right w:val="single" w:color="CCCCCC" w:sz="4"/>
            </w:tcBorders>
            <w:shd w:fill="EEEDFE" w:val="clear"/>
            <w:tcMar>
              <w:top w:type="dxa" w:w="100"/>
              <w:left w:type="dxa" w:w="100"/>
              <w:bottom w:type="dxa" w:w="100"/>
              <w:right w:type="dxa" w:w="100"/>
            </w:tcMar>
            <w:vAlign w:val="top"/>
          </w:tcPr>
          <w:p>
            <w:r>
              <w:rPr>
                <w:b/>
                <w:bCs/>
                <w:color w:val="534AB7"/>
                <w:sz w:val="20"/>
                <w:szCs w:val="20"/>
              </w:rPr>
              <w:t xml:space="preserve">8 — Documentation</w:t>
            </w:r>
          </w:p>
        </w:tc>
        <w:tc>
          <w:tcPr>
            <w:tcW w:type="dxa" w:w="7000"/>
            <w:tcBorders>
              <w:top w:val="single" w:color="CCCCCC" w:sz="4"/>
              <w:left w:val="single" w:color="CCCCCC" w:sz="4"/>
              <w:bottom w:val="single" w:color="CCCCCC" w:sz="4"/>
              <w:right w:val="single" w:color="CCCCCC" w:sz="4"/>
            </w:tcBorders>
            <w:tcMar>
              <w:top w:type="dxa" w:w="100"/>
              <w:left w:type="dxa" w:w="100"/>
              <w:bottom w:type="dxa" w:w="100"/>
              <w:right w:type="dxa" w:w="100"/>
            </w:tcMar>
            <w:vAlign w:val="top"/>
          </w:tcPr>
          <w:p>
            <w:pPr>
              <w:spacing w:line="276"/>
            </w:pPr>
            <w:r>
              <w:rPr>
                <w:sz w:val="20"/>
                <w:szCs w:val="20"/>
              </w:rPr>
              <w:t xml:space="preserve">Record the assessor, assessment date, next review date (≤ 12 months), and workflow status (Draft / Finalized by assessor / BSO reviewed / Institutional-IBC review pending / Institutionally approved — user-recorded / Rejected – revision requested / Superseded). The workflow status is a statement recorded by the user; the software does not itself grant or verify institutional approval. Export a bilingual (EN/ES) PDF or plain-text report. Export/print is blocked while a pause point is unresolved, an escalation justification is missing, or the RG3-Low BSL-2+ conditions are incomplete — the tool returns you to the relevant step in that case.</w:t>
            </w:r>
          </w:p>
        </w:tc>
      </w:tr>
    </w:tbl>
    <w:p>
      <w:pPr>
        <w:pStyle w:val="Heading1"/>
        <w:spacing w:after="200" w:before="400"/>
      </w:pPr>
      <w:r>
        <w:t xml:space="preserve">4. Assessment Platform (platform.html)</w:t>
      </w:r>
    </w:p>
    <w:p>
      <w:pPr>
        <w:pStyle w:val="Heading2"/>
        <w:spacing w:after="150" w:before="300"/>
      </w:pPr>
      <w:r>
        <w:t xml:space="preserve">4.1 Dashboard</w:t>
      </w:r>
    </w:p>
    <w:p>
      <w:pPr>
        <w:spacing w:after="160" w:line="300"/>
      </w:pPr>
      <w:r>
        <w:t xml:space="preserve">The dashboard lists all saved assessments with their current workflow status, PSR level, and assigned BSL. Selecting an assessment reopens it for editing.</w:t>
      </w:r>
    </w:p>
    <w:p>
      <w:pPr>
        <w:pStyle w:val="Heading2"/>
        <w:spacing w:after="150" w:before="300"/>
      </w:pPr>
      <w:r>
        <w:t xml:space="preserve">4.2 Assessment metadata and data origin</w:t>
      </w:r>
    </w:p>
    <w:p>
      <w:pPr>
        <w:spacing w:after="160" w:line="300"/>
      </w:pPr>
      <w:r>
        <w:t xml:space="preserve">Step 1 includes an “Assessment metadata” panel where the data origin is set to Individual assessment or Formal study. Individual-assessment and demonstration-origin records are excluded from formal IRR by design. Formal study records additionally require five identifiers — Study ID, Scenario ID, Scenario version, Rater ID, and Institution ID — filled in consistently across every assessment that belongs to the same study.</w:t>
      </w:r>
    </w:p>
    <w:p>
      <w:pPr>
        <w:pStyle w:val="Heading2"/>
        <w:spacing w:after="150" w:before="300"/>
      </w:pPr>
      <w:r>
        <w:t xml:space="preserve">4.3 Workflow status</w:t>
      </w:r>
    </w:p>
    <w:p>
      <w:pPr>
        <w:spacing w:after="160" w:line="300"/>
      </w:pPr>
      <w:r>
        <w:t xml:space="preserve">Step 8 records a workflow status: Draft, Finalized by assessor, BSO reviewed, Institutional/IBC review pending, Institutionally approved (user-recorded), Rejected/revision requested, or Superseded. This status is a statement recorded by the user only; the software does not verify or grant institutional approval on behalf of any biosafety committee. When the status is set to Institutionally approved, an approval reference, approving body, and approval date can be recorded for the audit trail.</w:t>
      </w:r>
    </w:p>
    <w:p>
      <w:pPr>
        <w:pStyle w:val="Heading2"/>
        <w:spacing w:after="150" w:before="300"/>
      </w:pPr>
      <w:r>
        <w:t xml:space="preserve">4.4 Loading example assessments</w:t>
      </w:r>
    </w:p>
    <w:p>
      <w:pPr>
        <w:spacing w:after="160" w:line="300"/>
      </w:pPr>
      <w:r>
        <w:t xml:space="preserve">“Load S3/S4 examples” imports demonstration case studies with complete agent characterization, procedure data, and modulating-factor profiles, useful for training and for exercising the Analytics module.</w:t>
      </w:r>
    </w:p>
    <w:p>
      <w:pPr>
        <w:pStyle w:val="Heading2"/>
        <w:spacing w:after="150" w:before="300"/>
      </w:pPr>
      <w:r>
        <w:t xml:space="preserve">4.5 CSV export</w:t>
      </w:r>
    </w:p>
    <w:p>
      <w:pPr>
        <w:spacing w:after="160" w:line="300"/>
      </w:pPr>
      <w:r>
        <w:t xml:space="preserve">“Export all assessments as CSV” generates a file containing all stored assessments with their computed metrics, suitable for import into the Analytics Module or external processing in R, Python, or Excel.</w:t>
      </w:r>
    </w:p>
    <w:p>
      <w:pPr>
        <w:pStyle w:val="Heading1"/>
        <w:spacing w:after="200" w:before="400"/>
      </w:pPr>
      <w:r>
        <w:t xml:space="preserve">5. Data Analytics Module (analytics.html)</w:t>
      </w:r>
    </w:p>
    <w:p>
      <w:pPr>
        <w:spacing w:after="160" w:line="300"/>
      </w:pPr>
      <w:r>
        <w:t xml:space="preserve">The Analytics Module reads data from the Platform’s local storage or from imported CSV/JSON files, across six tabs: Overview, Distributions, Modulating factors, IRR analysis, Risk patterns, and Temporal.</w:t>
      </w:r>
    </w:p>
    <w:p>
      <w:pPr>
        <w:pStyle w:val="Heading2"/>
        <w:spacing w:after="150" w:before="300"/>
      </w:pPr>
      <w:r>
        <w:t xml:space="preserve">5.1 Formal Inter-Rater Reliability (IRR) analysis</w:t>
      </w:r>
    </w:p>
    <w:p>
      <w:pPr>
        <w:spacing w:after="160" w:line="300"/>
      </w:pPr>
      <w:r>
        <w:t xml:space="preserve">The Formal IRR panel only includes assessments that are all of the following at once: data origin = study (not individual or demonstration), finalized (any status from “Finalized by assessor” onward, not left as draft), and fully tagged with Study ID, Scenario ID, Scenario version, Rater ID, and Institution ID. If two records share the same Study + Scenario + Version and the same rater filed both, this is flagged as a duplicate and blocks the calculation until resolved.</w:t>
      </w:r>
    </w:p>
    <w:p>
      <w:pPr>
        <w:pStyle w:val="Heading3"/>
        <w:spacing w:after="100" w:before="200"/>
      </w:pPr>
      <w:r>
        <w:t xml:space="preserve">5.1.1 Cohen’s κ (pairwise agreement)</w:t>
      </w:r>
    </w:p>
    <w:p>
      <w:pPr>
        <w:spacing w:after="160" w:line="300"/>
      </w:pPr>
      <w:r>
        <w:t xml:space="preserve">Cohen’s κ compares two selected raters, pairwise, across the scenarios they share. Formula:</w:t>
      </w:r>
    </w:p>
    <w:p>
      <w:pPr>
        <w:spacing w:after="160"/>
        <w:ind w:left="300"/>
      </w:pPr>
      <w:r>
        <w:rPr>
          <w:i/>
          <w:iCs/>
          <w:sz w:val="20"/>
          <w:szCs w:val="20"/>
        </w:rPr>
        <w:t xml:space="preserve">κ = (P</w:t>
      </w:r>
      <w:r>
        <w:rPr>
          <w:i/>
          <w:iCs/>
          <w:sz w:val="20"/>
          <w:szCs w:val="20"/>
          <w:vertAlign w:val="subscript"/>
        </w:rPr>
        <w:t xml:space="preserve">0</w:t>
      </w:r>
      <w:r>
        <w:rPr>
          <w:i/>
          <w:iCs/>
          <w:sz w:val="20"/>
          <w:szCs w:val="20"/>
        </w:rPr>
        <w:t xml:space="preserve"> − P</w:t>
      </w:r>
      <w:r>
        <w:rPr>
          <w:i/>
          <w:iCs/>
          <w:sz w:val="20"/>
          <w:szCs w:val="20"/>
          <w:vertAlign w:val="subscript"/>
        </w:rPr>
        <w:t xml:space="preserve">e</w:t>
      </w:r>
      <w:r>
        <w:rPr>
          <w:i/>
          <w:iCs/>
          <w:sz w:val="20"/>
          <w:szCs w:val="20"/>
        </w:rPr>
        <w:t xml:space="preserve">) / (1 − P</w:t>
      </w:r>
      <w:r>
        <w:rPr>
          <w:i/>
          <w:iCs/>
          <w:sz w:val="20"/>
          <w:szCs w:val="20"/>
          <w:vertAlign w:val="subscript"/>
        </w:rPr>
        <w:t xml:space="preserve">e</w:t>
      </w:r>
      <w:r>
        <w:rPr>
          <w:i/>
          <w:iCs/>
          <w:sz w:val="20"/>
          <w:szCs w:val="20"/>
        </w:rPr>
        <w:t xml:space="preserve">)</w:t>
      </w:r>
    </w:p>
    <w:p>
      <w:pPr>
        <w:spacing w:after="160" w:line="300"/>
      </w:pPr>
      <w:r>
        <w:t xml:space="preserve">where P</w:t>
      </w:r>
      <w:r>
        <w:rPr>
          <w:vertAlign w:val="subscript"/>
        </w:rPr>
        <w:t xml:space="preserve">0</w:t>
      </w:r>
      <w:r>
        <w:t xml:space="preserve"> is the observed proportion of agreement and P</w:t>
      </w:r>
      <w:r>
        <w:rPr>
          <w:vertAlign w:val="subscript"/>
        </w:rPr>
        <w:t xml:space="preserve">e</w:t>
      </w:r>
      <w:r>
        <w:t xml:space="preserve"> is the proportion of agreement expected by chance.</w:t>
      </w:r>
    </w:p>
    <w:p>
      <w:pPr>
        <w:pStyle w:val="Heading3"/>
        <w:spacing w:after="100" w:before="200"/>
      </w:pPr>
      <w:r>
        <w:t xml:space="preserve">5.1.2 Fleiss’ κ (multi-rater agreement, primary metric)</w:t>
      </w:r>
    </w:p>
    <w:p>
      <w:pPr>
        <w:spacing w:after="160" w:line="300"/>
      </w:pPr>
      <w:r>
        <w:t xml:space="preserve">Fleiss’ κ is the recommended statistic when ≥ 3 raters independently assess the same set of scenarios. It requires the exact same rater panel to have rated every scenario in the study — missing ratings are never padded or estimated. If the panel is uneven, the tool reports exactly which scenario is missing which rater, and the metric is not computed until the panel is complete. Formula:</w:t>
      </w:r>
    </w:p>
    <w:p>
      <w:pPr>
        <w:spacing w:after="160"/>
        <w:ind w:left="300"/>
      </w:pPr>
      <w:r>
        <w:rPr>
          <w:i/>
          <w:iCs/>
          <w:sz w:val="20"/>
          <w:szCs w:val="20"/>
        </w:rPr>
        <w:t xml:space="preserve">κ = (P̄ − P</w:t>
      </w:r>
      <w:r>
        <w:rPr>
          <w:i/>
          <w:iCs/>
          <w:sz w:val="20"/>
          <w:szCs w:val="20"/>
          <w:vertAlign w:val="subscript"/>
        </w:rPr>
        <w:t xml:space="preserve">e</w:t>
      </w:r>
      <w:r>
        <w:rPr>
          <w:i/>
          <w:iCs/>
          <w:sz w:val="20"/>
          <w:szCs w:val="20"/>
        </w:rPr>
        <w:t xml:space="preserve">) / (1 − P</w:t>
      </w:r>
      <w:r>
        <w:rPr>
          <w:i/>
          <w:iCs/>
          <w:sz w:val="20"/>
          <w:szCs w:val="20"/>
          <w:vertAlign w:val="subscript"/>
        </w:rPr>
        <w:t xml:space="preserve">e</w:t>
      </w:r>
      <w:r>
        <w:rPr>
          <w:i/>
          <w:iCs/>
          <w:sz w:val="20"/>
          <w:szCs w:val="20"/>
        </w:rPr>
        <w:t xml:space="preserve">)</w:t>
      </w:r>
    </w:p>
    <w:p>
      <w:pPr>
        <w:spacing w:after="160" w:line="300"/>
      </w:pPr>
      <w:r>
        <w:t xml:space="preserve">where P̄ is the mean observed agreement across scenarios and P</w:t>
      </w:r>
      <w:r>
        <w:rPr>
          <w:vertAlign w:val="subscript"/>
        </w:rPr>
        <w:t xml:space="preserve">e</w:t>
      </w:r>
      <w:r>
        <w:t xml:space="preserve"> = Σp</w:t>
      </w:r>
      <w:r>
        <w:rPr>
          <w:vertAlign w:val="subscript"/>
        </w:rPr>
        <w:t xml:space="preserve">j</w:t>
      </w:r>
      <w:r>
        <w:t xml:space="preserve">² is the agreement expected by chance.</w:t>
      </w:r>
    </w:p>
    <w:p>
      <w:pPr>
        <w:pStyle w:val="Heading3"/>
        <w:spacing w:after="100" w:before="200"/>
      </w:pPr>
      <w:r>
        <w:t xml:space="preserve">5.1.3 Interpretation benchmarks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κ range</w:t>
            </w:r>
          </w:p>
        </w:tc>
        <w:tc>
          <w:tcPr>
            <w:tcW w:type="dxa" w:w="66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Interpretation</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&lt; 0.00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Poor (worse than chance)</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0.01 – 0.20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Poor</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0.21 – 0.40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Fair</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0.41 – 0.60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Moderate</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0.61 – 0.80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Substantial</w:t>
            </w:r>
          </w:p>
        </w:tc>
      </w:tr>
      <w:tr>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0.81 – 1.00</w:t>
            </w:r>
          </w:p>
        </w:tc>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Almost perfect</w:t>
            </w:r>
          </w:p>
        </w:tc>
      </w:tr>
    </w:tbl>
    <w:p>
      <w:pPr>
        <w:spacing w:after="160" w:line="300"/>
      </w:pPr>
      <w:r>
        <w:rPr>
          <w:i/>
          <w:iCs/>
          <w:color w:val="666666"/>
          <w:sz w:val="18"/>
          <w:szCs w:val="18"/>
        </w:rPr>
        <w:t xml:space="preserve">Reference: Landis JR, Koch GG. The measurement of observer agreement for categorical data. Biometrics. 1977;33(1):159–174.</w:t>
      </w:r>
    </w:p>
    <w:p>
      <w:pPr>
        <w:pStyle w:val="Heading3"/>
        <w:spacing w:after="100" w:before="200"/>
      </w:pPr>
      <w:r>
        <w:t xml:space="preserve">5.1.4 Generating valid IRR data</w:t>
      </w:r>
    </w:p>
    <w:p>
      <w:pPr>
        <w:spacing w:after="160" w:line="300"/>
      </w:pPr>
      <w:r>
        <w:t xml:space="preserve">In the Assessment Platform, set Data origin → Formal study in Step 1 for every assessment that belongs to the study, fill in all five identifiers consistently, and finalize each assessment in Step 8.</w:t>
      </w:r>
    </w:p>
    <w:p>
      <w:pPr>
        <w:pStyle w:val="Heading2"/>
        <w:spacing w:after="150" w:before="300"/>
      </w:pPr>
      <w:r>
        <w:t xml:space="preserve">5.2 Importing and exporting</w:t>
      </w:r>
    </w:p>
    <w:p>
      <w:pPr>
        <w:pStyle w:val="ListParagraph"/>
        <w:numPr>
          <w:ilvl w:val="0"/>
          <w:numId w:val="1"/>
        </w:numPr>
        <w:spacing w:after="80" w:line="280"/>
      </w:pPr>
      <w:r>
        <w:t xml:space="preserve">Analytics → Export dataset: canonical JSON, re-importable.</w:t>
      </w:r>
    </w:p>
    <w:p>
      <w:pPr>
        <w:pStyle w:val="ListParagraph"/>
        <w:numPr>
          <w:ilvl w:val="0"/>
          <w:numId w:val="1"/>
        </w:numPr>
        <w:spacing w:after="80" w:line="280"/>
      </w:pPr>
      <w:r>
        <w:t xml:space="preserve">Analytics → Import CSV/JSON: only accepts the tool’s own canonical schema for the current schema version; files that don’t match are rejected rather than silently misread.</w:t>
      </w:r>
    </w:p>
    <w:p>
      <w:pPr>
        <w:pStyle w:val="ListParagraph"/>
        <w:numPr>
          <w:ilvl w:val="0"/>
          <w:numId w:val="1"/>
        </w:numPr>
        <w:spacing w:after="80" w:line="280"/>
      </w:pPr>
      <w:r>
        <w:t xml:space="preserve">Records created under an older schema or algorithm version remain viewable but are flagged as not eligible for formal IRR until re-confirmed or re-finalized under the current version.</w:t>
      </w:r>
    </w:p>
    <w:p>
      <w:pPr>
        <w:pStyle w:val="Heading1"/>
        <w:spacing w:after="200" w:before="400"/>
      </w:pPr>
      <w:r>
        <w:t xml:space="preserve">6. Algorithm Reference</w:t>
      </w:r>
    </w:p>
    <w:p>
      <w:pPr>
        <w:pStyle w:val="Heading2"/>
        <w:spacing w:after="150" w:before="300"/>
      </w:pPr>
      <w:r>
        <w:t xml:space="preserve">6.1 PSR classification (Table 6)</w:t>
      </w:r>
    </w:p>
    <w:p>
      <w:pPr>
        <w:spacing w:after="160" w:line="300"/>
      </w:pPr>
      <w:r>
        <w:t xml:space="preserve">Each procedure is rated on three parameters — aerosol-generation potential, working volume, and concentration — each as Minimal / Moderate / High (aerosol may alternatively be marked “cannot be characterized,” which forces institutional review). Numeric values may optionally be entered for traceability, but the selected category is authoritative; the procedure’s PSR is the highest of the three parameters.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600"/>
      </w:tblGrid>
      <w:tr>
        <w:trPr>
          <w:tblHeader/>
        </w:trPr>
        <w:tc>
          <w:tcPr>
            <w:tcW w:type="dxa" w:w="26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Parameter</w:t>
            </w:r>
          </w:p>
        </w:tc>
        <w:tc>
          <w:tcPr>
            <w:tcW w:type="dxa" w:w="22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Low</w:t>
            </w:r>
          </w:p>
        </w:tc>
        <w:tc>
          <w:tcPr>
            <w:tcW w:type="dxa" w:w="22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Moderate</w:t>
            </w:r>
          </w:p>
        </w:tc>
        <w:tc>
          <w:tcPr>
            <w:tcW w:type="dxa" w:w="26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High</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Aerosol potential</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Minimal</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Moderate</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Working volume</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Minimal</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Moderate</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High</w:t>
            </w:r>
          </w:p>
        </w:tc>
      </w:tr>
      <w:tr>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Concentration</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Minimal</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Moderate</w:t>
            </w:r>
          </w:p>
        </w:tc>
        <w:tc>
          <w:tcPr>
            <w:tcW w:type="dxa" w:w="2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High</w:t>
            </w:r>
          </w:p>
        </w:tc>
      </w:tr>
    </w:tbl>
    <w:p>
      <w:pPr>
        <w:pStyle w:val="Heading2"/>
        <w:spacing w:after="150" w:before="300"/>
      </w:pPr>
      <w:r>
        <w:t xml:space="preserve">6.2 BSL assignment matrix (Table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800"/>
      </w:tblGrid>
      <w:tr>
        <w:trPr>
          <w:tblHeader/>
        </w:trPr>
        <w:tc>
          <w:tcPr>
            <w:tcW w:type="dxa" w:w="20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Risk Group</w:t>
            </w:r>
          </w:p>
        </w:tc>
        <w:tc>
          <w:tcPr>
            <w:tcW w:type="dxa" w:w="20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Low PSR</w:t>
            </w:r>
          </w:p>
        </w:tc>
        <w:tc>
          <w:tcPr>
            <w:tcW w:type="dxa" w:w="28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Moderate PSR</w:t>
            </w:r>
          </w:p>
        </w:tc>
        <w:tc>
          <w:tcPr>
            <w:tcW w:type="dxa" w:w="28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High PSR</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RG1</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BSL-1</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BSL-1 *</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 **</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RG2</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RG3</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 ***</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BSL-3</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BSL-3</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RG3*</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BSL-2+ / BSL-3</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BSL-3</w:t>
            </w:r>
          </w:p>
        </w:tc>
      </w:tr>
      <w:tr>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RG4</w:t>
            </w:r>
          </w:p>
        </w:tc>
        <w:tc>
          <w:tcPr>
            <w:tcW w:type="dxa" w:w="2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BSL-4</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BSL-4</w:t>
            </w:r>
          </w:p>
        </w:tc>
        <w:tc>
          <w:tcPr>
            <w:tcW w:type="dxa" w:w="2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BSL-4</w:t>
            </w:r>
          </w:p>
        </w:tc>
      </w:tr>
    </w:tbl>
    <w:p>
      <w:pPr>
        <w:spacing w:after="160" w:line="300"/>
      </w:pPr>
      <w:r>
        <w:rPr>
          <w:i/>
          <w:iCs/>
          <w:color w:val="666666"/>
          <w:sz w:val="20"/>
          <w:szCs w:val="20"/>
        </w:rPr>
        <w:t xml:space="preserve">* RG1 Moderate: standard BSL-1 practices apply; enhanced documentation is recommended when working at scale.</w:t>
      </w:r>
    </w:p>
    <w:p>
      <w:pPr>
        <w:spacing w:after="160" w:line="300"/>
      </w:pPr>
      <w:r>
        <w:rPr>
          <w:i/>
          <w:iCs/>
          <w:color w:val="666666"/>
          <w:sz w:val="20"/>
          <w:szCs w:val="20"/>
        </w:rPr>
        <w:t xml:space="preserve">** RG1 High: BSL-2 practices apply only to the high-aerosol-generating step; all other steps remain BSL-1.</w:t>
      </w:r>
    </w:p>
    <w:p>
      <w:pPr>
        <w:spacing w:after="160" w:line="300"/>
      </w:pPr>
      <w:r>
        <w:rPr>
          <w:i/>
          <w:iCs/>
          <w:color w:val="666666"/>
          <w:sz w:val="20"/>
          <w:szCs w:val="20"/>
        </w:rPr>
        <w:t xml:space="preserve">*** RG3 Low: BSL-2+ requires all four of the following to be simultaneously documented — a risk assessment with explicit justification, institutional biosafety status beyond “conditions pending,” enhanced containment controls, and procedure-specific operator competency. If any condition is missing, the assignment defaults to BSL-3.</w:t>
      </w:r>
    </w:p>
    <w:p>
      <w:pPr>
        <w:spacing w:after="160" w:line="300"/>
      </w:pPr>
      <w:r>
        <w:t xml:space="preserve">RG3* is a Table 8 operational designation, not a separate Risk Group. It only applies when a qualifying basis — replication incompetence, confirmed absence of airborne transmissibility, or validated inactivation — is selected and supporting evidence is documented. High PSR always requires BSL-3 regardless of RG3* status.</w:t>
      </w:r>
    </w:p>
    <w:p>
      <w:pPr>
        <w:pStyle w:val="Heading2"/>
        <w:spacing w:after="150" w:before="300"/>
      </w:pPr>
      <w:r>
        <w:t xml:space="preserve">6.3 Modulating factors and the ≥ 2 rule</w:t>
      </w:r>
    </w:p>
    <w:p>
      <w:pPr>
        <w:spacing w:after="160" w:line="300"/>
      </w:pPr>
      <w:r>
        <w:t xml:space="preserve">Nine procedural modulators (volume, concentration, frequency, aerosol, environmental stability, operator experience, supervision, infrastructure, incident history) are each rated favorable / neutral / unfavorable in Step 4. When two or more are rated unfavorable, the tool flags a professional escalation-consideration and shifts the applicable Step 5 likelihood range up by one category. This does not change the Step 3 PSR, which remains a function of Step 2 procedure characterization only. If the upward shift reaches the top of the likelihood scale, that single value becomes the only valid selection.</w:t>
      </w:r>
    </w:p>
    <w:p>
      <w:pPr>
        <w:spacing w:after="160" w:line="300"/>
      </w:pPr>
      <w:r>
        <w:t xml:space="preserve">Individual susceptibility (e.g. immunocompromised personnel, unavailable vaccination) is recorded separately in Step 4 and never counts toward the ≥ 2 escalation threshold, since it concerns the severity of consequences to a specific individual, not the likelihood of exposure; it is addressed through occupational health measures.</w:t>
      </w:r>
    </w:p>
    <w:p>
      <w:pPr>
        <w:pStyle w:val="Heading2"/>
        <w:spacing w:after="150" w:before="300"/>
      </w:pPr>
      <w:r>
        <w:t xml:space="preserve">6.4 Documented effective-severity modification</w:t>
      </w:r>
    </w:p>
    <w:p>
      <w:pPr>
        <w:spacing w:after="160" w:line="300"/>
      </w:pPr>
      <w:r>
        <w:t xml:space="preserve">Baseline severity is fixed by Risk Group: RG1 = Low, RG2 = Moderate, RG3 = High, RG4 = Extreme. In Step 5, effective severity may be documented as lower than that baseline — never higher — provided all of the following are supplied: a recognized basis (confirmed non-airborne transmission route, effective treatment or post-exposure prophylaxis available, validated agent inactivation, or another documented basis), a written justification, and supporting evidence/reference. If any of these is missing, the effective severity silently reverts to the Risk Group baseline.</w:t>
      </w:r>
    </w:p>
    <w:p>
      <w:pPr>
        <w:pStyle w:val="Heading2"/>
        <w:spacing w:after="150" w:before="300"/>
      </w:pPr>
      <w:r>
        <w:t xml:space="preserve">6.5 Decontamination and waste inactivation</w:t>
      </w:r>
    </w:p>
    <w:p>
      <w:pPr>
        <w:spacing w:after="160" w:line="300"/>
      </w:pPr>
      <w:r>
        <w:t xml:space="preserve">Step 7 generates a Decontamination &amp; waste inactivation section for the assigned control profile. The lead recommendation is agent-aware: the tool flags an environmentally stable / non-enveloped agent — and recommends a validated sporicidal/virucidal disinfectant (≥ 0.5–1% sodium hypochlorite), noting that plain ethanol is insufficient — whenever either (a) the Environmental stability modulating factor in Step 4 is rated unfavorable, or (b) the agent or parental-organism name matches a known non-enveloped virus or spore-former (e.g. adeno-associated virus/AAV, adenovirus, parvovirus, norovirus, rotavirus, enterovirus/poliovirus, hepatitis A, papillomavirus/HPV, calicivirus, reovirus, Bacillus/anthrax, Clostridium/C. difficile, prions, Cryptosporidium). For all other agents, 70% ethanol or quaternary ammonium is recommended for enveloped agents, with verification against the agent safety data sheet. All BSL tiers additionally require autoclaving or validated chemical inactivation of biological waste before disposal.</w:t>
      </w:r>
    </w:p>
    <w:p>
      <w:pPr>
        <w:pStyle w:val="Heading2"/>
        <w:spacing w:after="150" w:before="300"/>
      </w:pPr>
      <w:r>
        <w:t xml:space="preserve">6.6 Respiratory protection — regional standards</w:t>
      </w:r>
    </w:p>
    <w:p>
      <w:pPr>
        <w:spacing w:after="160" w:line="300"/>
      </w:pPr>
      <w:r>
        <w:t xml:space="preserve">Respiratory protection is specified as a required protection level; the certified device follows the applicable regional standard. The tool displays both designations: NIOSH N95/N99/N100 (United States/Canada) and EN 149 FFP2/FFP3 (European Union). N95 is broadly equivalent to FFP2, while FFP3 (≥ 99% filtration) is recommended for the highest-risk aerosol-generating procedures. Selecting the certified equivalent in force at the user’s location remains the responsibility of the institution.</w:t>
      </w:r>
    </w:p>
    <w:p>
      <w:pPr>
        <w:pStyle w:val="Heading2"/>
        <w:spacing w:after="150" w:before="300"/>
      </w:pPr>
      <w:r>
        <w:t xml:space="preserve">6.7 Exporting the assessment report (bilingual TXT and PDF)</w:t>
      </w:r>
    </w:p>
    <w:p>
      <w:pPr>
        <w:spacing w:after="160" w:line="300"/>
      </w:pPr>
      <w:r>
        <w:t xml:space="preserve">From Step 8, the completed assessment can be exported as a structured report. The report is fully bilingual: every section heading, label, and framework-derived recommendation is presented in English and Spanish in parallel, while assessor-entered free text (agent name, justification, additional controls) appears as typed. “Export as text” downloads a plain-text (.txt) file; the PDF option opens the formatted report in a new tab and triggers the browser print dialog, so the Quick Assessment Tool remains fully offline-capable. Export is blocked while any pause point is unresolved, an escalation justification is missing, or the RG3-Low BSL-2+ conditions are incomplete.</w:t>
      </w:r>
    </w:p>
    <w:p>
      <w:pPr>
        <w:pStyle w:val="Heading1"/>
        <w:spacing w:after="200" w:before="400"/>
      </w:pPr>
      <w:r>
        <w:t xml:space="preserve">7. Data Storage and Privacy</w:t>
      </w:r>
    </w:p>
    <w:p>
      <w:pPr>
        <w:pStyle w:val="ListParagraph"/>
        <w:numPr>
          <w:ilvl w:val="0"/>
          <w:numId w:val="1"/>
        </w:numPr>
        <w:spacing w:after="80" w:line="280"/>
      </w:pPr>
      <w:r>
        <w:t xml:space="preserve">All data is stored exclusively in the browser’s local storage on the user’s device.</w:t>
      </w:r>
    </w:p>
    <w:p>
      <w:pPr>
        <w:pStyle w:val="ListParagraph"/>
        <w:numPr>
          <w:ilvl w:val="0"/>
          <w:numId w:val="1"/>
        </w:numPr>
        <w:spacing w:after="80" w:line="280"/>
      </w:pPr>
      <w:r>
        <w:t xml:space="preserve">No data is transmitted to any external server at any point.</w:t>
      </w:r>
    </w:p>
    <w:p>
      <w:pPr>
        <w:pStyle w:val="ListParagraph"/>
        <w:numPr>
          <w:ilvl w:val="0"/>
          <w:numId w:val="1"/>
        </w:numPr>
        <w:spacing w:after="80" w:line="280"/>
      </w:pPr>
      <w:r>
        <w:t xml:space="preserve">Local storage is inherently volatile: data can be lost if browser history is cleared, the browser is changed, or private/incognito mode is used.</w:t>
      </w:r>
    </w:p>
    <w:p>
      <w:pPr>
        <w:pStyle w:val="ListParagraph"/>
        <w:numPr>
          <w:ilvl w:val="0"/>
          <w:numId w:val="1"/>
        </w:numPr>
        <w:spacing w:after="80" w:line="280"/>
      </w:pPr>
      <w:r>
        <w:t xml:space="preserve">For institutional use requiring guaranteed data persistence and audit-trail integrity, export CSV/PDF after each completed assessment.</w:t>
      </w:r>
    </w:p>
    <w:p>
      <w:pPr>
        <w:pStyle w:val="ListParagraph"/>
        <w:numPr>
          <w:ilvl w:val="0"/>
          <w:numId w:val="1"/>
        </w:numPr>
        <w:spacing w:after="80" w:line="280"/>
      </w:pPr>
      <w:r>
        <w:t xml:space="preserve">The tool is not a medical device and is not subject to IEC 62304 software validation requirements. It is provided as a research and educational decision-support tool.</w:t>
      </w:r>
    </w:p>
    <w:p>
      <w:pPr>
        <w:pStyle w:val="Heading1"/>
        <w:spacing w:after="200" w:before="400"/>
      </w:pPr>
      <w:r>
        <w:t xml:space="preserve">8. Regulatory and Methodological Basis</w:t>
      </w:r>
    </w:p>
    <w:p>
      <w:pPr>
        <w:spacing w:after="160" w:line="300"/>
      </w:pPr>
      <w:r>
        <w:t xml:space="preserve">The PSR framework is derived from structured regulatory synthesis of the following international and national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w:trPr>
          <w:tblHeader/>
        </w:trPr>
        <w:tc>
          <w:tcPr>
            <w:tcW w:type="dxa" w:w="66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Source</w:t>
            </w:r>
          </w:p>
        </w:tc>
        <w:tc>
          <w:tcPr>
            <w:tcW w:type="dxa" w:w="30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Type</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WHO Laboratory Biosafety Manual, 4th ed. (2020)</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International guidance</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BMBL, 6th ed. (CDC/NIH, 2020)</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International guidance</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CDC Biological Risk Assessment Process (2024)</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Technical guidance</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INSST Technical Guidance (2024)</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National technical</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INSST NTP 875, NTP 1201, NTP 1202</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National technical</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AAMI Laboratory Biosafety Brief (2016)</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Professional consensus</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Select Agents Program (CDC/USDA, 2025)</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Regulatory</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Spanish RD 664/1997</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National legislation</w:t>
            </w:r>
          </w:p>
        </w:tc>
      </w:tr>
      <w:tr>
        <w:tc>
          <w:tcPr>
            <w:tcW w:type="dxa" w:w="66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EU Directives 2000/54/EC and 2009/41/EC</w:t>
            </w:r>
          </w:p>
        </w:tc>
        <w:tc>
          <w:tcPr>
            <w:tcW w:type="dxa" w:w="30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Supranational law</w:t>
            </w:r>
          </w:p>
        </w:tc>
      </w:tr>
    </w:tbl>
    <w:p>
      <w:pPr>
        <w:pStyle w:val="Heading1"/>
        <w:spacing w:after="200" w:before="400"/>
      </w:pPr>
      <w:r>
        <w:t xml:space="preserve">9. License and Citation</w:t>
      </w:r>
    </w:p>
    <w:p>
      <w:pPr>
        <w:pStyle w:val="Heading2"/>
        <w:spacing w:after="150" w:before="300"/>
      </w:pPr>
      <w:r>
        <w:t xml:space="preserve">9.1 License</w:t>
      </w:r>
    </w:p>
    <w:p>
      <w:pPr>
        <w:spacing w:after="160" w:line="300"/>
      </w:pPr>
      <w:r>
        <w:t xml:space="preserve">The PSR Biosafety Assessment Tool is released under the MIT License. Free for research and institutional biosafety use. Source code: </w:t>
      </w:r>
      <w:hyperlink w:history="1" r:id="rIddhxbkhyl4wtnr9gpji2ec">
        <w:r>
          <w:rPr>
            <w:rStyle w:val="Hyperlink"/>
          </w:rPr>
          <w:t xml:space="preserve">https://github.com/Rafael-67/psr-tool</w:t>
        </w:r>
      </w:hyperlink>
    </w:p>
    <w:p>
      <w:pPr>
        <w:pStyle w:val="Heading2"/>
        <w:spacing w:after="150" w:before="300"/>
      </w:pPr>
      <w:r>
        <w:t xml:space="preserve">9.2 Citation</w:t>
      </w:r>
    </w:p>
    <w:p>
      <w:pPr>
        <w:spacing w:after="160" w:line="300"/>
      </w:pPr>
      <w:r>
        <w:t xml:space="preserve">If you use this tool in published research, please cite:</w:t>
      </w:r>
    </w:p>
    <w:p>
      <w:pPr>
        <w:spacing w:after="160" w:line="300"/>
        <w:ind w:left="300"/>
      </w:pPr>
      <w:r>
        <w:rPr>
          <w:i/>
          <w:iCs/>
          <w:sz w:val="20"/>
          <w:szCs w:val="20"/>
        </w:rPr>
        <w:t xml:space="preserve">Cena-Diez R. (2026). An 8-Step Procedure-Specific Risk Framework Enables Reproducible Biosafety Level Assignment Beyond Agent-Based Classification. Frontiers in Bioengineering and Biotechnology 14:1879247. doi:10.3389/fbioe.2026.1879247. Digital tool: https://rafael-67.github.io/psr-tool/</w:t>
      </w:r>
    </w:p>
    <w:p>
      <w:pPr>
        <w:pStyle w:val="Heading1"/>
        <w:spacing w:after="200" w:before="400"/>
      </w:pPr>
      <w:r>
        <w:t xml:space="preserve">10. Frequently Asked Questions</w:t>
      </w:r>
    </w:p>
    <w:p>
      <w:pPr>
        <w:pStyle w:val="Heading3"/>
        <w:spacing w:after="100" w:before="200"/>
      </w:pPr>
      <w:r>
        <w:t xml:space="preserve">“Selected likelihood shows a value but the integration result is blank.”</w:t>
      </w:r>
    </w:p>
    <w:p>
      <w:pPr>
        <w:spacing w:after="160" w:line="300"/>
      </w:pPr>
      <w:r>
        <w:t xml:space="preserve">Normal, when the likelihood range has more than one option: the “Professional justification for likelihood selection” field must also be filled and the field must lose focus (it saves on blur, not on every keystroke). Once both are set, the Severity × Likelihood result is computed.</w:t>
      </w:r>
    </w:p>
    <w:p>
      <w:pPr>
        <w:pStyle w:val="Heading3"/>
        <w:spacing w:after="100" w:before="200"/>
      </w:pPr>
      <w:r>
        <w:t xml:space="preserve">“What does the documented effective-severity modification do exactly?”</w:t>
      </w:r>
    </w:p>
    <w:p>
      <w:pPr>
        <w:spacing w:after="160" w:line="300"/>
      </w:pPr>
      <w:r>
        <w:t xml:space="preserve">It allows lowering — never raising — severity below the Risk Group baseline, and only takes effect when a recognized basis, a written justification, and supporting evidence are all provided; missing any one of the three (in addition to the modification checkbox and selected level) reverts silently to baseline severity. It is distinct from Individual susceptibility in Step 4, which addresses personnel-level risk rather than the agent’s intrinsic severity.</w:t>
      </w:r>
    </w:p>
    <w:p>
      <w:pPr>
        <w:pStyle w:val="Heading3"/>
        <w:spacing w:after="100" w:before="200"/>
      </w:pPr>
      <w:r>
        <w:t xml:space="preserve">“Is the workflow status an institutional approval?”</w:t>
      </w:r>
    </w:p>
    <w:p>
      <w:pPr>
        <w:spacing w:after="160" w:line="300"/>
      </w:pPr>
      <w:r>
        <w:t xml:space="preserve">No. The software only records what the user enters; it does not verify or grant approval on behalf of any institution. Actual sign-off must occur through the institutional biosafety committee.</w:t>
      </w:r>
    </w:p>
    <w:p>
      <w:pPr>
        <w:pStyle w:val="Heading3"/>
        <w:spacing w:after="100" w:before="200"/>
      </w:pPr>
      <w:r>
        <w:t xml:space="preserve">“Why is the Formal IRR panel showing no data?”</w:t>
      </w:r>
    </w:p>
    <w:p>
      <w:pPr>
        <w:spacing w:after="160" w:line="300"/>
      </w:pPr>
      <w:r>
        <w:t xml:space="preserve">Confirm that every assessment expected in the comparison has data origin = study, all five identifiers (Study ID, Scenario ID, Scenario version, Rater ID, Institution ID), and a finalized workflow status. Individual- and demonstration-origin records are excluded by design.</w:t>
      </w:r>
    </w:p>
    <w:p>
      <w:pPr>
        <w:pStyle w:val="Heading1"/>
        <w:spacing w:after="200" w:before="400"/>
      </w:pPr>
      <w:r>
        <w:t xml:space="preserve">11. Version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400"/>
      </w:tblGrid>
      <w:tr>
        <w:trPr>
          <w:tblHeader/>
        </w:trPr>
        <w:tc>
          <w:tcPr>
            <w:tcW w:type="dxa" w:w="14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Version</w:t>
            </w:r>
          </w:p>
        </w:tc>
        <w:tc>
          <w:tcPr>
            <w:tcW w:type="dxa" w:w="18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Date</w:t>
            </w:r>
          </w:p>
        </w:tc>
        <w:tc>
          <w:tcPr>
            <w:tcW w:type="dxa" w:w="64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pPr>
              <w:jc w:val="left"/>
            </w:pPr>
            <w:r>
              <w:rPr>
                <w:b/>
                <w:bCs/>
                <w:color w:val="534AB7"/>
                <w:sz w:val="20"/>
                <w:szCs w:val="20"/>
              </w:rPr>
              <w:t xml:space="preserve">Changes</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1.0.0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January 2025</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Initial release. Quick Tool and Platform with Cohen’s κ pairwise IRR.</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1.1.0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April 2026</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Analytics module expanded. Built-in case studies 1–6 added.</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1.2.0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May 2026</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Fleiss’ κ (multi-rater) added as primary IRR metric. IRR tab redesigned with dual Cohen/Fleiss display, confusion matrix, discrepancy table, and agreement by Risk Group.</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1.3.0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June 2026</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Step 7 enhanced: agent-aware decontamination logic and regional respiratory-protection equivalents added.</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1.4.0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June 2026</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Full-suite internationalization (EN/ES) across the Quick Tool, Platform, and Analytics module, with a shared, persistent language selector. Bilingual structured assessment report added.</w:t>
            </w:r>
          </w:p>
        </w:tc>
      </w:tr>
      <w:tr>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2.0.0</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August 2026</w:t>
            </w:r>
          </w:p>
        </w:tc>
        <w:tc>
          <w:tcPr>
            <w:tcW w:type="dxa" w:w="6400"/>
            <w:tcBorders>
              <w:top w:val="single" w:color="CCCCCC" w:sz="4"/>
              <w:left w:val="single" w:color="CCCCCC" w:sz="4"/>
              <w:bottom w:val="single" w:color="CCCCCC" w:sz="4"/>
              <w:right w:val="single" w:color="CCCCCC" w:sz="4"/>
            </w:tcBorders>
            <w:tcMar>
              <w:top w:type="dxa" w:w="80"/>
              <w:left w:type="dxa" w:w="100"/>
              <w:bottom w:type="dxa" w:w="80"/>
              <w:right w:type="dxa" w:w="100"/>
            </w:tcMar>
            <w:vAlign w:val="center"/>
          </w:tcPr>
          <w:p>
            <w:pPr>
              <w:jc w:val="left"/>
            </w:pPr>
            <w:r>
              <w:rPr>
                <w:b w:val="false"/>
                <w:bCs w:val="false"/>
                <w:sz w:val="20"/>
                <w:szCs w:val="20"/>
              </w:rPr>
              <w:t xml:space="preserve">Manual fully realigned with the current codebase. Corrected: the ≥2 unfavorable-factor rule now documented as a likelihood-shift / escalation-consideration flag, not an automatic PSR change; RG3* documented as requiring an explicit qualifying basis and evidence rather than being automatic for replication-defective GMOs; documented (never-increasing) effective-severity modification for Step 5 added; RG3-Low BSL-2+ four-condition pathway documented. New formal Inter-Rater Reliability system documented: eligibility requires dataOrigin = study plus Study ID, Scenario ID, Scenario version, Rater ID, and Institution ID; duplicate detection; Fleiss’ κ requires an identical rater panel across every scenario. Workflow-status and institutional-approval fields documented as user-recorded statements, not verified approvals. Completed EN/ES coverage for the Step 8 documentation/workflow fields and the Analytics IRR panel, previously English-only. Citation updated to the published DOI.</w:t>
            </w:r>
          </w:p>
        </w:tc>
      </w:tr>
    </w:tbl>
    <w:p>
      <w:pPr>
        <w:spacing w:before="400"/>
        <w:jc w:val="center"/>
      </w:pPr>
      <w:r>
        <w:rPr>
          <w:i/>
          <w:iCs/>
          <w:color w:val="666666"/>
          <w:sz w:val="18"/>
          <w:szCs w:val="18"/>
        </w:rPr>
        <w:t xml:space="preserve">PSR Biosafety Assessment Tool — User Manual v2.0.0</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6"/>
        <w:szCs w:val="16"/>
      </w:rPr>
      <w:t xml:space="preserve">PSR Biosafety Assessment Tool</w:t>
    </w:r>
    <w:r>
      <w:rPr>
        <w:color w:val="666666"/>
        <w:sz w:val="16"/>
        <w:szCs w:val="16"/>
      </w:rPr>
      <w:t xml:space="preserve">	User Manual v2.0.0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34AB7" w:sz="6" w:space="4"/>
      </w:pBdr>
      <w:spacing w:after="180" w:before="360"/>
    </w:pPr>
    <w:rPr>
      <w:rFonts w:ascii="Calibri" w:cs="Calibri" w:eastAsia="Calibri" w:hAnsi="Calibri"/>
      <w:b/>
      <w:bCs/>
      <w:color w:val="534AB7"/>
      <w:sz w:val="30"/>
      <w:szCs w:val="30"/>
    </w:rPr>
  </w:style>
  <w:style w:type="paragraph" w:styleId="Heading2">
    <w:name w:val="Heading 2"/>
    <w:basedOn w:val="Normal"/>
    <w:next w:val="Normal"/>
    <w:qFormat/>
    <w:pPr>
      <w:spacing w:after="120" w:before="260"/>
    </w:pPr>
    <w:rPr>
      <w:rFonts w:ascii="Calibri" w:cs="Calibri" w:eastAsia="Calibri" w:hAnsi="Calibri"/>
      <w:b/>
      <w:bCs/>
      <w:color w:val="333333"/>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zbhfm58uzkz9hgd3xdct" Type="http://schemas.openxmlformats.org/officeDocument/2006/relationships/hyperlink" Target="https://rafael-67.github.io/psr-tool/" TargetMode="External"/><Relationship Id="rId6kgnb8sywpwp9drn_sxqs" Type="http://schemas.openxmlformats.org/officeDocument/2006/relationships/hyperlink" Target="https://rafael-67.github.io/psr-tool/" TargetMode="External"/><Relationship Id="rIddhxbkhyl4wtnr9gpji2ec" Type="http://schemas.openxmlformats.org/officeDocument/2006/relationships/hyperlink" Target="https://github.com/Rafael-67/psr-too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2026-08-16T09:10:35.556Z</dcterms:created>
  <dcterms:modified xsi:type="dcterms:W3CDTF">2026-08-16T09:10:35.557Z</dcterms:modified>
</cp:coreProperties>
</file>

<file path=docProps/custom.xml><?xml version="1.0" encoding="utf-8"?>
<Properties xmlns="http://schemas.openxmlformats.org/officeDocument/2006/custom-properties" xmlns:vt="http://schemas.openxmlformats.org/officeDocument/2006/docPropsVTypes"/>
</file>