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ermanent Mark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>
        <w:rFonts w:ascii="Permanent Marker" w:cs="Permanent Marker" w:eastAsia="Permanent Marker" w:hAnsi="Permanent Marker"/>
        <w:i w:val="1"/>
        <w:sz w:val="34"/>
        <w:szCs w:val="34"/>
        <w:u w:val="single"/>
      </w:rPr>
    </w:pPr>
    <w:r w:rsidDel="00000000" w:rsidR="00000000" w:rsidRPr="00000000">
      <w:rPr>
        <w:rFonts w:ascii="Permanent Marker" w:cs="Permanent Marker" w:eastAsia="Permanent Marker" w:hAnsi="Permanent Marker"/>
        <w:i w:val="1"/>
        <w:sz w:val="34"/>
        <w:szCs w:val="34"/>
        <w:u w:val="single"/>
        <w:rtl w:val="0"/>
      </w:rPr>
      <w:t xml:space="preserve">Tarefa 14 - Química - Rafael Albuquerque de Paula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