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87EC84" w14:textId="77777777" w:rsidR="000B1CD0" w:rsidRDefault="00000000">
      <w:pPr>
        <w:pStyle w:val="Ttulo"/>
        <w:pBdr>
          <w:top w:val="nil"/>
          <w:left w:val="nil"/>
          <w:bottom w:val="nil"/>
          <w:right w:val="nil"/>
          <w:between w:val="nil"/>
        </w:pBdr>
        <w:rPr>
          <w:rFonts w:ascii="Proxima Nova" w:eastAsia="Proxima Nova" w:hAnsi="Proxima Nova" w:cs="Proxima Nova"/>
          <w:b/>
          <w:color w:val="4A86E8"/>
          <w:sz w:val="58"/>
          <w:szCs w:val="58"/>
        </w:rPr>
      </w:pPr>
      <w:bookmarkStart w:id="0" w:name="_5x0d5h95i329" w:colFirst="0" w:colLast="0"/>
      <w:bookmarkEnd w:id="0"/>
      <w:r>
        <w:rPr>
          <w:b/>
          <w:color w:val="4A86E8"/>
          <w:sz w:val="58"/>
          <w:szCs w:val="58"/>
        </w:rPr>
        <w:t>Vulnerability Assessment Report</w:t>
      </w:r>
    </w:p>
    <w:p w14:paraId="0189527B" w14:textId="77777777" w:rsidR="000B1CD0" w:rsidRDefault="00000000">
      <w:pPr>
        <w:pStyle w:val="Subttulo"/>
        <w:pBdr>
          <w:top w:val="nil"/>
          <w:left w:val="nil"/>
          <w:bottom w:val="nil"/>
          <w:right w:val="nil"/>
          <w:between w:val="nil"/>
        </w:pBdr>
        <w:rPr>
          <w:b/>
          <w:sz w:val="28"/>
          <w:szCs w:val="28"/>
        </w:rPr>
      </w:pPr>
      <w:bookmarkStart w:id="1" w:name="_af80tl7prv5v" w:colFirst="0" w:colLast="0"/>
      <w:bookmarkEnd w:id="1"/>
      <w:r>
        <w:rPr>
          <w:b/>
          <w:sz w:val="28"/>
          <w:szCs w:val="28"/>
        </w:rPr>
        <w:t>1</w:t>
      </w:r>
      <w:r>
        <w:rPr>
          <w:b/>
          <w:sz w:val="28"/>
          <w:szCs w:val="28"/>
          <w:vertAlign w:val="superscript"/>
        </w:rPr>
        <w:t>st</w:t>
      </w:r>
      <w:r>
        <w:rPr>
          <w:b/>
          <w:sz w:val="28"/>
          <w:szCs w:val="28"/>
        </w:rPr>
        <w:t xml:space="preserve"> January 20XX</w:t>
      </w:r>
    </w:p>
    <w:p w14:paraId="0C2DF9F3" w14:textId="77777777" w:rsidR="000B1CD0" w:rsidRDefault="00000000">
      <w:pPr>
        <w:pStyle w:val="Subttulo"/>
        <w:pBdr>
          <w:top w:val="nil"/>
          <w:left w:val="nil"/>
          <w:bottom w:val="nil"/>
          <w:right w:val="nil"/>
          <w:between w:val="nil"/>
        </w:pBdr>
        <w:rPr>
          <w:b/>
          <w:sz w:val="28"/>
          <w:szCs w:val="28"/>
        </w:rPr>
      </w:pPr>
      <w:bookmarkStart w:id="2" w:name="_nhcy8rpxthcf" w:colFirst="0" w:colLast="0"/>
      <w:bookmarkEnd w:id="2"/>
      <w:r>
        <w:pict w14:anchorId="0FC6FA0D">
          <v:rect id="_x0000_i1025" style="width:0;height:1.5pt" o:hralign="center" o:hrstd="t" o:hr="t" fillcolor="#a0a0a0" stroked="f"/>
        </w:pict>
      </w:r>
    </w:p>
    <w:p w14:paraId="5ADA9AC5" w14:textId="77777777" w:rsidR="000B1CD0" w:rsidRDefault="00000000">
      <w:pPr>
        <w:pStyle w:val="Ttulo1"/>
        <w:pBdr>
          <w:top w:val="nil"/>
          <w:left w:val="nil"/>
          <w:bottom w:val="nil"/>
          <w:right w:val="nil"/>
          <w:between w:val="nil"/>
        </w:pBdr>
      </w:pPr>
      <w:bookmarkStart w:id="3" w:name="_buc6q0k08dmn" w:colFirst="0" w:colLast="0"/>
      <w:bookmarkEnd w:id="3"/>
      <w:r>
        <w:t>System Description</w:t>
      </w:r>
    </w:p>
    <w:p w14:paraId="0F706574" w14:textId="77777777" w:rsidR="000B1CD0" w:rsidRDefault="00000000">
      <w:pPr>
        <w:pBdr>
          <w:top w:val="nil"/>
          <w:left w:val="nil"/>
          <w:bottom w:val="nil"/>
          <w:right w:val="nil"/>
          <w:between w:val="nil"/>
        </w:pBdr>
      </w:pPr>
      <w: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14:paraId="65F0C1E5" w14:textId="77777777" w:rsidR="000B1CD0" w:rsidRDefault="00000000">
      <w:pPr>
        <w:pStyle w:val="Ttulo1"/>
      </w:pPr>
      <w:bookmarkStart w:id="4" w:name="_e64wndl8jmz1" w:colFirst="0" w:colLast="0"/>
      <w:bookmarkEnd w:id="4"/>
      <w:r>
        <w:t>Scope</w:t>
      </w:r>
    </w:p>
    <w:p w14:paraId="604B5537" w14:textId="77777777" w:rsidR="000B1CD0" w:rsidRDefault="00000000">
      <w:r>
        <w:t xml:space="preserve">The scope of this vulnerability assessment relates to the current access controls of the system. The assessment will cover a period of three months, from June 20XX to August 20XX. </w:t>
      </w:r>
      <w:hyperlink r:id="rId6">
        <w:r>
          <w:rPr>
            <w:color w:val="1155CC"/>
            <w:u w:val="single"/>
          </w:rPr>
          <w:t>NIST SP 800-30 Rev. 1</w:t>
        </w:r>
      </w:hyperlink>
      <w:r>
        <w:t xml:space="preserve"> is used to guide the risk analysis of the information system.</w:t>
      </w:r>
    </w:p>
    <w:p w14:paraId="451115D1" w14:textId="77777777" w:rsidR="000B1CD0" w:rsidRDefault="00000000">
      <w:pPr>
        <w:pStyle w:val="Ttulo1"/>
      </w:pPr>
      <w:bookmarkStart w:id="5" w:name="_oymnw3nlvwib" w:colFirst="0" w:colLast="0"/>
      <w:bookmarkEnd w:id="5"/>
      <w:r>
        <w:t>Purpose</w:t>
      </w:r>
    </w:p>
    <w:p w14:paraId="3B7ECFEA" w14:textId="77777777" w:rsidR="000B1CD0" w:rsidRDefault="000B1CD0">
      <w:pPr>
        <w:spacing w:before="0" w:line="276" w:lineRule="auto"/>
      </w:pPr>
    </w:p>
    <w:p w14:paraId="0AFB0772" w14:textId="77777777" w:rsidR="000B1CD0" w:rsidRDefault="00000000">
      <w:pPr>
        <w:spacing w:before="0" w:line="276" w:lineRule="auto"/>
        <w:rPr>
          <w:i/>
        </w:rPr>
      </w:pPr>
      <w:r>
        <w:t xml:space="preserve">Since the company is an ecommerce, the database is a fundamental, even essential part of it, since it’s where clients and their information </w:t>
      </w:r>
      <w:proofErr w:type="gramStart"/>
      <w:r>
        <w:t>is</w:t>
      </w:r>
      <w:proofErr w:type="gramEnd"/>
      <w:r>
        <w:t xml:space="preserve"> stored; it’s also the source of new leads to offer products.</w:t>
      </w:r>
    </w:p>
    <w:p w14:paraId="5B59662C" w14:textId="77777777" w:rsidR="000B1CD0" w:rsidRDefault="000B1CD0">
      <w:pPr>
        <w:spacing w:before="0" w:line="276" w:lineRule="auto"/>
        <w:rPr>
          <w:i/>
        </w:rPr>
      </w:pPr>
    </w:p>
    <w:p w14:paraId="0FB183F3" w14:textId="71ACC02B" w:rsidR="000B1CD0" w:rsidRDefault="00000000">
      <w:pPr>
        <w:spacing w:before="0" w:line="276" w:lineRule="auto"/>
      </w:pPr>
      <w:r>
        <w:t xml:space="preserve">Since the database is so essential to the success and operation of the company, it is of paramount importance to protect it against threats that could corrupt it, </w:t>
      </w:r>
      <w:r w:rsidR="0020428C">
        <w:t>steal,</w:t>
      </w:r>
      <w:r>
        <w:t xml:space="preserve"> and sell the data or even gain access to the company’s whole network. </w:t>
      </w:r>
      <w:r w:rsidR="0020428C">
        <w:t>So, periodic vulnerability assessments are a very necessary precaution.</w:t>
      </w:r>
    </w:p>
    <w:p w14:paraId="281FAC37" w14:textId="77777777" w:rsidR="000B1CD0" w:rsidRDefault="000B1CD0">
      <w:pPr>
        <w:spacing w:before="0" w:line="276" w:lineRule="auto"/>
      </w:pPr>
    </w:p>
    <w:p w14:paraId="621E7087" w14:textId="7F35736D" w:rsidR="000B1CD0" w:rsidRDefault="00000000">
      <w:pPr>
        <w:spacing w:before="0" w:line="276" w:lineRule="auto"/>
      </w:pPr>
      <w:r>
        <w:t xml:space="preserve">Due to the high importance of the database, any threat that compromises it would likely mean a financial, </w:t>
      </w:r>
      <w:r w:rsidR="0020428C">
        <w:t>operational,</w:t>
      </w:r>
      <w:r>
        <w:t xml:space="preserve"> and reputational catastrophe for the company. </w:t>
      </w:r>
    </w:p>
    <w:p w14:paraId="44CFCDE0" w14:textId="77777777" w:rsidR="000B1CD0" w:rsidRDefault="00000000">
      <w:pPr>
        <w:pStyle w:val="Ttulo1"/>
        <w:pBdr>
          <w:top w:val="nil"/>
          <w:left w:val="nil"/>
          <w:bottom w:val="nil"/>
          <w:right w:val="nil"/>
          <w:between w:val="nil"/>
        </w:pBdr>
      </w:pPr>
      <w:bookmarkStart w:id="6" w:name="_i2ip4lwifo50" w:colFirst="0" w:colLast="0"/>
      <w:bookmarkEnd w:id="6"/>
      <w:r>
        <w:t>Risk Assessment</w:t>
      </w:r>
    </w:p>
    <w:p w14:paraId="7319D440" w14:textId="77777777" w:rsidR="000B1CD0" w:rsidRDefault="000B1CD0">
      <w:pPr>
        <w:pBdr>
          <w:top w:val="nil"/>
          <w:left w:val="nil"/>
          <w:bottom w:val="nil"/>
          <w:right w:val="nil"/>
          <w:between w:val="nil"/>
        </w:pBdr>
      </w:pPr>
    </w:p>
    <w:tbl>
      <w:tblPr>
        <w:tblStyle w:val="a"/>
        <w:tblW w:w="93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0B1CD0" w14:paraId="75B6F815" w14:textId="77777777">
        <w:tc>
          <w:tcPr>
            <w:tcW w:w="1860" w:type="dxa"/>
            <w:shd w:val="clear" w:color="auto" w:fill="C9DAF8"/>
            <w:tcMar>
              <w:top w:w="100" w:type="dxa"/>
              <w:left w:w="100" w:type="dxa"/>
              <w:bottom w:w="100" w:type="dxa"/>
              <w:right w:w="100" w:type="dxa"/>
            </w:tcMar>
          </w:tcPr>
          <w:p w14:paraId="40F09F33" w14:textId="77777777" w:rsidR="000B1CD0" w:rsidRDefault="00000000">
            <w:pPr>
              <w:widowControl w:val="0"/>
              <w:pBdr>
                <w:top w:val="nil"/>
                <w:left w:val="nil"/>
                <w:bottom w:val="nil"/>
                <w:right w:val="nil"/>
                <w:between w:val="nil"/>
              </w:pBdr>
              <w:spacing w:before="0" w:line="240" w:lineRule="auto"/>
              <w:rPr>
                <w:b/>
              </w:rPr>
            </w:pPr>
            <w:r>
              <w:rPr>
                <w:b/>
              </w:rPr>
              <w:t>Threat source</w:t>
            </w:r>
          </w:p>
        </w:tc>
        <w:tc>
          <w:tcPr>
            <w:tcW w:w="3615" w:type="dxa"/>
            <w:shd w:val="clear" w:color="auto" w:fill="C9DAF8"/>
            <w:tcMar>
              <w:top w:w="100" w:type="dxa"/>
              <w:left w:w="100" w:type="dxa"/>
              <w:bottom w:w="100" w:type="dxa"/>
              <w:right w:w="100" w:type="dxa"/>
            </w:tcMar>
          </w:tcPr>
          <w:p w14:paraId="6A183C6B" w14:textId="77777777" w:rsidR="000B1CD0" w:rsidRDefault="00000000">
            <w:pPr>
              <w:widowControl w:val="0"/>
              <w:pBdr>
                <w:top w:val="nil"/>
                <w:left w:val="nil"/>
                <w:bottom w:val="nil"/>
                <w:right w:val="nil"/>
                <w:between w:val="nil"/>
              </w:pBdr>
              <w:spacing w:before="0" w:line="240" w:lineRule="auto"/>
              <w:rPr>
                <w:b/>
              </w:rPr>
            </w:pPr>
            <w:r>
              <w:rPr>
                <w:b/>
              </w:rPr>
              <w:t>Threat event</w:t>
            </w:r>
          </w:p>
        </w:tc>
        <w:tc>
          <w:tcPr>
            <w:tcW w:w="1395" w:type="dxa"/>
            <w:shd w:val="clear" w:color="auto" w:fill="C9DAF8"/>
            <w:tcMar>
              <w:top w:w="100" w:type="dxa"/>
              <w:left w:w="100" w:type="dxa"/>
              <w:bottom w:w="100" w:type="dxa"/>
              <w:right w:w="100" w:type="dxa"/>
            </w:tcMar>
          </w:tcPr>
          <w:p w14:paraId="3ED2CD5B" w14:textId="77777777" w:rsidR="000B1CD0" w:rsidRDefault="00000000">
            <w:pPr>
              <w:widowControl w:val="0"/>
              <w:pBdr>
                <w:top w:val="nil"/>
                <w:left w:val="nil"/>
                <w:bottom w:val="nil"/>
                <w:right w:val="nil"/>
                <w:between w:val="nil"/>
              </w:pBdr>
              <w:spacing w:before="0" w:line="240" w:lineRule="auto"/>
              <w:rPr>
                <w:b/>
              </w:rPr>
            </w:pPr>
            <w:r>
              <w:rPr>
                <w:b/>
              </w:rPr>
              <w:t>Likelihood</w:t>
            </w:r>
          </w:p>
        </w:tc>
        <w:tc>
          <w:tcPr>
            <w:tcW w:w="1320" w:type="dxa"/>
            <w:shd w:val="clear" w:color="auto" w:fill="C9DAF8"/>
            <w:tcMar>
              <w:top w:w="100" w:type="dxa"/>
              <w:left w:w="100" w:type="dxa"/>
              <w:bottom w:w="100" w:type="dxa"/>
              <w:right w:w="100" w:type="dxa"/>
            </w:tcMar>
          </w:tcPr>
          <w:p w14:paraId="381CF8E5" w14:textId="77777777" w:rsidR="000B1CD0" w:rsidRDefault="00000000">
            <w:pPr>
              <w:widowControl w:val="0"/>
              <w:pBdr>
                <w:top w:val="nil"/>
                <w:left w:val="nil"/>
                <w:bottom w:val="nil"/>
                <w:right w:val="nil"/>
                <w:between w:val="nil"/>
              </w:pBdr>
              <w:spacing w:before="0" w:line="240" w:lineRule="auto"/>
              <w:rPr>
                <w:b/>
              </w:rPr>
            </w:pPr>
            <w:r>
              <w:rPr>
                <w:b/>
              </w:rPr>
              <w:t>Severity</w:t>
            </w:r>
          </w:p>
        </w:tc>
        <w:tc>
          <w:tcPr>
            <w:tcW w:w="1110" w:type="dxa"/>
            <w:shd w:val="clear" w:color="auto" w:fill="C9DAF8"/>
            <w:tcMar>
              <w:top w:w="100" w:type="dxa"/>
              <w:left w:w="100" w:type="dxa"/>
              <w:bottom w:w="100" w:type="dxa"/>
              <w:right w:w="100" w:type="dxa"/>
            </w:tcMar>
          </w:tcPr>
          <w:p w14:paraId="4A85450E" w14:textId="77777777" w:rsidR="000B1CD0" w:rsidRDefault="00000000">
            <w:pPr>
              <w:widowControl w:val="0"/>
              <w:pBdr>
                <w:top w:val="nil"/>
                <w:left w:val="nil"/>
                <w:bottom w:val="nil"/>
                <w:right w:val="nil"/>
                <w:between w:val="nil"/>
              </w:pBdr>
              <w:spacing w:before="0" w:line="240" w:lineRule="auto"/>
              <w:rPr>
                <w:b/>
              </w:rPr>
            </w:pPr>
            <w:r>
              <w:rPr>
                <w:b/>
              </w:rPr>
              <w:t>Risk</w:t>
            </w:r>
          </w:p>
        </w:tc>
      </w:tr>
      <w:tr w:rsidR="000B1CD0" w14:paraId="4D3841EE" w14:textId="77777777">
        <w:tc>
          <w:tcPr>
            <w:tcW w:w="1860" w:type="dxa"/>
            <w:shd w:val="clear" w:color="auto" w:fill="auto"/>
            <w:tcMar>
              <w:top w:w="100" w:type="dxa"/>
              <w:left w:w="100" w:type="dxa"/>
              <w:bottom w:w="100" w:type="dxa"/>
              <w:right w:w="100" w:type="dxa"/>
            </w:tcMar>
          </w:tcPr>
          <w:p w14:paraId="07584135" w14:textId="77777777" w:rsidR="000B1CD0" w:rsidRDefault="00000000">
            <w:pPr>
              <w:widowControl w:val="0"/>
              <w:pBdr>
                <w:top w:val="nil"/>
                <w:left w:val="nil"/>
                <w:bottom w:val="nil"/>
                <w:right w:val="nil"/>
                <w:between w:val="nil"/>
              </w:pBdr>
              <w:spacing w:before="0" w:line="240" w:lineRule="auto"/>
              <w:rPr>
                <w:i/>
              </w:rPr>
            </w:pPr>
            <w:r>
              <w:rPr>
                <w:i/>
              </w:rPr>
              <w:t>Competitor</w:t>
            </w:r>
          </w:p>
        </w:tc>
        <w:tc>
          <w:tcPr>
            <w:tcW w:w="3615" w:type="dxa"/>
            <w:shd w:val="clear" w:color="auto" w:fill="auto"/>
            <w:tcMar>
              <w:top w:w="100" w:type="dxa"/>
              <w:left w:w="100" w:type="dxa"/>
              <w:bottom w:w="100" w:type="dxa"/>
              <w:right w:w="100" w:type="dxa"/>
            </w:tcMar>
          </w:tcPr>
          <w:p w14:paraId="5FCA403B" w14:textId="77777777" w:rsidR="000B1CD0" w:rsidRDefault="00000000">
            <w:pPr>
              <w:widowControl w:val="0"/>
              <w:pBdr>
                <w:top w:val="nil"/>
                <w:left w:val="nil"/>
                <w:bottom w:val="nil"/>
                <w:right w:val="nil"/>
                <w:between w:val="nil"/>
              </w:pBdr>
              <w:spacing w:before="0" w:line="240" w:lineRule="auto"/>
              <w:rPr>
                <w:i/>
              </w:rPr>
            </w:pPr>
            <w:r>
              <w:rPr>
                <w:i/>
              </w:rPr>
              <w:t xml:space="preserve">Obtain sensitive information via </w:t>
            </w:r>
            <w:r>
              <w:rPr>
                <w:i/>
              </w:rPr>
              <w:lastRenderedPageBreak/>
              <w:t>exfiltration</w:t>
            </w:r>
          </w:p>
        </w:tc>
        <w:tc>
          <w:tcPr>
            <w:tcW w:w="1395" w:type="dxa"/>
            <w:shd w:val="clear" w:color="auto" w:fill="auto"/>
            <w:tcMar>
              <w:top w:w="100" w:type="dxa"/>
              <w:left w:w="100" w:type="dxa"/>
              <w:bottom w:w="100" w:type="dxa"/>
              <w:right w:w="100" w:type="dxa"/>
            </w:tcMar>
          </w:tcPr>
          <w:p w14:paraId="6D0EF731" w14:textId="77777777" w:rsidR="000B1CD0" w:rsidRDefault="00000000">
            <w:pPr>
              <w:widowControl w:val="0"/>
              <w:pBdr>
                <w:top w:val="nil"/>
                <w:left w:val="nil"/>
                <w:bottom w:val="nil"/>
                <w:right w:val="nil"/>
                <w:between w:val="nil"/>
              </w:pBdr>
              <w:spacing w:before="0" w:line="240" w:lineRule="auto"/>
              <w:rPr>
                <w:i/>
              </w:rPr>
            </w:pPr>
            <w:r>
              <w:rPr>
                <w:i/>
              </w:rPr>
              <w:lastRenderedPageBreak/>
              <w:t>1</w:t>
            </w:r>
          </w:p>
        </w:tc>
        <w:tc>
          <w:tcPr>
            <w:tcW w:w="1320" w:type="dxa"/>
            <w:shd w:val="clear" w:color="auto" w:fill="auto"/>
            <w:tcMar>
              <w:top w:w="100" w:type="dxa"/>
              <w:left w:w="100" w:type="dxa"/>
              <w:bottom w:w="100" w:type="dxa"/>
              <w:right w:w="100" w:type="dxa"/>
            </w:tcMar>
          </w:tcPr>
          <w:p w14:paraId="722DF1E2" w14:textId="77777777" w:rsidR="000B1CD0" w:rsidRDefault="00000000">
            <w:pPr>
              <w:widowControl w:val="0"/>
              <w:pBdr>
                <w:top w:val="nil"/>
                <w:left w:val="nil"/>
                <w:bottom w:val="nil"/>
                <w:right w:val="nil"/>
                <w:between w:val="nil"/>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67A55845" w14:textId="77777777" w:rsidR="000B1CD0" w:rsidRDefault="00000000">
            <w:pPr>
              <w:widowControl w:val="0"/>
              <w:pBdr>
                <w:top w:val="nil"/>
                <w:left w:val="nil"/>
                <w:bottom w:val="nil"/>
                <w:right w:val="nil"/>
                <w:between w:val="nil"/>
              </w:pBdr>
              <w:spacing w:before="0" w:line="240" w:lineRule="auto"/>
              <w:rPr>
                <w:i/>
              </w:rPr>
            </w:pPr>
            <w:r>
              <w:rPr>
                <w:i/>
              </w:rPr>
              <w:t>3</w:t>
            </w:r>
          </w:p>
        </w:tc>
      </w:tr>
      <w:tr w:rsidR="000B1CD0" w14:paraId="4B9736EC" w14:textId="77777777">
        <w:tc>
          <w:tcPr>
            <w:tcW w:w="1860" w:type="dxa"/>
            <w:shd w:val="clear" w:color="auto" w:fill="auto"/>
            <w:tcMar>
              <w:top w:w="100" w:type="dxa"/>
              <w:left w:w="100" w:type="dxa"/>
              <w:bottom w:w="100" w:type="dxa"/>
              <w:right w:w="100" w:type="dxa"/>
            </w:tcMar>
          </w:tcPr>
          <w:p w14:paraId="024632C3" w14:textId="77777777" w:rsidR="000B1CD0" w:rsidRDefault="00000000">
            <w:pPr>
              <w:widowControl w:val="0"/>
              <w:pBdr>
                <w:top w:val="nil"/>
                <w:left w:val="nil"/>
                <w:bottom w:val="nil"/>
                <w:right w:val="nil"/>
                <w:between w:val="nil"/>
              </w:pBdr>
              <w:spacing w:before="0" w:line="240" w:lineRule="auto"/>
              <w:rPr>
                <w:i/>
              </w:rPr>
            </w:pPr>
            <w:r>
              <w:rPr>
                <w:i/>
              </w:rPr>
              <w:t>Disgruntled employee</w:t>
            </w:r>
          </w:p>
        </w:tc>
        <w:tc>
          <w:tcPr>
            <w:tcW w:w="3615" w:type="dxa"/>
            <w:shd w:val="clear" w:color="auto" w:fill="auto"/>
            <w:tcMar>
              <w:top w:w="100" w:type="dxa"/>
              <w:left w:w="100" w:type="dxa"/>
              <w:bottom w:w="100" w:type="dxa"/>
              <w:right w:w="100" w:type="dxa"/>
            </w:tcMar>
          </w:tcPr>
          <w:p w14:paraId="5A161A83" w14:textId="77777777" w:rsidR="000B1CD0" w:rsidRDefault="00000000">
            <w:pPr>
              <w:widowControl w:val="0"/>
              <w:spacing w:before="0" w:line="240" w:lineRule="auto"/>
              <w:rPr>
                <w:color w:val="000000"/>
              </w:rPr>
            </w:pPr>
            <w:r>
              <w:rPr>
                <w:color w:val="000000"/>
              </w:rPr>
              <w:t>Alter/Delete critical information</w:t>
            </w:r>
          </w:p>
        </w:tc>
        <w:tc>
          <w:tcPr>
            <w:tcW w:w="1395" w:type="dxa"/>
            <w:shd w:val="clear" w:color="auto" w:fill="auto"/>
            <w:tcMar>
              <w:top w:w="100" w:type="dxa"/>
              <w:left w:w="100" w:type="dxa"/>
              <w:bottom w:w="100" w:type="dxa"/>
              <w:right w:w="100" w:type="dxa"/>
            </w:tcMar>
          </w:tcPr>
          <w:p w14:paraId="1D03EBDC" w14:textId="77777777" w:rsidR="000B1CD0" w:rsidRDefault="00000000">
            <w:pPr>
              <w:widowControl w:val="0"/>
              <w:pBdr>
                <w:top w:val="nil"/>
                <w:left w:val="nil"/>
                <w:bottom w:val="nil"/>
                <w:right w:val="nil"/>
                <w:between w:val="nil"/>
              </w:pBdr>
              <w:spacing w:before="0" w:line="240" w:lineRule="auto"/>
              <w:rPr>
                <w:i/>
              </w:rPr>
            </w:pPr>
            <w:r>
              <w:rPr>
                <w:i/>
              </w:rPr>
              <w:t>2</w:t>
            </w:r>
          </w:p>
        </w:tc>
        <w:tc>
          <w:tcPr>
            <w:tcW w:w="1320" w:type="dxa"/>
            <w:shd w:val="clear" w:color="auto" w:fill="auto"/>
            <w:tcMar>
              <w:top w:w="100" w:type="dxa"/>
              <w:left w:w="100" w:type="dxa"/>
              <w:bottom w:w="100" w:type="dxa"/>
              <w:right w:w="100" w:type="dxa"/>
            </w:tcMar>
          </w:tcPr>
          <w:p w14:paraId="3A7C205A" w14:textId="77777777" w:rsidR="000B1CD0" w:rsidRDefault="00000000">
            <w:pPr>
              <w:widowControl w:val="0"/>
              <w:pBdr>
                <w:top w:val="nil"/>
                <w:left w:val="nil"/>
                <w:bottom w:val="nil"/>
                <w:right w:val="nil"/>
                <w:between w:val="nil"/>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46F1F6D5" w14:textId="4F01CEF1" w:rsidR="000B1CD0" w:rsidRDefault="004C10C1">
            <w:pPr>
              <w:widowControl w:val="0"/>
              <w:pBdr>
                <w:top w:val="nil"/>
                <w:left w:val="nil"/>
                <w:bottom w:val="nil"/>
                <w:right w:val="nil"/>
                <w:between w:val="nil"/>
              </w:pBdr>
              <w:spacing w:before="0" w:line="240" w:lineRule="auto"/>
              <w:rPr>
                <w:i/>
              </w:rPr>
            </w:pPr>
            <w:r>
              <w:rPr>
                <w:i/>
              </w:rPr>
              <w:t>6</w:t>
            </w:r>
          </w:p>
        </w:tc>
      </w:tr>
      <w:tr w:rsidR="000B1CD0" w14:paraId="77103DA3" w14:textId="77777777">
        <w:tc>
          <w:tcPr>
            <w:tcW w:w="1860" w:type="dxa"/>
            <w:shd w:val="clear" w:color="auto" w:fill="auto"/>
            <w:tcMar>
              <w:top w:w="100" w:type="dxa"/>
              <w:left w:w="100" w:type="dxa"/>
              <w:bottom w:w="100" w:type="dxa"/>
              <w:right w:w="100" w:type="dxa"/>
            </w:tcMar>
          </w:tcPr>
          <w:p w14:paraId="0322EB02" w14:textId="77777777" w:rsidR="000B1CD0" w:rsidRDefault="00000000">
            <w:pPr>
              <w:widowControl w:val="0"/>
              <w:pBdr>
                <w:top w:val="nil"/>
                <w:left w:val="nil"/>
                <w:bottom w:val="nil"/>
                <w:right w:val="nil"/>
                <w:between w:val="nil"/>
              </w:pBdr>
              <w:spacing w:before="0" w:line="240" w:lineRule="auto"/>
              <w:rPr>
                <w:i/>
              </w:rPr>
            </w:pPr>
            <w:r>
              <w:rPr>
                <w:i/>
              </w:rPr>
              <w:t>Hacker</w:t>
            </w:r>
          </w:p>
        </w:tc>
        <w:tc>
          <w:tcPr>
            <w:tcW w:w="3615" w:type="dxa"/>
            <w:shd w:val="clear" w:color="auto" w:fill="auto"/>
            <w:tcMar>
              <w:top w:w="100" w:type="dxa"/>
              <w:left w:w="100" w:type="dxa"/>
              <w:bottom w:w="100" w:type="dxa"/>
              <w:right w:w="100" w:type="dxa"/>
            </w:tcMar>
          </w:tcPr>
          <w:p w14:paraId="6D9E5516" w14:textId="77777777" w:rsidR="000B1CD0" w:rsidRDefault="00000000">
            <w:pPr>
              <w:spacing w:before="0" w:line="276" w:lineRule="auto"/>
              <w:ind w:right="-30"/>
              <w:rPr>
                <w:i/>
              </w:rPr>
            </w:pPr>
            <w:r>
              <w:rPr>
                <w:color w:val="000000"/>
              </w:rPr>
              <w:t>SQL injection</w:t>
            </w:r>
          </w:p>
        </w:tc>
        <w:tc>
          <w:tcPr>
            <w:tcW w:w="1395" w:type="dxa"/>
            <w:shd w:val="clear" w:color="auto" w:fill="auto"/>
            <w:tcMar>
              <w:top w:w="100" w:type="dxa"/>
              <w:left w:w="100" w:type="dxa"/>
              <w:bottom w:w="100" w:type="dxa"/>
              <w:right w:w="100" w:type="dxa"/>
            </w:tcMar>
          </w:tcPr>
          <w:p w14:paraId="6E331105" w14:textId="77777777" w:rsidR="000B1CD0" w:rsidRDefault="00000000">
            <w:pPr>
              <w:widowControl w:val="0"/>
              <w:pBdr>
                <w:top w:val="nil"/>
                <w:left w:val="nil"/>
                <w:bottom w:val="nil"/>
                <w:right w:val="nil"/>
                <w:between w:val="nil"/>
              </w:pBdr>
              <w:spacing w:before="0" w:line="240" w:lineRule="auto"/>
              <w:rPr>
                <w:i/>
              </w:rPr>
            </w:pPr>
            <w:r>
              <w:rPr>
                <w:i/>
              </w:rPr>
              <w:t>3</w:t>
            </w:r>
          </w:p>
        </w:tc>
        <w:tc>
          <w:tcPr>
            <w:tcW w:w="1320" w:type="dxa"/>
            <w:shd w:val="clear" w:color="auto" w:fill="auto"/>
            <w:tcMar>
              <w:top w:w="100" w:type="dxa"/>
              <w:left w:w="100" w:type="dxa"/>
              <w:bottom w:w="100" w:type="dxa"/>
              <w:right w:w="100" w:type="dxa"/>
            </w:tcMar>
          </w:tcPr>
          <w:p w14:paraId="3820F077" w14:textId="77777777" w:rsidR="000B1CD0" w:rsidRDefault="00000000">
            <w:pPr>
              <w:widowControl w:val="0"/>
              <w:pBdr>
                <w:top w:val="nil"/>
                <w:left w:val="nil"/>
                <w:bottom w:val="nil"/>
                <w:right w:val="nil"/>
                <w:between w:val="nil"/>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62B5E49D" w14:textId="6E8636D6" w:rsidR="000B1CD0" w:rsidRDefault="004C10C1">
            <w:pPr>
              <w:widowControl w:val="0"/>
              <w:pBdr>
                <w:top w:val="nil"/>
                <w:left w:val="nil"/>
                <w:bottom w:val="nil"/>
                <w:right w:val="nil"/>
                <w:between w:val="nil"/>
              </w:pBdr>
              <w:spacing w:before="0" w:line="240" w:lineRule="auto"/>
              <w:rPr>
                <w:i/>
              </w:rPr>
            </w:pPr>
            <w:r>
              <w:rPr>
                <w:i/>
              </w:rPr>
              <w:t>9</w:t>
            </w:r>
          </w:p>
        </w:tc>
      </w:tr>
    </w:tbl>
    <w:p w14:paraId="451997EA" w14:textId="77777777" w:rsidR="000B1CD0" w:rsidRDefault="000B1CD0">
      <w:pPr>
        <w:pBdr>
          <w:top w:val="nil"/>
          <w:left w:val="nil"/>
          <w:bottom w:val="nil"/>
          <w:right w:val="nil"/>
          <w:between w:val="nil"/>
        </w:pBdr>
      </w:pPr>
    </w:p>
    <w:p w14:paraId="01E5D609" w14:textId="77777777" w:rsidR="000B1CD0" w:rsidRDefault="00000000">
      <w:pPr>
        <w:pStyle w:val="Ttulo1"/>
      </w:pPr>
      <w:bookmarkStart w:id="7" w:name="_a9ivkvfuz16w" w:colFirst="0" w:colLast="0"/>
      <w:bookmarkEnd w:id="7"/>
      <w:r>
        <w:t>Approach</w:t>
      </w:r>
    </w:p>
    <w:p w14:paraId="48AAB536" w14:textId="77777777" w:rsidR="004C10C1" w:rsidRDefault="004C10C1">
      <w:r>
        <w:t xml:space="preserve">The risks of having a public access database were measured considering the importance of the database to the company’s day-to-day operations and the likelihood of them occurring. </w:t>
      </w:r>
    </w:p>
    <w:p w14:paraId="2D6E2C95" w14:textId="7057A3E9" w:rsidR="004C10C1" w:rsidRDefault="004C10C1">
      <w:r>
        <w:t>Threat sources were determined by identifying the most likely actors that would exploit such a vulnerability.</w:t>
      </w:r>
    </w:p>
    <w:p w14:paraId="687A63A3" w14:textId="646C4CF1" w:rsidR="000B1CD0" w:rsidRDefault="004C10C1">
      <w:r>
        <w:t>The severity of the incidents was considered by the potential consequences that the threat could cause to the company.</w:t>
      </w:r>
    </w:p>
    <w:p w14:paraId="3A4D53DC" w14:textId="77777777" w:rsidR="000B1CD0" w:rsidRDefault="00000000">
      <w:pPr>
        <w:pStyle w:val="Ttulo1"/>
        <w:pBdr>
          <w:top w:val="nil"/>
          <w:left w:val="nil"/>
          <w:bottom w:val="nil"/>
          <w:right w:val="nil"/>
          <w:between w:val="nil"/>
        </w:pBdr>
      </w:pPr>
      <w:bookmarkStart w:id="8" w:name="_vf6vykh0xvv7" w:colFirst="0" w:colLast="0"/>
      <w:bookmarkEnd w:id="8"/>
      <w:r>
        <w:t>Remediation Strategy</w:t>
      </w:r>
    </w:p>
    <w:p w14:paraId="5E0D8E3F" w14:textId="014AB2FD" w:rsidR="0020428C" w:rsidRDefault="00000000">
      <w:pPr>
        <w:pBdr>
          <w:top w:val="nil"/>
          <w:left w:val="nil"/>
          <w:bottom w:val="nil"/>
          <w:right w:val="nil"/>
          <w:between w:val="nil"/>
        </w:pBdr>
      </w:pPr>
      <w:r>
        <w:t xml:space="preserve">Implementing and enforcing authentication, authorization, and auditing mechanisms to ensure that only authorized users access the database server. This includes using strong passwords, role-based access controls, and multi-factor authentication to limit user privileges. It also implies applying the least privilege principle in user access to the database and separation of duties principle. Likewise, deleting unused user accounts would reduce the risks associated with disgruntled employees or customers. It is also necessary to configure firewall rules so that only authorized IP’s have access to the database. </w:t>
      </w:r>
      <w:r w:rsidR="0020428C">
        <w:t>Finally, implementing periodic vulnerability assessments is highly recommended to protect that invaluable asset to the company.</w:t>
      </w:r>
    </w:p>
    <w:sectPr w:rsidR="0020428C">
      <w:headerReference w:type="default" r:id="rId7"/>
      <w:footerReference w:type="default" r:id="rId8"/>
      <w:headerReference w:type="first" r:id="rId9"/>
      <w:footerReference w:type="first" r:id="rId10"/>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647C22" w14:textId="77777777" w:rsidR="00694F64" w:rsidRDefault="00694F64">
      <w:pPr>
        <w:spacing w:before="0" w:line="240" w:lineRule="auto"/>
      </w:pPr>
      <w:r>
        <w:separator/>
      </w:r>
    </w:p>
  </w:endnote>
  <w:endnote w:type="continuationSeparator" w:id="0">
    <w:p w14:paraId="34B47DF5" w14:textId="77777777" w:rsidR="00694F64" w:rsidRDefault="00694F6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oogle Sans">
    <w:charset w:val="00"/>
    <w:family w:val="auto"/>
    <w:pitch w:val="default"/>
    <w:embedRegular r:id="rId1" w:fontKey="{E0D8FDD0-F4ED-44DD-8DD3-9722FE080D1F}"/>
    <w:embedBold r:id="rId2" w:fontKey="{26F73ACC-1D21-4A5C-8B27-1C31D49BB154}"/>
    <w:embedItalic r:id="rId3" w:fontKey="{93ED1740-F923-4F6F-B478-45CC16E13037}"/>
  </w:font>
  <w:font w:name="Proxima Nova">
    <w:charset w:val="00"/>
    <w:family w:val="auto"/>
    <w:pitch w:val="default"/>
    <w:embedRegular r:id="rId4" w:fontKey="{742BAC41-4A95-4CB6-981B-BB8049643345}"/>
    <w:embedBold r:id="rId5" w:fontKey="{6CBBFB45-2F71-4780-8465-478BCBBF3F2A}"/>
  </w:font>
  <w:font w:name="Trebuchet MS">
    <w:panose1 w:val="020B0603020202020204"/>
    <w:charset w:val="00"/>
    <w:family w:val="swiss"/>
    <w:pitch w:val="variable"/>
    <w:sig w:usb0="00000687" w:usb1="00000000" w:usb2="00000000" w:usb3="00000000" w:csb0="0000009F" w:csb1="00000000"/>
    <w:embedRegular r:id="rId6" w:fontKey="{1847B16C-33DD-4FE9-BCDE-B93827CEE058}"/>
    <w:embedItalic r:id="rId7" w:fontKey="{EFBB09E2-6572-41C5-988D-73045645DFBF}"/>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8" w:fontKey="{F36D84CE-9D56-47D3-AB12-8EDBDD41FCDE}"/>
  </w:font>
  <w:font w:name="Cambria">
    <w:panose1 w:val="02040503050406030204"/>
    <w:charset w:val="00"/>
    <w:family w:val="roman"/>
    <w:pitch w:val="variable"/>
    <w:sig w:usb0="E00006FF" w:usb1="420024FF" w:usb2="02000000" w:usb3="00000000" w:csb0="0000019F" w:csb1="00000000"/>
    <w:embedRegular r:id="rId9" w:fontKey="{523E8747-3B12-4A96-A09A-3F2259B6A59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75D16" w14:textId="77777777" w:rsidR="000B1CD0" w:rsidRDefault="000B1CD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26A6F1" w14:textId="77777777" w:rsidR="000B1CD0" w:rsidRDefault="000B1CD0">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06398A" w14:textId="77777777" w:rsidR="00694F64" w:rsidRDefault="00694F64">
      <w:pPr>
        <w:spacing w:before="0" w:line="240" w:lineRule="auto"/>
      </w:pPr>
      <w:r>
        <w:separator/>
      </w:r>
    </w:p>
  </w:footnote>
  <w:footnote w:type="continuationSeparator" w:id="0">
    <w:p w14:paraId="1A3E9622" w14:textId="77777777" w:rsidR="00694F64" w:rsidRDefault="00694F6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C80F3" w14:textId="77777777" w:rsidR="000B1CD0" w:rsidRDefault="000B1CD0">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D77772" w14:textId="77777777" w:rsidR="000B1CD0" w:rsidRDefault="000B1CD0">
    <w:pPr>
      <w:pBdr>
        <w:top w:val="nil"/>
        <w:left w:val="nil"/>
        <w:bottom w:val="nil"/>
        <w:right w:val="nil"/>
        <w:between w:val="nil"/>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CD0"/>
    <w:rsid w:val="000B1CD0"/>
    <w:rsid w:val="0020428C"/>
    <w:rsid w:val="004C10C1"/>
    <w:rsid w:val="00694F64"/>
    <w:rsid w:val="00FC025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76FCE"/>
  <w15:docId w15:val="{56450A5D-F690-40DA-A2DF-A137B283D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ogle Sans" w:eastAsia="Google Sans" w:hAnsi="Google Sans" w:cs="Google Sans"/>
        <w:color w:val="353744"/>
        <w:sz w:val="22"/>
        <w:szCs w:val="22"/>
        <w:lang w:val="en" w:eastAsia="es-CO"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before="480" w:line="240" w:lineRule="auto"/>
      <w:outlineLvl w:val="0"/>
    </w:pPr>
    <w:rPr>
      <w:rFonts w:ascii="Proxima Nova" w:eastAsia="Proxima Nova" w:hAnsi="Proxima Nova" w:cs="Proxima Nova"/>
      <w:b/>
      <w:sz w:val="28"/>
      <w:szCs w:val="28"/>
    </w:rPr>
  </w:style>
  <w:style w:type="paragraph" w:styleId="Ttulo2">
    <w:name w:val="heading 2"/>
    <w:basedOn w:val="Normal"/>
    <w:next w:val="Normal"/>
    <w:uiPriority w:val="9"/>
    <w:semiHidden/>
    <w:unhideWhenUsed/>
    <w:qFormat/>
    <w:pPr>
      <w:spacing w:before="320" w:line="240" w:lineRule="auto"/>
      <w:outlineLvl w:val="1"/>
    </w:pPr>
    <w:rPr>
      <w:b/>
      <w:color w:val="00AB44"/>
      <w:sz w:val="28"/>
      <w:szCs w:val="28"/>
    </w:rPr>
  </w:style>
  <w:style w:type="paragraph" w:styleId="Ttulo3">
    <w:name w:val="heading 3"/>
    <w:basedOn w:val="Normal"/>
    <w:next w:val="Normal"/>
    <w:uiPriority w:val="9"/>
    <w:semiHidden/>
    <w:unhideWhenUsed/>
    <w:qFormat/>
    <w:pPr>
      <w:spacing w:line="240" w:lineRule="auto"/>
      <w:outlineLvl w:val="2"/>
    </w:pPr>
    <w:rPr>
      <w:sz w:val="26"/>
      <w:szCs w:val="26"/>
    </w:rPr>
  </w:style>
  <w:style w:type="paragraph" w:styleId="Ttulo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320" w:line="240" w:lineRule="auto"/>
    </w:pPr>
    <w:rPr>
      <w:sz w:val="72"/>
      <w:szCs w:val="72"/>
    </w:rPr>
  </w:style>
  <w:style w:type="paragraph" w:styleId="Subttulo">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Pages>
  <Words>455</Words>
  <Characters>2506</Characters>
  <Application>Microsoft Office Word</Application>
  <DocSecurity>0</DocSecurity>
  <Lines>20</Lines>
  <Paragraphs>5</Paragraphs>
  <ScaleCrop>false</ScaleCrop>
  <Company/>
  <LinksUpToDate>false</LinksUpToDate>
  <CharactersWithSpaces>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Rafael Santamaría Ortega</cp:lastModifiedBy>
  <cp:revision>3</cp:revision>
  <dcterms:created xsi:type="dcterms:W3CDTF">2024-04-08T23:11:00Z</dcterms:created>
  <dcterms:modified xsi:type="dcterms:W3CDTF">2024-04-08T23:21:00Z</dcterms:modified>
</cp:coreProperties>
</file>