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eastAsia="en-US"/>
        </w:rPr>
      </w:pPr>
      <w:r>
        <w:rPr>
          <w:rFonts w:cs="Arial" w:ascii="Arial" w:hAnsi="Arial"/>
          <w:b/>
          <w:sz w:val="24"/>
          <w:szCs w:val="24"/>
          <w:lang w:eastAsia="en-US"/>
        </w:rPr>
        <w:t>Rafael de Oliveira Silva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  <w:lang w:eastAsia="en-US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  <w:lang w:eastAsia="en-US"/>
        </w:rPr>
        <w:t xml:space="preserve">SYSMARKET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  <w:lang w:eastAsia="en-US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  <w:lang w:eastAsia="en-US"/>
        </w:rPr>
        <w:t xml:space="preserve">SISTEMA PARA GERENCIAMENTO DE </w:t>
      </w:r>
      <w:r>
        <w:rPr>
          <w:rFonts w:eastAsia="Calibri" w:cs="Arial" w:ascii="Arial" w:hAnsi="Arial"/>
          <w:b/>
          <w:color w:val="222222"/>
          <w:kern w:val="0"/>
          <w:sz w:val="24"/>
          <w:szCs w:val="24"/>
          <w:shd w:fill="FFFFFF" w:val="clear"/>
          <w:lang w:val="pt-BR" w:eastAsia="en-US" w:bidi="ar-SA"/>
        </w:rPr>
        <w:t>LOJAS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eastAsia="en-US"/>
        </w:rPr>
        <w:t>2021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 Apresentação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Sumrio2"/>
        <w:tabs>
          <w:tab w:val="clear" w:pos="709"/>
          <w:tab w:val="right" w:pos="9061" w:leader="dot"/>
        </w:tabs>
        <w:suppressAutoHyphens w:val="true"/>
        <w:rPr>
          <w:rFonts w:ascii="Calibri" w:hAnsi="Calibri" w:eastAsia="Times New Roman"/>
          <w:sz w:val="22"/>
          <w:lang w:eastAsia="pt-BR"/>
        </w:rPr>
      </w:pPr>
      <w:r>
        <w:rPr>
          <w:rFonts w:eastAsia="Times New Roman" w:ascii="Calibri" w:hAnsi="Calibri"/>
          <w:sz w:val="22"/>
          <w:lang w:eastAsia="pt-BR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Ttulo2"/>
        <w:suppressAutoHyphens w:val="true"/>
        <w:rPr>
          <w:lang w:val="pt-BR" w:eastAsia="pt-BR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o padrão arquitetural que sua aplicação adotará (cliente-servidor, MVC, P2P, etc.), justificando a escolha de cada opção tecnológica.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Apresente diagramas que retratem a arquitetura da solução (recomenda-se o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modelo C4</w:t>
        </w:r>
      </w:hyperlink>
      <w:r>
        <w:rPr>
          <w:rFonts w:cs="Arial" w:ascii="Arial" w:hAnsi="Arial"/>
          <w:sz w:val="24"/>
          <w:szCs w:val="24"/>
        </w:rPr>
        <w:t>) com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bookmarkStart w:id="19" w:name="_Toc351475134"/>
      <w:bookmarkStart w:id="20" w:name="_Toc297133353"/>
      <w:bookmarkStart w:id="21" w:name="_Toc74532105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4model.co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LibreOffice/7.1.1.2$Windows_X86_64 LibreOffice_project/fe0b08f4af1bacafe4c7ecc87ce55bb426164676</Application>
  <AppVersion>15.0000</AppVersion>
  <Pages>7</Pages>
  <Words>933</Words>
  <Characters>4963</Characters>
  <CharactersWithSpaces>5832</CharactersWithSpaces>
  <Paragraphs>74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2021-07-07T19:50:37Z</dcterms:modified>
  <cp:revision>8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