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F0D9" w14:textId="36B33BA3" w:rsidR="00CE2B08" w:rsidRDefault="1D45D44C" w:rsidP="1D45D44C">
      <w:pPr>
        <w:spacing w:after="60"/>
      </w:pPr>
      <w:r w:rsidRPr="1D45D44C">
        <w:rPr>
          <w:rFonts w:ascii="Arial" w:eastAsia="Arial" w:hAnsi="Arial" w:cs="Arial"/>
          <w:color w:val="000000" w:themeColor="text1"/>
          <w:sz w:val="52"/>
          <w:szCs w:val="52"/>
        </w:rPr>
        <w:t>Glossário</w:t>
      </w:r>
    </w:p>
    <w:p w14:paraId="5B2873EC" w14:textId="155C6DA6" w:rsidR="00CE2B08" w:rsidRDefault="00000000">
      <w:r>
        <w:br/>
      </w:r>
      <w:r>
        <w:br/>
      </w:r>
    </w:p>
    <w:tbl>
      <w:tblPr>
        <w:tblW w:w="9016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45D44C" w14:paraId="0244805C" w14:textId="77777777" w:rsidTr="00AF5CBB">
        <w:trPr>
          <w:trHeight w:val="555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F4BB" w14:textId="49DDD627" w:rsidR="1D45D44C" w:rsidRDefault="7C721F84" w:rsidP="7C721F84">
            <w:pPr>
              <w:spacing w:after="0"/>
              <w:rPr>
                <w:rFonts w:eastAsiaTheme="minorEastAsia"/>
                <w:b/>
                <w:bCs/>
                <w:color w:val="000000" w:themeColor="text1"/>
              </w:rPr>
            </w:pPr>
            <w:r w:rsidRPr="7C721F84">
              <w:rPr>
                <w:rFonts w:eastAsiaTheme="minorEastAsia"/>
                <w:b/>
                <w:bCs/>
                <w:color w:val="000000" w:themeColor="text1"/>
              </w:rPr>
              <w:t>Termos</w:t>
            </w: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E5E7" w14:textId="0AB50961" w:rsidR="1D45D44C" w:rsidRDefault="1D45D44C" w:rsidP="1D45D44C">
            <w:pPr>
              <w:spacing w:after="0"/>
              <w:rPr>
                <w:rFonts w:eastAsiaTheme="minorEastAsia"/>
                <w:b/>
                <w:bCs/>
                <w:color w:val="000000" w:themeColor="text1"/>
              </w:rPr>
            </w:pPr>
            <w:r w:rsidRPr="1D45D44C">
              <w:rPr>
                <w:rFonts w:eastAsiaTheme="minorEastAsia"/>
                <w:b/>
                <w:bCs/>
                <w:color w:val="000000" w:themeColor="text1"/>
              </w:rPr>
              <w:t>Definição</w:t>
            </w:r>
          </w:p>
        </w:tc>
      </w:tr>
      <w:tr w:rsidR="1D45D44C" w14:paraId="01CB852E" w14:textId="77777777" w:rsidTr="00AF5CBB">
        <w:trPr>
          <w:trHeight w:val="1185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57A9" w14:textId="7998EC7D" w:rsidR="1D45D44C" w:rsidRDefault="1D45D44C">
            <w:r w:rsidRPr="1D45D44C">
              <w:rPr>
                <w:rFonts w:ascii="Calibri" w:eastAsia="Calibri" w:hAnsi="Calibri" w:cs="Calibri"/>
              </w:rPr>
              <w:t>Availability</w:t>
            </w:r>
          </w:p>
          <w:p w14:paraId="2645B034" w14:textId="4853BBD9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D7F8" w14:textId="7725065D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  <w:r w:rsidRPr="1D45D44C">
              <w:rPr>
                <w:rFonts w:eastAsiaTheme="minorEastAsia"/>
                <w:color w:val="000000" w:themeColor="text1"/>
              </w:rPr>
              <w:t>Disponibilidade (em português) se trata do tempo que o equipamento esteve disponível e funcionando.</w:t>
            </w:r>
          </w:p>
        </w:tc>
      </w:tr>
      <w:tr w:rsidR="1D45D44C" w14:paraId="527CC472" w14:textId="77777777" w:rsidTr="00AF5CBB">
        <w:trPr>
          <w:trHeight w:val="1440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6CC5" w14:textId="1800348C" w:rsidR="1D45D44C" w:rsidRDefault="1D45D44C">
            <w:r w:rsidRPr="1D45D44C">
              <w:rPr>
                <w:rFonts w:ascii="Calibri" w:eastAsia="Calibri" w:hAnsi="Calibri" w:cs="Calibri"/>
              </w:rPr>
              <w:t>Cloud</w:t>
            </w:r>
          </w:p>
          <w:p w14:paraId="002BEBA3" w14:textId="393C2F75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C850" w14:textId="45BBCFBA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  <w:r w:rsidRPr="1D45D44C">
              <w:rPr>
                <w:rFonts w:eastAsiaTheme="minorEastAsia"/>
                <w:color w:val="000000" w:themeColor="text1"/>
              </w:rPr>
              <w:t>Nuvem, em português, refere-se aos servidores que são acessados através da internet, e o software e banco de dados que são utilizados neles.</w:t>
            </w:r>
          </w:p>
        </w:tc>
      </w:tr>
      <w:tr w:rsidR="1D45D44C" w14:paraId="32F4F964" w14:textId="77777777" w:rsidTr="00AF5CBB">
        <w:trPr>
          <w:trHeight w:val="1485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F98F" w14:textId="1E82738F" w:rsidR="1D45D44C" w:rsidRDefault="1D45D44C" w:rsidP="1D45D44C">
            <w:r w:rsidRPr="1D45D44C">
              <w:rPr>
                <w:rFonts w:ascii="Calibri" w:eastAsia="Calibri" w:hAnsi="Calibri" w:cs="Calibri"/>
              </w:rPr>
              <w:t>Manutenção Preventiva</w:t>
            </w:r>
          </w:p>
          <w:p w14:paraId="5CC52822" w14:textId="1F346168" w:rsidR="1D45D44C" w:rsidRDefault="1D45D44C" w:rsidP="1D45D44C">
            <w:pPr>
              <w:rPr>
                <w:rFonts w:ascii="Calibri" w:eastAsia="Calibri" w:hAnsi="Calibri" w:cs="Calibri"/>
              </w:rPr>
            </w:pPr>
          </w:p>
          <w:p w14:paraId="04AA02FC" w14:textId="6C285541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43A3" w14:textId="4BC2A7A2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  <w:r w:rsidRPr="1D45D44C">
              <w:rPr>
                <w:rFonts w:eastAsiaTheme="minorEastAsia"/>
                <w:color w:val="000000" w:themeColor="text1"/>
              </w:rPr>
              <w:t xml:space="preserve">Ações planejadas em intervalos predeterminados, com base na vida útil dos componentes, para reduzir a probabilidade de falhas nos equipamentos.  </w:t>
            </w:r>
          </w:p>
        </w:tc>
      </w:tr>
      <w:tr w:rsidR="1D45D44C" w14:paraId="0B15B7BB" w14:textId="77777777" w:rsidTr="00AF5CBB">
        <w:trPr>
          <w:trHeight w:val="1140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3DC2" w14:textId="7B440962" w:rsidR="1D45D44C" w:rsidRDefault="1D45D44C">
            <w:r w:rsidRPr="1D45D44C">
              <w:rPr>
                <w:rFonts w:ascii="Calibri" w:eastAsia="Calibri" w:hAnsi="Calibri" w:cs="Calibri"/>
              </w:rPr>
              <w:t>Matéria-Prima</w:t>
            </w:r>
          </w:p>
          <w:p w14:paraId="39B8A0EB" w14:textId="2C401944" w:rsidR="1D45D44C" w:rsidRDefault="1D45D44C" w:rsidP="1D45D44C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19F4" w14:textId="6432340A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  <w:r w:rsidRPr="1D45D44C">
              <w:rPr>
                <w:rFonts w:eastAsiaTheme="minorEastAsia"/>
                <w:color w:val="000000" w:themeColor="text1"/>
              </w:rPr>
              <w:t xml:space="preserve">Componente essencial para a fabricação de mercadorias finais ou produtos intermediários.  </w:t>
            </w:r>
          </w:p>
        </w:tc>
      </w:tr>
      <w:tr w:rsidR="1D45D44C" w14:paraId="2E498484" w14:textId="77777777" w:rsidTr="00AF5CBB">
        <w:trPr>
          <w:trHeight w:val="1005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55D0" w14:textId="468366E3" w:rsidR="1D45D44C" w:rsidRDefault="1D45D44C">
            <w:r w:rsidRPr="1D45D44C">
              <w:rPr>
                <w:rFonts w:ascii="Calibri" w:eastAsia="Calibri" w:hAnsi="Calibri" w:cs="Calibri"/>
              </w:rPr>
              <w:t>Munição</w:t>
            </w:r>
          </w:p>
          <w:p w14:paraId="57CD65FD" w14:textId="3788AF77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8612" w14:textId="20A2EA6E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  <w:r w:rsidRPr="1D45D44C">
              <w:rPr>
                <w:rFonts w:eastAsiaTheme="minorEastAsia"/>
                <w:color w:val="000000" w:themeColor="text1"/>
              </w:rPr>
              <w:t>Designação do material ou componente disparado a partir de uma arma</w:t>
            </w:r>
          </w:p>
        </w:tc>
      </w:tr>
      <w:tr w:rsidR="1D45D44C" w14:paraId="3A61F73F" w14:textId="77777777" w:rsidTr="00AF5CBB">
        <w:trPr>
          <w:trHeight w:val="1545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F296" w14:textId="0721C847" w:rsidR="1D45D44C" w:rsidRDefault="1D45D44C">
            <w:r w:rsidRPr="1D45D44C">
              <w:rPr>
                <w:rFonts w:ascii="Calibri" w:eastAsia="Calibri" w:hAnsi="Calibri" w:cs="Calibri"/>
              </w:rPr>
              <w:t>OEE (Overall Equipment Effectiveness)</w:t>
            </w:r>
          </w:p>
          <w:p w14:paraId="1A7DA1E8" w14:textId="405C12C1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4D2" w14:textId="606D84F1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  <w:r w:rsidRPr="1D45D44C">
              <w:rPr>
                <w:rFonts w:eastAsiaTheme="minorEastAsia"/>
                <w:color w:val="000000" w:themeColor="text1"/>
              </w:rPr>
              <w:t>É uma ferramenta métrica que ajuda na identificação de perdas e em sua classificação de acordo com três fatores principais: availability, performance, quality.</w:t>
            </w:r>
          </w:p>
        </w:tc>
      </w:tr>
      <w:tr w:rsidR="1D45D44C" w14:paraId="756B3AC2" w14:textId="77777777" w:rsidTr="00AF5CBB">
        <w:trPr>
          <w:trHeight w:val="1545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17CC" w14:textId="18842570" w:rsidR="1D45D44C" w:rsidRDefault="1D45D44C">
            <w:r w:rsidRPr="1D45D44C">
              <w:rPr>
                <w:rFonts w:ascii="Calibri" w:eastAsia="Calibri" w:hAnsi="Calibri" w:cs="Calibri"/>
              </w:rPr>
              <w:t>Performance</w:t>
            </w:r>
          </w:p>
          <w:p w14:paraId="3B459366" w14:textId="1B8F4D8C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06F6" w14:textId="30B6BE48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  <w:r w:rsidRPr="1D45D44C">
              <w:rPr>
                <w:rFonts w:eastAsiaTheme="minorEastAsia"/>
                <w:color w:val="000000" w:themeColor="text1"/>
              </w:rPr>
              <w:t>No conceito de OEE, performance mede uma quantidade fixa de produção, a qual indica o desvio no tempo de produção atual e o tempo de ciclo ideal.</w:t>
            </w:r>
          </w:p>
        </w:tc>
      </w:tr>
      <w:tr w:rsidR="1D45D44C" w14:paraId="28B0E1D0" w14:textId="77777777" w:rsidTr="00AF5CBB">
        <w:trPr>
          <w:trHeight w:val="975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E057" w14:textId="2B1BA229" w:rsidR="1D45D44C" w:rsidRDefault="1D45D44C">
            <w:r w:rsidRPr="1D45D44C">
              <w:rPr>
                <w:rFonts w:ascii="Calibri" w:eastAsia="Calibri" w:hAnsi="Calibri" w:cs="Calibri"/>
              </w:rPr>
              <w:lastRenderedPageBreak/>
              <w:t>Quality</w:t>
            </w:r>
          </w:p>
          <w:p w14:paraId="4CF8DAB0" w14:textId="1EF60DFB" w:rsidR="1D45D44C" w:rsidRDefault="1D45D44C" w:rsidP="1D45D44C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E573" w14:textId="600B769F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  <w:r w:rsidRPr="1D45D44C">
              <w:rPr>
                <w:rFonts w:eastAsiaTheme="minorEastAsia"/>
                <w:color w:val="000000" w:themeColor="text1"/>
              </w:rPr>
              <w:t>Em OEE, indica a proporção de defeito de produção com o volume total produzido.</w:t>
            </w:r>
          </w:p>
        </w:tc>
      </w:tr>
      <w:tr w:rsidR="1D45D44C" w14:paraId="0DD50365" w14:textId="77777777" w:rsidTr="00AF5CBB">
        <w:trPr>
          <w:trHeight w:val="1245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5A4C" w14:textId="7EB8C3BE" w:rsidR="1D45D44C" w:rsidRDefault="1D45D44C">
            <w:r w:rsidRPr="1D45D44C">
              <w:rPr>
                <w:rFonts w:ascii="Calibri" w:eastAsia="Calibri" w:hAnsi="Calibri" w:cs="Calibri"/>
              </w:rPr>
              <w:t>Sensor</w:t>
            </w:r>
          </w:p>
          <w:p w14:paraId="1DF1133B" w14:textId="4106B9E7" w:rsidR="1D45D44C" w:rsidRDefault="1D45D44C" w:rsidP="1D45D44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5346" w14:textId="1F794588" w:rsidR="1D45D44C" w:rsidRDefault="1D45D44C" w:rsidP="1D45D44C">
            <w:pPr>
              <w:rPr>
                <w:rFonts w:eastAsiaTheme="minorEastAsia"/>
                <w:color w:val="000000" w:themeColor="text1"/>
              </w:rPr>
            </w:pPr>
            <w:r w:rsidRPr="1D45D44C">
              <w:rPr>
                <w:rFonts w:eastAsiaTheme="minorEastAsia"/>
                <w:color w:val="000000" w:themeColor="text1"/>
              </w:rPr>
              <w:t>Dispositivo que responde de maneira específica a um estímulo físico ou químico, produzindo um sinal que ser usado como data.</w:t>
            </w:r>
          </w:p>
        </w:tc>
      </w:tr>
      <w:tr w:rsidR="1D45D44C" w14:paraId="7BDD0CEA" w14:textId="77777777" w:rsidTr="00AF5CBB">
        <w:trPr>
          <w:trHeight w:val="1275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625F" w14:textId="675CAED6" w:rsidR="1D45D44C" w:rsidRDefault="1D45D44C">
            <w:r w:rsidRPr="1D45D44C">
              <w:rPr>
                <w:rFonts w:ascii="Calibri" w:eastAsia="Calibri" w:hAnsi="Calibri" w:cs="Calibri"/>
              </w:rPr>
              <w:t>Superaquecimento</w:t>
            </w:r>
          </w:p>
          <w:p w14:paraId="4B854733" w14:textId="2CDEC0E7" w:rsidR="1D45D44C" w:rsidRDefault="1D45D44C" w:rsidP="1D45D44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B382" w14:textId="6C2BD26C" w:rsidR="1D45D44C" w:rsidRDefault="1D45D44C" w:rsidP="1D45D44C">
            <w:pPr>
              <w:spacing w:after="0"/>
              <w:rPr>
                <w:rFonts w:eastAsiaTheme="minorEastAsia"/>
                <w:color w:val="000000" w:themeColor="text1"/>
              </w:rPr>
            </w:pPr>
            <w:r w:rsidRPr="1D45D44C">
              <w:rPr>
                <w:rFonts w:eastAsiaTheme="minorEastAsia"/>
                <w:color w:val="000000" w:themeColor="text1"/>
              </w:rPr>
              <w:t>Estado instável de um corpo cuja temperatura é superior à temperatura de equilíbrio correspondente a seu estado físico.</w:t>
            </w:r>
          </w:p>
        </w:tc>
      </w:tr>
      <w:tr w:rsidR="7EB31727" w14:paraId="623FB909" w14:textId="77777777" w:rsidTr="00AF5CBB">
        <w:trPr>
          <w:trHeight w:val="1755"/>
        </w:trPr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011A" w14:textId="5E1265CC" w:rsidR="7EB31727" w:rsidRDefault="7EB31727" w:rsidP="7EB31727">
            <w:pPr>
              <w:rPr>
                <w:rFonts w:ascii="Calibri" w:eastAsia="Calibri" w:hAnsi="Calibri" w:cs="Calibri"/>
              </w:rPr>
            </w:pPr>
            <w:r w:rsidRPr="7EB31727">
              <w:rPr>
                <w:rFonts w:ascii="Calibri" w:eastAsia="Calibri" w:hAnsi="Calibri" w:cs="Calibri"/>
              </w:rPr>
              <w:t>TPM (Total Productive Maintenance)</w:t>
            </w:r>
          </w:p>
        </w:tc>
        <w:tc>
          <w:tcPr>
            <w:tcW w:w="45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0642" w14:textId="71752F20" w:rsidR="7EB31727" w:rsidRDefault="7EB31727" w:rsidP="7EB31727">
            <w:pPr>
              <w:rPr>
                <w:rFonts w:eastAsiaTheme="minorEastAsia"/>
                <w:color w:val="000000" w:themeColor="text1"/>
              </w:rPr>
            </w:pPr>
            <w:r w:rsidRPr="7EB31727">
              <w:rPr>
                <w:rFonts w:eastAsiaTheme="minorEastAsia"/>
                <w:color w:val="000000" w:themeColor="text1"/>
              </w:rPr>
              <w:t>Método que visa manutenção preventiva das máquinas. Com o objetivo principal sendo a eliminação das perdas que incluem equipamento parados, acidentes, desperdício de energia etc.</w:t>
            </w:r>
          </w:p>
        </w:tc>
      </w:tr>
    </w:tbl>
    <w:p w14:paraId="1E207724" w14:textId="3E2FCD27" w:rsidR="00CE2B08" w:rsidRDefault="00000000" w:rsidP="1D45D44C">
      <w:r>
        <w:br/>
      </w:r>
      <w:r>
        <w:br/>
      </w:r>
    </w:p>
    <w:sectPr w:rsidR="00CE2B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312FA4"/>
    <w:rsid w:val="00AF5CBB"/>
    <w:rsid w:val="00CE2B08"/>
    <w:rsid w:val="00DC223D"/>
    <w:rsid w:val="1D45D44C"/>
    <w:rsid w:val="43312FA4"/>
    <w:rsid w:val="7C721F84"/>
    <w:rsid w:val="7EB3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AD31"/>
  <w15:chartTrackingRefBased/>
  <w15:docId w15:val="{5B4A0A6B-4736-4DC6-8128-410BBB84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Ferreira</dc:creator>
  <cp:keywords/>
  <dc:description/>
  <cp:lastModifiedBy>Rafael Ferreira</cp:lastModifiedBy>
  <cp:revision>3</cp:revision>
  <dcterms:created xsi:type="dcterms:W3CDTF">2023-08-28T18:23:00Z</dcterms:created>
  <dcterms:modified xsi:type="dcterms:W3CDTF">2023-08-29T10:47:00Z</dcterms:modified>
</cp:coreProperties>
</file>