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Seria utilizada a arquitetura DDD (desenvolvimento dirigido ao domínio), separando o sistema em projetos/soluções, cada qual com a sua devida dependência, conforme o modelo exposto no diagrama.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Considerando que o novo sistema seja desenvolvido em MVC e o sistema legado administrado por um módulo (representado por uma classe no diagrama), o conjunto de interface teria a dependência da aplicação, que é o projeto responsável por executar comandos em um determinado banco de dados, e também consumir web services. O projeto da aplicação concentra o back end de ambas as interfaces (MVC e legado), possibilitando tanto a manutenção quanto a agregação de novas funcionalidades em apenas uma solução, que retorna o resultado da interação do usuário com a base. Essa interação é possível, devido a dependência da aplicação com a solução Infra - que manipula os dados da base - e à associação à solução Domínio - que contém a classe Entidade, contendo os atributos dos objetos que são manipulados pelo usuário.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Contudo, a arquitetura DDD separa a interface do back end, possibilitando o desenvolvimento do sistema ser realizado em uma única via, não gerando impacto negativo na operabilidade do usuário.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