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075B35"/>
          <w:sz w:val="30"/>
        </w:rPr>
        <w:t>COMITÊ JOÃO JORGE</w:t>
      </w:r>
    </w:p>
    <w:p>
      <w:pPr>
        <w:jc w:val="center"/>
      </w:pPr>
      <w:r>
        <w:rPr>
          <w:b/>
          <w:color w:val="075B35"/>
          <w:sz w:val="58"/>
        </w:rPr>
        <w:t>Relatório Fotográfico</w:t>
      </w:r>
    </w:p>
    <w:p>
      <w:pPr>
        <w:jc w:val="center"/>
      </w:pPr>
      <w:r>
        <w:rPr>
          <w:color w:val="526680"/>
          <w:sz w:val="28"/>
        </w:rPr>
        <w:t>Comitê João Jorge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shd w:fill="075B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Responsável</w:t>
            </w:r>
          </w:p>
        </w:tc>
        <w:tc>
          <w:tcPr>
            <w:tcW w:type="dxa" w:w="5102"/>
            <w:shd w:fill="E8F5E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color w:val="12253F"/>
              </w:rPr>
              <w:t>Rafael Santos de Menezes</w:t>
            </w:r>
          </w:p>
        </w:tc>
      </w:tr>
      <w:tr>
        <w:tc>
          <w:tcPr>
            <w:tcW w:type="dxa" w:w="2381"/>
            <w:shd w:fill="075B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Versão</w:t>
            </w:r>
          </w:p>
        </w:tc>
        <w:tc>
          <w:tcPr>
            <w:tcW w:type="dxa" w:w="5102"/>
            <w:shd w:fill="E8F5E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color w:val="12253F"/>
              </w:rPr>
              <w:t>1.0</w:t>
            </w:r>
          </w:p>
        </w:tc>
      </w:tr>
      <w:tr>
        <w:tc>
          <w:tcPr>
            <w:tcW w:type="dxa" w:w="2381"/>
            <w:shd w:fill="075B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Emissão</w:t>
            </w:r>
          </w:p>
        </w:tc>
        <w:tc>
          <w:tcPr>
            <w:tcW w:type="dxa" w:w="5102"/>
            <w:shd w:fill="E8F5E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color w:val="12253F"/>
              </w:rPr>
              <w:t>13 de agosto de 2026</w:t>
            </w:r>
          </w:p>
        </w:tc>
      </w:tr>
      <w:tr>
        <w:tc>
          <w:tcPr>
            <w:tcW w:type="dxa" w:w="2381"/>
            <w:shd w:fill="075B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Classificação</w:t>
            </w:r>
          </w:p>
        </w:tc>
        <w:tc>
          <w:tcPr>
            <w:tcW w:type="dxa" w:w="5102"/>
            <w:shd w:fill="E8F5E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color w:val="12253F"/>
              </w:rPr>
              <w:t>Documento interno</w:t>
            </w:r>
          </w:p>
        </w:tc>
      </w:tr>
    </w:tbl>
    <w:p>
      <w:r>
        <w:br w:type="page"/>
      </w:r>
    </w:p>
    <w:p>
      <w:pPr>
        <w:pStyle w:val="Heading1"/>
      </w:pPr>
      <w:r>
        <w:t>Controle de versão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075B35"/>
          </w:tcPr>
          <w:p>
            <w:r>
              <w:rPr>
                <w:b/>
                <w:color w:val="FFFFFF"/>
              </w:rPr>
              <w:t>Versão</w:t>
            </w:r>
          </w:p>
        </w:tc>
        <w:tc>
          <w:tcPr>
            <w:tcW w:type="dxa" w:w="1994"/>
            <w:shd w:fill="075B35"/>
          </w:tcPr>
          <w:p>
            <w:r>
              <w:rPr>
                <w:b/>
                <w:color w:val="FFFFFF"/>
              </w:rPr>
              <w:t>Data</w:t>
            </w:r>
          </w:p>
        </w:tc>
        <w:tc>
          <w:tcPr>
            <w:tcW w:type="dxa" w:w="1994"/>
            <w:shd w:fill="075B35"/>
          </w:tcPr>
          <w:p>
            <w:r>
              <w:rPr>
                <w:b/>
                <w:color w:val="FFFFFF"/>
              </w:rPr>
              <w:t>Responsável</w:t>
            </w:r>
          </w:p>
        </w:tc>
        <w:tc>
          <w:tcPr>
            <w:tcW w:type="dxa" w:w="1994"/>
            <w:shd w:fill="075B35"/>
          </w:tcPr>
          <w:p>
            <w:r>
              <w:rPr>
                <w:b/>
                <w:color w:val="FFFFFF"/>
              </w:rPr>
              <w:t>Descrição</w:t>
            </w:r>
          </w:p>
        </w:tc>
        <w:tc>
          <w:tcPr>
            <w:tcW w:type="dxa" w:w="1994"/>
            <w:shd w:fill="075B35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994"/>
            <w:shd w:fill="F4F7F9"/>
          </w:tcPr>
          <w:p>
            <w:r>
              <w:t>1.0</w:t>
            </w:r>
          </w:p>
        </w:tc>
        <w:tc>
          <w:tcPr>
            <w:tcW w:type="dxa" w:w="1994"/>
            <w:shd w:fill="F4F7F9"/>
          </w:tcPr>
          <w:p>
            <w:r>
              <w:t>13 de agosto de 2026</w:t>
            </w:r>
          </w:p>
        </w:tc>
        <w:tc>
          <w:tcPr>
            <w:tcW w:type="dxa" w:w="1994"/>
            <w:shd w:fill="F4F7F9"/>
          </w:tcPr>
          <w:p>
            <w:r>
              <w:t>Rafael Santos de Menezes</w:t>
            </w:r>
          </w:p>
        </w:tc>
        <w:tc>
          <w:tcPr>
            <w:tcW w:type="dxa" w:w="1994"/>
            <w:shd w:fill="F4F7F9"/>
          </w:tcPr>
          <w:p>
            <w:r>
              <w:t>Emissão inicial</w:t>
            </w:r>
          </w:p>
        </w:tc>
        <w:tc>
          <w:tcPr>
            <w:tcW w:type="dxa" w:w="1994"/>
            <w:shd w:fill="F4F7F9"/>
          </w:tcPr>
          <w:p>
            <w:r>
              <w:t>Final</w:t>
            </w:r>
          </w:p>
        </w:tc>
      </w:tr>
    </w:tbl>
    <w:p/>
    <w:p>
      <w:pPr>
        <w:pStyle w:val="Heading1"/>
      </w:pPr>
      <w:r>
        <w:t>Sumário</w:t>
      </w:r>
    </w:p>
    <w:p>
      <w:r>
        <w:fldChar w:fldCharType="begin"/>
      </w:r>
      <w:r>
        <w:instrText xml:space="preserve">TOC \o "1-3" \h \z \u</w:instrText>
      </w:r>
      <w:r>
        <w:fldChar w:fldCharType="separate"/>
      </w:r>
      <w:r>
        <w:t>Atualize os campos no Word</w:t>
      </w:r>
      <w:r>
        <w:fldChar w:fldCharType="end"/>
      </w:r>
    </w:p>
    <w:p>
      <w:r>
        <w:br w:type="page"/>
      </w:r>
    </w:p>
    <w:p>
      <w:pPr>
        <w:pStyle w:val="Heading1"/>
      </w:pPr>
      <w:r>
        <w:t>Índice de figuras</w:t>
      </w:r>
    </w:p>
    <w:p>
      <w:r>
        <w:fldChar w:fldCharType="begin"/>
      </w:r>
      <w:r>
        <w:instrText xml:space="preserve">TOC \h \z \c "Figura"</w:instrText>
      </w:r>
      <w:r>
        <w:fldChar w:fldCharType="separate"/>
      </w:r>
      <w:r>
        <w:t>Atualize os campos no Word</w:t>
      </w:r>
      <w:r>
        <w:fldChar w:fldCharType="end"/>
      </w:r>
    </w:p>
    <w:p>
      <w:r>
        <w:t>Observação: ao abrir no Microsoft Word, use Ctrl+A e F9 caso seja necessário atualizar o sumário e o índice de figuras.</w:t>
      </w:r>
    </w:p>
    <w:p>
      <w:r>
        <w:br w:type="page"/>
      </w:r>
    </w:p>
    <w:p>
      <w:pPr>
        <w:pStyle w:val="Heading1"/>
      </w:pPr>
      <w:r>
        <w:t>Legenda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8F5EE"/>
          </w:tcPr>
          <w:p>
            <w:r>
              <w:rPr>
                <w:b/>
              </w:rPr>
              <w:t>Tela desktop</w:t>
            </w:r>
          </w:p>
        </w:tc>
        <w:tc>
          <w:tcPr>
            <w:tcW w:type="dxa" w:w="4986"/>
          </w:tcPr>
          <w:p>
            <w:r>
              <w:t>captura em resolução 1440 × 900.</w:t>
            </w:r>
          </w:p>
        </w:tc>
      </w:tr>
      <w:tr>
        <w:tc>
          <w:tcPr>
            <w:tcW w:type="dxa" w:w="4986"/>
            <w:shd w:fill="E8F5EE"/>
          </w:tcPr>
          <w:p>
            <w:r>
              <w:rPr>
                <w:b/>
              </w:rPr>
              <w:t>Tela celular</w:t>
            </w:r>
          </w:p>
        </w:tc>
        <w:tc>
          <w:tcPr>
            <w:tcW w:type="dxa" w:w="4986"/>
          </w:tcPr>
          <w:p>
            <w:r>
              <w:t>captura em resolução 390 × 844.</w:t>
            </w:r>
          </w:p>
        </w:tc>
      </w:tr>
      <w:tr>
        <w:tc>
          <w:tcPr>
            <w:tcW w:type="dxa" w:w="4986"/>
            <w:shd w:fill="E8F5EE"/>
          </w:tcPr>
          <w:p>
            <w:r>
              <w:rPr>
                <w:b/>
              </w:rPr>
              <w:t>Imagem de QA</w:t>
            </w:r>
          </w:p>
        </w:tc>
        <w:tc>
          <w:tcPr>
            <w:tcW w:type="dxa" w:w="4986"/>
          </w:tcPr>
          <w:p>
            <w:r>
              <w:t>evidência registrada pelo roteiro automatizado local.</w:t>
            </w:r>
          </w:p>
        </w:tc>
      </w:tr>
      <w:tr>
        <w:tc>
          <w:tcPr>
            <w:tcW w:type="dxa" w:w="4986"/>
            <w:shd w:fill="E8F5EE"/>
          </w:tcPr>
          <w:p>
            <w:r>
              <w:rPr>
                <w:b/>
              </w:rPr>
              <w:t>Valores ocultos</w:t>
            </w:r>
          </w:p>
        </w:tc>
        <w:tc>
          <w:tcPr>
            <w:tcW w:type="dxa" w:w="4986"/>
          </w:tcPr>
          <w:p>
            <w:r>
              <w:t>informações financeiras protegidas pelo estado de privacidade do Painel.</w:t>
            </w:r>
          </w:p>
        </w:tc>
      </w:tr>
    </w:tbl>
    <w:p>
      <w:r>
        <w:br w:type="page"/>
      </w:r>
    </w:p>
    <w:p>
      <w:pPr>
        <w:pStyle w:val="Heading1"/>
      </w:pPr>
      <w:r>
        <w:t>1. Finalidade</w:t>
      </w:r>
    </w:p>
    <w:p>
      <w:pPr>
        <w:spacing w:after="140" w:line="276" w:lineRule="auto"/>
      </w:pPr>
      <w:r>
        <w:t>Este relatório reúne as evidências visuais do roteiro de QA local. As capturas registram a mesma aplicação em desktop e celular, com foco na disposição dos elementos, navegação e estados críticos.</w:t>
      </w:r>
    </w:p>
    <w:p>
      <w:pPr>
        <w:pStyle w:val="Heading1"/>
      </w:pPr>
      <w:r>
        <w:t>2. Painel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309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84000" cy="15525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sktop-loop-1-painel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4000" cy="1552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09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84000" cy="537563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ile-loop-1-paine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4000" cy="53756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  <w:jc w:val="center"/>
      </w:pPr>
      <w:r>
        <w:t xml:space="preserve">Figura </w:t>
      </w:r>
      <w:r>
        <w:fldChar w:fldCharType="begin"/>
      </w:r>
      <w:r>
        <w:instrText xml:space="preserve">SEQ Figura \* ARABIC</w:instrText>
      </w:r>
      <w:r>
        <w:fldChar w:fldCharType="separate"/>
      </w:r>
      <w:r>
        <w:t>Atualize os campos no Word</w:t>
      </w:r>
      <w:r>
        <w:fldChar w:fldCharType="end"/>
      </w:r>
      <w:r>
        <w:t>. Painel com cards financeiros, indicadores de equipe e gráfico de gastos.</w:t>
      </w:r>
    </w:p>
    <w:p>
      <w:pPr>
        <w:pStyle w:val="Heading1"/>
      </w:pPr>
      <w:r>
        <w:t>3. Valores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309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84000" cy="15525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sktop-loop-1-valore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4000" cy="1552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09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84000" cy="5375631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ile-loop-1-valores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4000" cy="53756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  <w:jc w:val="center"/>
      </w:pPr>
      <w:r>
        <w:t xml:space="preserve">Figura </w:t>
      </w:r>
      <w:r>
        <w:fldChar w:fldCharType="begin"/>
      </w:r>
      <w:r>
        <w:instrText xml:space="preserve">SEQ Figura \* ARABIC</w:instrText>
      </w:r>
      <w:r>
        <w:fldChar w:fldCharType="separate"/>
      </w:r>
      <w:r>
        <w:t>Atualize os campos no Word</w:t>
      </w:r>
      <w:r>
        <w:fldChar w:fldCharType="end"/>
      </w:r>
      <w:r>
        <w:t>. Consulta de Valores lançados em desktop e celular.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51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loop-1-modal-registrar-pagamen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Figura </w:t>
      </w:r>
      <w:r>
        <w:fldChar w:fldCharType="begin"/>
      </w:r>
      <w:r>
        <w:instrText xml:space="preserve">SEQ Figura \* ARABIC</w:instrText>
      </w:r>
      <w:r>
        <w:fldChar w:fldCharType="separate"/>
      </w:r>
      <w:r>
        <w:t>Atualize os campos no Word</w:t>
      </w:r>
      <w:r>
        <w:fldChar w:fldCharType="end"/>
      </w:r>
      <w:r>
        <w:t>. Modal Registrar Pagamento com pesquisa de pessoa e tipo de lançamento.</w:t>
      </w:r>
    </w:p>
    <w:p>
      <w:pPr>
        <w:pStyle w:val="Heading1"/>
      </w:pPr>
      <w:r>
        <w:t>4. Salário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309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84000" cy="15525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sktop-loop-1-nova-lista-salario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4000" cy="1552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09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84000" cy="5375631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ile-loop-1-nova-lista-salario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4000" cy="53756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  <w:jc w:val="center"/>
      </w:pPr>
      <w:r>
        <w:t xml:space="preserve">Figura </w:t>
      </w:r>
      <w:r>
        <w:fldChar w:fldCharType="begin"/>
      </w:r>
      <w:r>
        <w:instrText xml:space="preserve">SEQ Figura \* ARABIC</w:instrText>
      </w:r>
      <w:r>
        <w:fldChar w:fldCharType="separate"/>
      </w:r>
      <w:r>
        <w:t>Atualize os campos no Word</w:t>
      </w:r>
      <w:r>
        <w:fldChar w:fldCharType="end"/>
      </w:r>
      <w:r>
        <w:t>. Nova lista de pagamento nas duas responsividades.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51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loop-1-aviso-saida-salari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Figura </w:t>
      </w:r>
      <w:r>
        <w:fldChar w:fldCharType="begin"/>
      </w:r>
      <w:r>
        <w:instrText xml:space="preserve">SEQ Figura \* ARABIC</w:instrText>
      </w:r>
      <w:r>
        <w:fldChar w:fldCharType="separate"/>
      </w:r>
      <w:r>
        <w:t>Atualize os campos no Word</w:t>
      </w:r>
      <w:r>
        <w:fldChar w:fldCharType="end"/>
      </w:r>
      <w:r>
        <w:t>. Proteção contra saída da tela de pagamento com dados não registrados.</w:t>
      </w:r>
    </w:p>
    <w:p>
      <w:pPr>
        <w:pStyle w:val="Heading1"/>
      </w:pPr>
      <w:r>
        <w:t>5. Presença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309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84000" cy="15525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sktop-loop-1-presenca-marcada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4000" cy="1552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09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84000" cy="5375631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ile-loop-1-nova-lista-presenca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4000" cy="53756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  <w:jc w:val="center"/>
      </w:pPr>
      <w:r>
        <w:t xml:space="preserve">Figura </w:t>
      </w:r>
      <w:r>
        <w:fldChar w:fldCharType="begin"/>
      </w:r>
      <w:r>
        <w:instrText xml:space="preserve">SEQ Figura \* ARABIC</w:instrText>
      </w:r>
      <w:r>
        <w:fldChar w:fldCharType="separate"/>
      </w:r>
      <w:r>
        <w:t>Atualize os campos no Word</w:t>
      </w:r>
      <w:r>
        <w:fldChar w:fldCharType="end"/>
      </w:r>
      <w:r>
        <w:t>. Lançamento de presença com marcação de participantes.</w:t>
      </w:r>
    </w:p>
    <w:p>
      <w:pPr>
        <w:pStyle w:val="Heading1"/>
      </w:pPr>
      <w:r>
        <w:t>6. Equipe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51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loop-1-equip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Figura </w:t>
      </w:r>
      <w:r>
        <w:fldChar w:fldCharType="begin"/>
      </w:r>
      <w:r>
        <w:instrText xml:space="preserve">SEQ Figura \* ARABIC</w:instrText>
      </w:r>
      <w:r>
        <w:fldChar w:fldCharType="separate"/>
      </w:r>
      <w:r>
        <w:t>Atualize os campos no Word</w:t>
      </w:r>
      <w:r>
        <w:fldChar w:fldCharType="end"/>
      </w:r>
      <w:r>
        <w:t>. Tela de Equipe, filtros e organização da lista de pessoas.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51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loop-1-novo-funcionari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Figura </w:t>
      </w:r>
      <w:r>
        <w:fldChar w:fldCharType="begin"/>
      </w:r>
      <w:r>
        <w:instrText xml:space="preserve">SEQ Figura \* ARABIC</w:instrText>
      </w:r>
      <w:r>
        <w:fldChar w:fldCharType="separate"/>
      </w:r>
      <w:r>
        <w:t>Atualize os campos no Word</w:t>
      </w:r>
      <w:r>
        <w:fldChar w:fldCharType="end"/>
      </w:r>
      <w:r>
        <w:t>. Tela de cadastro de funcionário.</w:t>
      </w:r>
    </w:p>
    <w:p>
      <w:pPr>
        <w:pStyle w:val="Heading1"/>
      </w:pPr>
      <w:r>
        <w:t>7. Registro de execução</w:t>
      </w:r>
    </w:p>
    <w:p>
      <w:pPr>
        <w:spacing w:after="140" w:line="276" w:lineRule="auto"/>
      </w:pPr>
      <w:r>
        <w:t>Foram concluídos três ciclos de navegação em desktop e três em celular. As imagens foram produzidas no ambiente local sem cadastro, edição ou remoção de dados do sistema.</w:t>
      </w:r>
    </w:p>
    <w:sectPr w:rsidR="00FC693F" w:rsidRPr="0006063C" w:rsidSect="00034616">
      <w:footerReference w:type="default" r:id="rId9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6"/>
      </w:rPr>
      <w:t>Comitê João Jorge  |  Documento controlado</w:t>
    </w:r>
  </w:p>
  <w:p>
    <w:pPr>
      <w:jc w:val="right"/>
    </w:pPr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t>Atualize os campos no Word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2253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75B3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67E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75B3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75B3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