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75B35"/>
          <w:sz w:val="30"/>
        </w:rPr>
        <w:t>COMITÊ JOÃO JORGE</w:t>
      </w:r>
    </w:p>
    <w:p>
      <w:pPr>
        <w:jc w:val="center"/>
      </w:pPr>
      <w:r>
        <w:rPr>
          <w:b/>
          <w:color w:val="075B35"/>
          <w:sz w:val="58"/>
        </w:rPr>
        <w:t>Relatório de Fluxos do Sistema</w:t>
      </w:r>
    </w:p>
    <w:p>
      <w:pPr>
        <w:jc w:val="center"/>
      </w:pPr>
      <w:r>
        <w:rPr>
          <w:color w:val="526680"/>
          <w:sz w:val="28"/>
        </w:rPr>
        <w:t>Comitê João Jorge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Rafael Santos de Menezes</w:t>
            </w:r>
          </w:p>
        </w:tc>
      </w:tr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1.0</w:t>
            </w:r>
          </w:p>
        </w:tc>
      </w:tr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Emissão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13 de agosto de 2026</w:t>
            </w:r>
          </w:p>
        </w:tc>
      </w:tr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Classificação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Documento interno</w:t>
            </w:r>
          </w:p>
        </w:tc>
      </w:tr>
    </w:tbl>
    <w:p>
      <w:r>
        <w:br w:type="page"/>
      </w:r>
    </w:p>
    <w:p>
      <w:pPr>
        <w:pStyle w:val="Heading1"/>
      </w:pPr>
      <w:r>
        <w:t>Controle de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94"/>
            <w:shd w:fill="F4F7F9"/>
          </w:tcPr>
          <w:p>
            <w:r>
              <w:t>1.0</w:t>
            </w:r>
          </w:p>
        </w:tc>
        <w:tc>
          <w:tcPr>
            <w:tcW w:type="dxa" w:w="1994"/>
            <w:shd w:fill="F4F7F9"/>
          </w:tcPr>
          <w:p>
            <w:r>
              <w:t>13 de agosto de 2026</w:t>
            </w:r>
          </w:p>
        </w:tc>
        <w:tc>
          <w:tcPr>
            <w:tcW w:type="dxa" w:w="1994"/>
            <w:shd w:fill="F4F7F9"/>
          </w:tcPr>
          <w:p>
            <w:r>
              <w:t>Rafael Santos de Menezes</w:t>
            </w:r>
          </w:p>
        </w:tc>
        <w:tc>
          <w:tcPr>
            <w:tcW w:type="dxa" w:w="1994"/>
            <w:shd w:fill="F4F7F9"/>
          </w:tcPr>
          <w:p>
            <w:r>
              <w:t>Emissão inicial</w:t>
            </w:r>
          </w:p>
        </w:tc>
        <w:tc>
          <w:tcPr>
            <w:tcW w:type="dxa" w:w="1994"/>
            <w:shd w:fill="F4F7F9"/>
          </w:tcPr>
          <w:p>
            <w:r>
              <w:t>Final</w:t>
            </w:r>
          </w:p>
        </w:tc>
      </w:tr>
    </w:tbl>
    <w:p/>
    <w:p>
      <w:pPr>
        <w:pStyle w:val="Heading1"/>
      </w:pPr>
      <w:r>
        <w:t>Sumário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Atualize os campos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t>Índice de figuras</w:t>
      </w:r>
    </w:p>
    <w:p>
      <w:r>
        <w:fldChar w:fldCharType="begin"/>
      </w:r>
      <w:r>
        <w:instrText xml:space="preserve">TOC \h \z \c "Figura"</w:instrText>
      </w:r>
      <w:r>
        <w:fldChar w:fldCharType="separate"/>
      </w:r>
      <w:r>
        <w:t>Atualize os campos no Word</w:t>
      </w:r>
      <w:r>
        <w:fldChar w:fldCharType="end"/>
      </w:r>
    </w:p>
    <w:p>
      <w:r>
        <w:t>Observação: ao abrir no Microsoft Word, use Ctrl+A e F9 caso seja necessário atualizar o sumário e o índice de figuras.</w:t>
      </w:r>
    </w:p>
    <w:p>
      <w:r>
        <w:br w:type="page"/>
      </w:r>
    </w:p>
    <w:p>
      <w:pPr>
        <w:pStyle w:val="Heading1"/>
      </w:pPr>
      <w:r>
        <w:t>Legenda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5EE"/>
          </w:tcPr>
          <w:p>
            <w:r>
              <w:rPr>
                <w:b/>
              </w:rPr>
              <w:t>Tela desktop</w:t>
            </w:r>
          </w:p>
        </w:tc>
        <w:tc>
          <w:tcPr>
            <w:tcW w:type="dxa" w:w="4986"/>
          </w:tcPr>
          <w:p>
            <w:r>
              <w:t>captura em resolução 1440 × 900.</w:t>
            </w:r>
          </w:p>
        </w:tc>
      </w:tr>
      <w:tr>
        <w:tc>
          <w:tcPr>
            <w:tcW w:type="dxa" w:w="4986"/>
            <w:shd w:fill="E8F5EE"/>
          </w:tcPr>
          <w:p>
            <w:r>
              <w:rPr>
                <w:b/>
              </w:rPr>
              <w:t>Tela celular</w:t>
            </w:r>
          </w:p>
        </w:tc>
        <w:tc>
          <w:tcPr>
            <w:tcW w:type="dxa" w:w="4986"/>
          </w:tcPr>
          <w:p>
            <w:r>
              <w:t>captura em resolução 390 × 844.</w:t>
            </w:r>
          </w:p>
        </w:tc>
      </w:tr>
      <w:tr>
        <w:tc>
          <w:tcPr>
            <w:tcW w:type="dxa" w:w="4986"/>
            <w:shd w:fill="E8F5EE"/>
          </w:tcPr>
          <w:p>
            <w:r>
              <w:rPr>
                <w:b/>
              </w:rPr>
              <w:t>Imagem de QA</w:t>
            </w:r>
          </w:p>
        </w:tc>
        <w:tc>
          <w:tcPr>
            <w:tcW w:type="dxa" w:w="4986"/>
          </w:tcPr>
          <w:p>
            <w:r>
              <w:t>evidência registrada pelo roteiro automatizado local.</w:t>
            </w:r>
          </w:p>
        </w:tc>
      </w:tr>
      <w:tr>
        <w:tc>
          <w:tcPr>
            <w:tcW w:type="dxa" w:w="4986"/>
            <w:shd w:fill="E8F5EE"/>
          </w:tcPr>
          <w:p>
            <w:r>
              <w:rPr>
                <w:b/>
              </w:rPr>
              <w:t>Valores ocultos</w:t>
            </w:r>
          </w:p>
        </w:tc>
        <w:tc>
          <w:tcPr>
            <w:tcW w:type="dxa" w:w="4986"/>
          </w:tcPr>
          <w:p>
            <w:r>
              <w:t>informações financeiras protegidas pelo estado de privacidade do Painel.</w:t>
            </w:r>
          </w:p>
        </w:tc>
      </w:tr>
    </w:tbl>
    <w:p>
      <w:r>
        <w:br w:type="page"/>
      </w:r>
    </w:p>
    <w:p>
      <w:pPr>
        <w:pStyle w:val="Heading1"/>
      </w:pPr>
      <w:r>
        <w:t>1. Apresentação</w:t>
      </w:r>
    </w:p>
    <w:p>
      <w:pPr>
        <w:spacing w:after="140" w:line="276" w:lineRule="auto"/>
      </w:pPr>
      <w:r>
        <w:t>Este relatório consolida os fluxos funcionais do sistema Comitê João Jorge. O conteúdo foi elaborado a partir do manual operacional, da análise da aplicação, das evidências de QA local e das telas registradas em desktop e celular.</w:t>
      </w:r>
    </w:p>
    <w:p>
      <w:pPr>
        <w:pStyle w:val="Heading1"/>
      </w:pPr>
      <w:r>
        <w:t>2. Objetivo e escopo</w:t>
      </w:r>
    </w:p>
    <w:p>
      <w:pPr>
        <w:spacing w:after="140" w:line="276" w:lineRule="auto"/>
      </w:pPr>
      <w:r>
        <w:t>O sistema centraliza o controle da equipe de campanha, da reserva de candidatos a contratação, da presença, dos valores entregues, das entradas de caixa e da folha de pagamento. A aplicação é responsiva e foi projetada para uso contínuo em computador e telefone.</w:t>
      </w:r>
    </w:p>
    <w:p>
      <w:pPr>
        <w:pStyle w:val="Heading1"/>
      </w:pPr>
      <w:r>
        <w:t>3. Fluxo de acesso e sessão</w:t>
      </w:r>
    </w:p>
    <w:p>
      <w:pPr>
        <w:pStyle w:val="ListBullet"/>
      </w:pPr>
      <w:r>
        <w:t>O operador informa e-mail e senha na tela de acesso.</w:t>
      </w:r>
    </w:p>
    <w:p>
      <w:pPr>
        <w:pStyle w:val="ListBullet"/>
      </w:pPr>
      <w:r>
        <w:t>Após validação, o Painel é exibido como tela inicial.</w:t>
      </w:r>
    </w:p>
    <w:p>
      <w:pPr>
        <w:pStyle w:val="ListBullet"/>
      </w:pPr>
      <w:r>
        <w:t>A opção Sair do sistema encerra a sessão e restaura a privacidade dos valores financeiros.</w:t>
      </w:r>
    </w:p>
    <w:p>
      <w:pPr>
        <w:pStyle w:val="ListBullet"/>
      </w:pPr>
      <w:r>
        <w:t>O sistema preserva a escolha de exibir ou ocultar os valores enquanto a sessão estiver ativa.</w:t>
      </w:r>
    </w:p>
    <w:p>
      <w:pPr>
        <w:pStyle w:val="Heading1"/>
      </w:pPr>
      <w:r>
        <w:t>4. Fluxo do Painel</w:t>
      </w:r>
    </w:p>
    <w:p>
      <w:pPr>
        <w:spacing w:after="140" w:line="276" w:lineRule="auto"/>
      </w:pPr>
      <w:r>
        <w:t>O Painel apresenta Entradas, Saídas, pessoas Ativas e pessoas Sem assinatura. Os cards de entradas e saídas permitem consultar o histórico financeiro e exportar planilhas. Os cards Ativos e Sem assinatura direcionam o operador para a gestão da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552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loop-1-paine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53756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loop-1-pain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Painel nas versões desktop, à esquerda, e celular, à direita.</w:t>
      </w:r>
    </w:p>
    <w:p>
      <w:pPr>
        <w:pStyle w:val="Heading1"/>
      </w:pPr>
      <w:r>
        <w:t>5. Fluxo da Equipe e Reserva</w:t>
      </w:r>
    </w:p>
    <w:p>
      <w:pPr>
        <w:spacing w:after="140" w:line="276" w:lineRule="auto"/>
      </w:pPr>
      <w:r>
        <w:t>Cada pessoa possui cadastro individual com identificação, perfil, equipe, data de entrada, telefone opcional e situação da assinatura. Pessoas ativas permanecem no topo da listagem, reservas ficam na faixa intermediária e desligados aparecem ao final. O histórico é preservado porque não existe exclusão física da pessoa.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op-1-equi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Tela de Equipe com filtros e acesso aos cadastros.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op-1-novo-funcion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Cadastro de funcionário com dados de identificação, perfil, equipe e assinatura.</w:t>
      </w:r>
    </w:p>
    <w:p>
      <w:pPr>
        <w:pStyle w:val="Heading1"/>
      </w:pPr>
      <w:r>
        <w:t>6. Fluxo de Valores</w:t>
      </w:r>
    </w:p>
    <w:p>
      <w:pPr>
        <w:spacing w:after="140" w:line="276" w:lineRule="auto"/>
      </w:pPr>
      <w:r>
        <w:t>O operador abre Registrar Pagamento, busca a pessoa pelo nome, seleciona o tipo de valor e informa o montante. O histórico apresenta a data do lançamento e a tabela exportada inclui os valores em BRL e o total geral.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552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loop-1-modal-registrar-pagamen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537563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loop-1-valor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Registro de pagamento no desktop e consulta de Valores no celular.</w:t>
      </w:r>
    </w:p>
    <w:p>
      <w:pPr>
        <w:pStyle w:val="Heading1"/>
      </w:pPr>
      <w:r>
        <w:t>7. Fluxo de Salário</w:t>
      </w:r>
    </w:p>
    <w:p>
      <w:pPr>
        <w:spacing w:after="140" w:line="276" w:lineRule="auto"/>
      </w:pPr>
      <w:r>
        <w:t>A nova lista de pagamento inicia com a data vigente. Cada funcionário apresenta o valor previsto, o estado de assinatura e o controle Pago. O card da pessoa abre sua ficha para edição. Antes de registrar, o operador pode consultar o total da folha, o total já pago e, opcionalmente, o saldo disponível e restante.</w:t>
      </w:r>
    </w:p>
    <w:p>
      <w:pPr>
        <w:spacing w:after="140" w:line="276" w:lineRule="auto"/>
      </w:pPr>
      <w:r>
        <w:t>Ao tentar sair da tela antes do registro, o sistema solicita confirmação. Isso evita perda de valores preenchidos por engano.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op-1-nova-lista-salar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Nova lista de pagamento na versão desktop.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op-1-aviso-saida-sal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Confirmação de saída da lista de pagamento sem registro.</w:t>
      </w:r>
    </w:p>
    <w:p>
      <w:pPr>
        <w:pStyle w:val="Heading1"/>
      </w:pPr>
      <w:r>
        <w:t>8. Fluxo de Presença</w:t>
      </w:r>
    </w:p>
    <w:p>
      <w:pPr>
        <w:spacing w:after="140" w:line="276" w:lineRule="auto"/>
      </w:pPr>
      <w:r>
        <w:t>A presença é lançada por data. A ação Marcar todos estabelece o cenário inicial e o operador remove somente os ausentes. A aplicação impede o lançamento duplicado da mesma data. A saída sem lançar também exige confirmação.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552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loop-1-presenca-marcad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537563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loop-1-nova-lista-presenc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Lançamento de presença no desktop e na versão celular.</w:t>
      </w:r>
    </w:p>
    <w:p>
      <w:pPr>
        <w:pStyle w:val="Heading1"/>
      </w:pPr>
      <w:r>
        <w:t>9. Integridade, sincronização e exportação</w:t>
      </w:r>
    </w:p>
    <w:p>
      <w:pPr>
        <w:pStyle w:val="ListBullet"/>
      </w:pPr>
      <w:r>
        <w:t>Presença e salário utilizam operações atômicas no banco, evitando listas parcialmente gravadas.</w:t>
      </w:r>
    </w:p>
    <w:p>
      <w:pPr>
        <w:pStyle w:val="ListBullet"/>
      </w:pPr>
      <w:r>
        <w:t>Atualizações de pessoas, valores, caixa, presença e pagamentos são acompanhadas em tempo real.</w:t>
      </w:r>
    </w:p>
    <w:p>
      <w:pPr>
        <w:pStyle w:val="ListBullet"/>
      </w:pPr>
      <w:r>
        <w:t>Em edição simultânea do mesmo registro, o último salvamento prevalece. A orientação operacional é evitar edição concorrente da mesma informação.</w:t>
      </w:r>
    </w:p>
    <w:p>
      <w:pPr>
        <w:pStyle w:val="ListBullet"/>
      </w:pPr>
      <w:r>
        <w:t>Todas as planilhas incluem valores em BRL e totalização final.</w:t>
      </w:r>
    </w:p>
    <w:p>
      <w:pPr>
        <w:pStyle w:val="Heading1"/>
      </w:pPr>
      <w:r>
        <w:t>10. Responsividade e validação</w:t>
      </w:r>
    </w:p>
    <w:p>
      <w:pPr>
        <w:spacing w:after="140" w:line="276" w:lineRule="auto"/>
      </w:pPr>
      <w:r>
        <w:t>O roteiro local executou três ciclos em 1440 × 900 e três ciclos em 390 × 844. Foram verificados login, Painel, Valores, Salário, confirmação de saída, Presença, marcação em massa, Equipe e novo funcionário. Os ciclos foram concluídos sem alteração dos dados existentes.</w:t>
      </w:r>
    </w:p>
    <w:p>
      <w:pPr>
        <w:pStyle w:val="Heading1"/>
      </w:pPr>
      <w:r>
        <w:t>11. Conclusão</w:t>
      </w:r>
    </w:p>
    <w:p>
      <w:pPr>
        <w:spacing w:after="140" w:line="276" w:lineRule="auto"/>
      </w:pPr>
      <w:r>
        <w:t>O sistema apresenta fluxos consistentes para a rotina de campanha, com foco em proteção do histórico, agilidade em operações repetitivas e utilização em dispositivos móveis. As confirmações de saída, a segmentação entre reserva, ativos e desligados e as exportações fortalecem a rastreabilidade operacional.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Comitê João Jorge  |  Documento controlado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t>Atualize os campos no Word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225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75B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7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75B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75B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