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1.</w:t>
        <w:tab/>
        <w:t xml:space="preserve">Identificador: func_01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2.</w:t>
        <w:tab/>
        <w:t xml:space="preserve">Nome: Inserir valor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Autor: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4.</w:t>
        <w:tab/>
        <w:t xml:space="preserve">Criticalidade: Alt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6.</w:t>
        <w:tab/>
        <w:t xml:space="preserve">Fonte: Vitor Artoni de Marcio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7.</w:t>
        <w:tab/>
        <w:t xml:space="preserve">Responsável: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8.</w:t>
        <w:tab/>
        <w:t xml:space="preserve">Descrição: O usuário, a partir dos botões numerais da interface, insere valores na tela.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9.</w:t>
        <w:tab/>
        <w:t xml:space="preserve">Trigger: Clique em qualquer botão numeral.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10.</w:t>
        <w:tab/>
        <w:t xml:space="preserve">Ato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mallCaps w:val="0"/>
          <w:rtl w:val="0"/>
        </w:rPr>
        <w:t xml:space="preserve">: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11.</w:t>
        <w:tab/>
        <w:t xml:space="preserve">Pré-Condições: Disponibilidade dos botões numéricos para o usuário clicar.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12.</w:t>
        <w:tab/>
        <w:t xml:space="preserve">Resultado: Exibição do valor clicado na tela.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13.</w:t>
        <w:tab/>
        <w:t xml:space="preserve">Cenário Principal: O usuário deseja realizar um cálculo com determinados valores e estes, então, são inseridos pelo usuário através do</w:t>
      </w:r>
      <w:r w:rsidDel="00000000" w:rsidR="00000000" w:rsidRPr="00000000">
        <w:rPr>
          <w:rtl w:val="0"/>
        </w:rPr>
        <w:t xml:space="preserve">s botões numéricos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Identificador: func_02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Nome: Selecionar operação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Autor: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Criticalidade: 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  <w:tab/>
        <w:t xml:space="preserve">Fonte: Vitor Artoni de Marcio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  <w:tab/>
        <w:t xml:space="preserve">Responsável: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  <w:tab/>
        <w:t xml:space="preserve">Descrição: Insere um operando à expressão.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  <w:tab/>
        <w:t xml:space="preserve">Trigger: Clique em qualquer botão de operação matemática.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  <w:tab/>
        <w:t xml:space="preserve">Ator: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  <w:tab/>
        <w:t xml:space="preserve">Pré-Condições: Disponibilidade dos botões de operação matemática.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</w:t>
        <w:tab/>
        <w:t xml:space="preserve">Resultado: Depois de inseridos os valores, quando o usuário pedir para que se exiba o resultado, irá-se mostrar o valor resultante condizente à operação selecionada.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</w:t>
        <w:tab/>
        <w:t xml:space="preserve">Cenário Principal: O usuário deseja realizar um cálculo e, para isso, seleciona uma operação matemática.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Identificador: func_03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Nome: Exibir 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Autor: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Criticalidade: 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  <w:tab/>
        <w:t xml:space="preserve">Fonte: Vitor Artoni de Marcio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  <w:tab/>
        <w:t xml:space="preserve">Responsável: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  <w:tab/>
        <w:t xml:space="preserve">Descrição: Exibe o valor resultante dos valores inseridos e a operação escolhida.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  <w:tab/>
        <w:t xml:space="preserve">Trigger: Clique no botão para exibir o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  <w:tab/>
        <w:t xml:space="preserve">Ator: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  <w:tab/>
        <w:t xml:space="preserve">Pré-Condições: Disponibilidade do botão para exibir o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</w:t>
        <w:tab/>
        <w:t xml:space="preserve">Resultado: Exibição do resultado da expressão previamente escolhida pelo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</w:t>
        <w:tab/>
        <w:t xml:space="preserve">Cenário Principal: Após o usuário digitar uma expressão (inserir valores e escolher uma operação), para que lhe seja mostrado o resultado, ele clica no botão de “exibir resultado”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Identificador: func_04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Nome: Calcular 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Autor: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Criticalidade: 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  <w:tab/>
        <w:t xml:space="preserve">Fonte: Vitor Artoni de Marcio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  <w:tab/>
        <w:t xml:space="preserve">Responsável: Rafael Augusto Barbaroto de Araújo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  <w:tab/>
        <w:t xml:space="preserve">Descrição: Efetua o cálculo da expressão inseria pelo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  <w:tab/>
        <w:t xml:space="preserve">Trigger: Clique no botão de “exibir resultado”.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</w:t>
        <w:tab/>
        <w:t xml:space="preserve">Ator: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</w:t>
        <w:tab/>
        <w:t xml:space="preserve">Pré-Condições: Disponibilidade do botão para exibir o resultado. O cálculo também só poderá ser feito se antes for inserido uma expressão completa, ou quando escolhida uma operação capaz de completar a expressão (como a de elevação quadrática)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</w:t>
        <w:tab/>
        <w:t xml:space="preserve">Resultado: Retorna para o sistema o resultado da expressão.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</w:t>
        <w:tab/>
        <w:t xml:space="preserve">Cenário Principal: Depois de inserido pelo usuário a expressão a ser calculada, para obter o resultado, o usuário clica no botão “exibir resultado” que irá automaticamente executar a função de “calcular resultado”</w:t>
      </w:r>
    </w:p>
    <w:sectPr>
      <w:pgSz w:h="16838" w:w="11906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