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8D9B6" w14:textId="77777777" w:rsidR="00A9505A" w:rsidRDefault="00A9505A">
      <w:pPr>
        <w:rPr>
          <w:rFonts w:ascii="Times New Roman" w:hAnsi="Times New Roman" w:cs="Times New Roman"/>
        </w:rPr>
      </w:pPr>
    </w:p>
    <w:sdt>
      <w:sdtPr>
        <w:rPr>
          <w:rFonts w:asciiTheme="minorHAnsi" w:eastAsiaTheme="minorHAnsi" w:hAnsiTheme="minorHAnsi" w:cstheme="minorBidi"/>
          <w:color w:val="auto"/>
          <w:sz w:val="22"/>
          <w:szCs w:val="22"/>
          <w:lang w:eastAsia="en-US"/>
        </w:rPr>
        <w:id w:val="-1646114117"/>
        <w:docPartObj>
          <w:docPartGallery w:val="Table of Contents"/>
          <w:docPartUnique/>
        </w:docPartObj>
      </w:sdtPr>
      <w:sdtEndPr>
        <w:rPr>
          <w:b/>
          <w:bCs/>
        </w:rPr>
      </w:sdtEndPr>
      <w:sdtContent>
        <w:p w14:paraId="19E8CC37" w14:textId="2CDA54BD" w:rsidR="003E79E8" w:rsidRDefault="003E79E8">
          <w:pPr>
            <w:pStyle w:val="TOCHeading"/>
          </w:pPr>
          <w:r>
            <w:t>Sumário</w:t>
          </w:r>
        </w:p>
        <w:p w14:paraId="5BE28CB7" w14:textId="69710DFD" w:rsidR="003E79E8" w:rsidRDefault="003E79E8">
          <w:pPr>
            <w:pStyle w:val="TOC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69565665" w:history="1">
            <w:r w:rsidRPr="00555BD4">
              <w:rPr>
                <w:rStyle w:val="Hyperlink"/>
                <w:rFonts w:ascii="Times New Roman" w:hAnsi="Times New Roman" w:cs="Times New Roman"/>
                <w:b/>
                <w:bCs/>
                <w:noProof/>
              </w:rPr>
              <w:t>Introdução</w:t>
            </w:r>
            <w:r>
              <w:rPr>
                <w:noProof/>
                <w:webHidden/>
              </w:rPr>
              <w:tab/>
            </w:r>
            <w:r>
              <w:rPr>
                <w:noProof/>
                <w:webHidden/>
              </w:rPr>
              <w:fldChar w:fldCharType="begin"/>
            </w:r>
            <w:r>
              <w:rPr>
                <w:noProof/>
                <w:webHidden/>
              </w:rPr>
              <w:instrText xml:space="preserve"> PAGEREF _Toc69565665 \h </w:instrText>
            </w:r>
            <w:r>
              <w:rPr>
                <w:noProof/>
                <w:webHidden/>
              </w:rPr>
            </w:r>
            <w:r>
              <w:rPr>
                <w:noProof/>
                <w:webHidden/>
              </w:rPr>
              <w:fldChar w:fldCharType="separate"/>
            </w:r>
            <w:r>
              <w:rPr>
                <w:noProof/>
                <w:webHidden/>
              </w:rPr>
              <w:t>1</w:t>
            </w:r>
            <w:r>
              <w:rPr>
                <w:noProof/>
                <w:webHidden/>
              </w:rPr>
              <w:fldChar w:fldCharType="end"/>
            </w:r>
          </w:hyperlink>
        </w:p>
        <w:p w14:paraId="1D3D2804" w14:textId="12269A8F" w:rsidR="003E79E8" w:rsidRDefault="00731FB8">
          <w:pPr>
            <w:pStyle w:val="TOC1"/>
            <w:tabs>
              <w:tab w:val="right" w:leader="dot" w:pos="8494"/>
            </w:tabs>
            <w:rPr>
              <w:rFonts w:eastAsiaTheme="minorEastAsia"/>
              <w:noProof/>
              <w:lang w:eastAsia="pt-BR"/>
            </w:rPr>
          </w:pPr>
          <w:hyperlink w:anchor="_Toc69565666" w:history="1">
            <w:r w:rsidR="003E79E8" w:rsidRPr="003E79E8">
              <w:rPr>
                <w:rStyle w:val="Hyperlink"/>
                <w:rFonts w:ascii="Times New Roman" w:hAnsi="Times New Roman" w:cs="Times New Roman"/>
                <w:b/>
                <w:bCs/>
                <w:noProof/>
                <w:sz w:val="20"/>
                <w:szCs w:val="20"/>
              </w:rPr>
              <w:t>Referencial</w:t>
            </w:r>
            <w:r w:rsidR="003E79E8" w:rsidRPr="00555BD4">
              <w:rPr>
                <w:rStyle w:val="Hyperlink"/>
                <w:rFonts w:ascii="Times New Roman" w:hAnsi="Times New Roman" w:cs="Times New Roman"/>
                <w:b/>
                <w:bCs/>
                <w:noProof/>
              </w:rPr>
              <w:t xml:space="preserve"> Teórico</w:t>
            </w:r>
            <w:r w:rsidR="003E79E8">
              <w:rPr>
                <w:noProof/>
                <w:webHidden/>
              </w:rPr>
              <w:tab/>
            </w:r>
            <w:r w:rsidR="003E79E8">
              <w:rPr>
                <w:noProof/>
                <w:webHidden/>
              </w:rPr>
              <w:fldChar w:fldCharType="begin"/>
            </w:r>
            <w:r w:rsidR="003E79E8">
              <w:rPr>
                <w:noProof/>
                <w:webHidden/>
              </w:rPr>
              <w:instrText xml:space="preserve"> PAGEREF _Toc69565666 \h </w:instrText>
            </w:r>
            <w:r w:rsidR="003E79E8">
              <w:rPr>
                <w:noProof/>
                <w:webHidden/>
              </w:rPr>
            </w:r>
            <w:r w:rsidR="003E79E8">
              <w:rPr>
                <w:noProof/>
                <w:webHidden/>
              </w:rPr>
              <w:fldChar w:fldCharType="separate"/>
            </w:r>
            <w:r w:rsidR="003E79E8">
              <w:rPr>
                <w:noProof/>
                <w:webHidden/>
              </w:rPr>
              <w:t>1</w:t>
            </w:r>
            <w:r w:rsidR="003E79E8">
              <w:rPr>
                <w:noProof/>
                <w:webHidden/>
              </w:rPr>
              <w:fldChar w:fldCharType="end"/>
            </w:r>
          </w:hyperlink>
        </w:p>
        <w:p w14:paraId="12EF1F71" w14:textId="6E040FAD" w:rsidR="003E79E8" w:rsidRDefault="003E79E8">
          <w:r>
            <w:rPr>
              <w:b/>
              <w:bCs/>
            </w:rPr>
            <w:fldChar w:fldCharType="end"/>
          </w:r>
        </w:p>
      </w:sdtContent>
    </w:sdt>
    <w:p w14:paraId="4F8DAE2C" w14:textId="77777777" w:rsidR="00A9505A" w:rsidRDefault="00A9505A">
      <w:pPr>
        <w:rPr>
          <w:rFonts w:ascii="Times New Roman" w:hAnsi="Times New Roman" w:cs="Times New Roman"/>
        </w:rPr>
      </w:pPr>
    </w:p>
    <w:p w14:paraId="349F47DF" w14:textId="77777777" w:rsidR="00A9505A" w:rsidRDefault="00A9505A">
      <w:pPr>
        <w:rPr>
          <w:rFonts w:ascii="Times New Roman" w:hAnsi="Times New Roman" w:cs="Times New Roman"/>
        </w:rPr>
      </w:pPr>
    </w:p>
    <w:p w14:paraId="74004106" w14:textId="77777777" w:rsidR="00A9505A" w:rsidRPr="00387290" w:rsidRDefault="00A9505A">
      <w:pPr>
        <w:rPr>
          <w:rFonts w:ascii="Times New Roman" w:hAnsi="Times New Roman" w:cs="Times New Roman"/>
          <w:b/>
          <w:bCs/>
          <w:sz w:val="24"/>
          <w:szCs w:val="24"/>
        </w:rPr>
      </w:pPr>
      <w:r w:rsidRPr="00387290">
        <w:rPr>
          <w:rFonts w:ascii="Times New Roman" w:hAnsi="Times New Roman" w:cs="Times New Roman"/>
          <w:b/>
          <w:bCs/>
          <w:sz w:val="24"/>
          <w:szCs w:val="24"/>
        </w:rPr>
        <w:t>Resumo:</w:t>
      </w:r>
    </w:p>
    <w:p w14:paraId="41FD9E0A" w14:textId="77777777" w:rsidR="00A9505A" w:rsidRPr="00387290" w:rsidRDefault="00A9505A">
      <w:pPr>
        <w:rPr>
          <w:rFonts w:ascii="Times New Roman" w:hAnsi="Times New Roman" w:cs="Times New Roman"/>
          <w:b/>
          <w:bCs/>
          <w:sz w:val="24"/>
          <w:szCs w:val="24"/>
        </w:rPr>
      </w:pPr>
    </w:p>
    <w:p w14:paraId="047C0DC5" w14:textId="2711F850" w:rsidR="003E79E8" w:rsidRPr="00387290" w:rsidRDefault="003E79E8" w:rsidP="003E79E8">
      <w:pPr>
        <w:pStyle w:val="Heading1"/>
        <w:rPr>
          <w:rFonts w:ascii="Times New Roman" w:hAnsi="Times New Roman" w:cs="Times New Roman"/>
          <w:b/>
          <w:bCs/>
          <w:color w:val="000000" w:themeColor="text1"/>
          <w:sz w:val="24"/>
          <w:szCs w:val="24"/>
        </w:rPr>
      </w:pPr>
      <w:bookmarkStart w:id="0" w:name="_Toc69565665"/>
      <w:r w:rsidRPr="00387290">
        <w:rPr>
          <w:rFonts w:ascii="Times New Roman" w:hAnsi="Times New Roman" w:cs="Times New Roman"/>
          <w:b/>
          <w:bCs/>
          <w:color w:val="000000" w:themeColor="text1"/>
          <w:sz w:val="24"/>
          <w:szCs w:val="24"/>
        </w:rPr>
        <w:t>Introdução</w:t>
      </w:r>
      <w:bookmarkEnd w:id="0"/>
    </w:p>
    <w:p w14:paraId="0D0282B9" w14:textId="77777777" w:rsidR="003E79E8" w:rsidRPr="00387290" w:rsidRDefault="003E79E8">
      <w:pPr>
        <w:rPr>
          <w:rFonts w:ascii="Times New Roman" w:hAnsi="Times New Roman" w:cs="Times New Roman"/>
          <w:b/>
          <w:bCs/>
          <w:sz w:val="24"/>
          <w:szCs w:val="24"/>
        </w:rPr>
      </w:pPr>
    </w:p>
    <w:p w14:paraId="08F9DBDD" w14:textId="77777777" w:rsidR="003E79E8" w:rsidRPr="00387290" w:rsidRDefault="003E79E8">
      <w:pPr>
        <w:rPr>
          <w:rFonts w:ascii="Times New Roman" w:hAnsi="Times New Roman" w:cs="Times New Roman"/>
          <w:b/>
          <w:bCs/>
          <w:sz w:val="24"/>
          <w:szCs w:val="24"/>
        </w:rPr>
      </w:pPr>
    </w:p>
    <w:p w14:paraId="0E0DB531" w14:textId="346F7B65" w:rsidR="00A1175F" w:rsidRPr="00387290" w:rsidRDefault="003E79E8" w:rsidP="003E79E8">
      <w:pPr>
        <w:pStyle w:val="Heading1"/>
        <w:rPr>
          <w:rFonts w:ascii="Times New Roman" w:hAnsi="Times New Roman" w:cs="Times New Roman"/>
          <w:b/>
          <w:bCs/>
          <w:sz w:val="24"/>
          <w:szCs w:val="24"/>
        </w:rPr>
      </w:pPr>
      <w:bookmarkStart w:id="1" w:name="_Toc69565666"/>
      <w:r w:rsidRPr="00387290">
        <w:rPr>
          <w:rFonts w:ascii="Times New Roman" w:hAnsi="Times New Roman" w:cs="Times New Roman"/>
          <w:b/>
          <w:bCs/>
          <w:color w:val="000000" w:themeColor="text1"/>
          <w:sz w:val="24"/>
          <w:szCs w:val="24"/>
        </w:rPr>
        <w:t>Referencial Teórico</w:t>
      </w:r>
      <w:bookmarkEnd w:id="1"/>
      <w:r w:rsidR="00A9505A" w:rsidRPr="00387290">
        <w:rPr>
          <w:rFonts w:ascii="Times New Roman" w:hAnsi="Times New Roman" w:cs="Times New Roman"/>
          <w:b/>
          <w:bCs/>
          <w:sz w:val="24"/>
          <w:szCs w:val="24"/>
        </w:rPr>
        <w:tab/>
      </w:r>
    </w:p>
    <w:p w14:paraId="33DDA490" w14:textId="0833BCF0" w:rsidR="00EE1BF5" w:rsidRPr="00387290" w:rsidRDefault="00EE1BF5" w:rsidP="00EE1BF5"/>
    <w:p w14:paraId="43E3F697" w14:textId="0F25154D" w:rsidR="00EE1BF5" w:rsidRPr="00387290" w:rsidRDefault="007A37A3" w:rsidP="00EE1BF5">
      <w:pPr>
        <w:rPr>
          <w:b/>
          <w:bCs/>
        </w:rPr>
      </w:pPr>
      <w:proofErr w:type="spellStart"/>
      <w:r w:rsidRPr="00387290">
        <w:rPr>
          <w:b/>
          <w:bCs/>
        </w:rPr>
        <w:t>Tesseract</w:t>
      </w:r>
      <w:proofErr w:type="spellEnd"/>
    </w:p>
    <w:p w14:paraId="5D7C5075" w14:textId="2E6D40D2" w:rsidR="00EE1BF5" w:rsidRDefault="00EE1BF5" w:rsidP="00EE1BF5">
      <w:r w:rsidRPr="00EE1BF5">
        <w:t xml:space="preserve"> O Tesseract </w:t>
      </w:r>
      <w:r>
        <w:t>é uma ferramenta de código aberto desenvolvido pela HP</w:t>
      </w:r>
      <w:r w:rsidR="007A37A3">
        <w:t xml:space="preserve">, </w:t>
      </w:r>
      <w:proofErr w:type="spellStart"/>
      <w:r w:rsidR="007A37A3">
        <w:t>Hewllet</w:t>
      </w:r>
      <w:proofErr w:type="spellEnd"/>
      <w:r w:rsidR="007A37A3">
        <w:t xml:space="preserve"> Packard,</w:t>
      </w:r>
      <w:r>
        <w:t xml:space="preserve"> entre 1984 e 1994. Começou como um projeto de pesquisa e </w:t>
      </w:r>
      <w:r w:rsidR="007A37A3">
        <w:t xml:space="preserve">ganhou força como um possível complemento ao hardware e software da linha de scanners, visto que a maioria das ferramentas OCR da época estavam apenas iniciando e apresentavam muitas falhas. Nesse projeto, foram </w:t>
      </w:r>
      <w:r w:rsidR="00F24FF2">
        <w:t>priorizadas</w:t>
      </w:r>
      <w:r w:rsidR="007A37A3">
        <w:t xml:space="preserve"> suas capacidades de rejeição ao invés da melhora de sua precisão. E em 2005, a HP tornou o Tesseract em código aberto.</w:t>
      </w:r>
      <w:r w:rsidR="007A37A3">
        <w:fldChar w:fldCharType="begin" w:fldLock="1"/>
      </w:r>
      <w:r w:rsidR="00C93C15">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2007)","plainTextFormattedCitation":"(SMITH, 2007)","previouslyFormattedCitation":"(SMITH, 2007)"},"properties":{"noteIndex":0},"schema":"https://github.com/citation-style-language/schema/raw/master/csl-citation.json"}</w:instrText>
      </w:r>
      <w:r w:rsidR="007A37A3">
        <w:fldChar w:fldCharType="separate"/>
      </w:r>
      <w:r w:rsidR="007A37A3" w:rsidRPr="007A37A3">
        <w:rPr>
          <w:noProof/>
        </w:rPr>
        <w:t>(SMITH, 2007)</w:t>
      </w:r>
      <w:r w:rsidR="007A37A3">
        <w:fldChar w:fldCharType="end"/>
      </w:r>
    </w:p>
    <w:p w14:paraId="2F11E7BA" w14:textId="5CF3A11C" w:rsidR="007A37A3" w:rsidRDefault="007A37A3" w:rsidP="00EE1BF5"/>
    <w:p w14:paraId="0978A783" w14:textId="00E0402A" w:rsidR="007A37A3" w:rsidRDefault="007A37A3" w:rsidP="00EE1BF5">
      <w:pPr>
        <w:rPr>
          <w:b/>
          <w:bCs/>
        </w:rPr>
      </w:pPr>
      <w:r w:rsidRPr="007A37A3">
        <w:rPr>
          <w:b/>
          <w:bCs/>
        </w:rPr>
        <w:t xml:space="preserve">Arquitetura do </w:t>
      </w:r>
      <w:r>
        <w:rPr>
          <w:b/>
          <w:bCs/>
        </w:rPr>
        <w:t>T</w:t>
      </w:r>
      <w:r w:rsidRPr="007A37A3">
        <w:rPr>
          <w:b/>
          <w:bCs/>
        </w:rPr>
        <w:t>esseract</w:t>
      </w:r>
    </w:p>
    <w:p w14:paraId="360A440E" w14:textId="3B98CB31" w:rsidR="007A37A3" w:rsidRDefault="007A37A3" w:rsidP="00EE1BF5">
      <w:pPr>
        <w:rPr>
          <w:i/>
          <w:iCs/>
        </w:rPr>
      </w:pPr>
      <w:r>
        <w:t>O Tesseract utiliza</w:t>
      </w:r>
      <w:r w:rsidR="00D623DB">
        <w:t>,</w:t>
      </w:r>
      <w:r>
        <w:t xml:space="preserve"> </w:t>
      </w:r>
      <w:r w:rsidR="00D623DB">
        <w:t xml:space="preserve">como entrada, imagens binárias com regiões definidas de textos poligonais opcionais. O processamento segue o padrão passo a passo, embora alguma das etapas tenham sido incomuns para época. O primeiro passo é a análise de componentes conectados em que esboços do mesmo serão guardados, assim é possível detectar textos invertidos e </w:t>
      </w:r>
      <w:proofErr w:type="gramStart"/>
      <w:r w:rsidR="00D623DB">
        <w:t>reconhece-los</w:t>
      </w:r>
      <w:proofErr w:type="gramEnd"/>
      <w:r w:rsidR="00D623DB">
        <w:t xml:space="preserve"> facilmente como um texto preto no branco. E, foi a primeira ferramenta OCR a tratar de textos branco no preto.</w:t>
      </w:r>
      <w:r w:rsidR="00F87A6F">
        <w:t xml:space="preserve"> Nessa fase, os </w:t>
      </w:r>
      <w:r w:rsidR="00F87A6F" w:rsidRPr="00F87A6F">
        <w:t>esboços</w:t>
      </w:r>
      <w:r w:rsidR="00F87A6F">
        <w:t xml:space="preserve"> são agrupados, por enquadramento, em</w:t>
      </w:r>
      <w:r w:rsidR="00F87A6F" w:rsidRPr="00F87A6F">
        <w:rPr>
          <w:i/>
          <w:iCs/>
        </w:rPr>
        <w:t xml:space="preserve"> </w:t>
      </w:r>
      <w:proofErr w:type="spellStart"/>
      <w:r w:rsidR="00F87A6F" w:rsidRPr="00F87A6F">
        <w:rPr>
          <w:i/>
          <w:iCs/>
        </w:rPr>
        <w:t>Blobs</w:t>
      </w:r>
      <w:proofErr w:type="spellEnd"/>
      <w:r w:rsidR="00F87A6F">
        <w:rPr>
          <w:i/>
          <w:iCs/>
        </w:rPr>
        <w:t>.</w:t>
      </w:r>
      <w:r w:rsidR="00C93C15">
        <w:rPr>
          <w:i/>
          <w:iCs/>
        </w:rPr>
        <w:fldChar w:fldCharType="begin" w:fldLock="1"/>
      </w:r>
      <w:r w:rsidR="00C93C15">
        <w:rPr>
          <w:i/>
          <w:iCs/>
        </w:rPr>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2007)","plainTextFormattedCitation":"(SMITH, 2007)"},"properties":{"noteIndex":0},"schema":"https://github.com/citation-style-language/schema/raw/master/csl-citation.json"}</w:instrText>
      </w:r>
      <w:r w:rsidR="00C93C15">
        <w:rPr>
          <w:i/>
          <w:iCs/>
        </w:rPr>
        <w:fldChar w:fldCharType="separate"/>
      </w:r>
      <w:r w:rsidR="00C93C15" w:rsidRPr="00C93C15">
        <w:rPr>
          <w:iCs/>
          <w:noProof/>
        </w:rPr>
        <w:t>(SMITH, 2007)</w:t>
      </w:r>
      <w:r w:rsidR="00C93C15">
        <w:rPr>
          <w:i/>
          <w:iCs/>
        </w:rPr>
        <w:fldChar w:fldCharType="end"/>
      </w:r>
    </w:p>
    <w:p w14:paraId="0E64B8E3" w14:textId="4AC84830" w:rsidR="00F87A6F" w:rsidRPr="00387290" w:rsidRDefault="00F87A6F" w:rsidP="00EE1BF5">
      <w:pPr>
        <w:rPr>
          <w:lang w:val="en-US"/>
        </w:rPr>
      </w:pPr>
      <w:r>
        <w:rPr>
          <w:i/>
          <w:iCs/>
        </w:rPr>
        <w:tab/>
      </w:r>
      <w:r>
        <w:t xml:space="preserve">Os </w:t>
      </w:r>
      <w:proofErr w:type="spellStart"/>
      <w:r>
        <w:t>Blobs</w:t>
      </w:r>
      <w:proofErr w:type="spellEnd"/>
      <w:r>
        <w:t xml:space="preserve"> são organizados em linhas de texto, e as linhas e regiões são analisados para um argumento definido ou um texto proporcional. As linhas de texto são quebradas em palavras através das diferenças de espaçamento de caracteres. Textos de argumentos definidos são então separados em caracteres. O texto proporcional é separado em palavras utilizando espaços definidos e espaços incertos. O reconhecimento </w:t>
      </w:r>
      <w:r w:rsidR="00F24FF2">
        <w:t xml:space="preserve">passa por dois passos, no primeiro as palavras são reconhecidas em cada turno. Cada palavra, considerada satisfatória, é então passada para um classificador adaptativo como dados treinados. Assim, o classificador adaptativo tem maiores chances de reconhecer melhor textos ao decorrer da página. Como </w:t>
      </w:r>
      <w:r w:rsidR="00F24FF2">
        <w:lastRenderedPageBreak/>
        <w:t>essa melhora no classificador adaptativo pode ocorrer no final do texto, uma segunda checagem no texto é feita, onde palavras não bem reconhecidas são trabalhadas novamente. A fase final toma conta de espaços incertos e checa hipóteses alternativas para localizar textos em minúsculo.</w:t>
      </w:r>
      <w:bookmarkStart w:id="2" w:name="OLE_LINK1"/>
      <w:bookmarkStart w:id="3" w:name="OLE_LINK2"/>
      <w:r w:rsidR="00C93C15">
        <w:fldChar w:fldCharType="begin" w:fldLock="1"/>
      </w:r>
      <w:r w:rsidR="00C93C15">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2007)","plainTextFormattedCitation":"(SMITH, 2007)","previouslyFormattedCitation":"(SMITH, 2007)"},"properties":{"noteIndex":0},"schema":"https://github.com/citation-style-language/schema/raw/master/csl-citation.json"}</w:instrText>
      </w:r>
      <w:r w:rsidR="00C93C15">
        <w:fldChar w:fldCharType="separate"/>
      </w:r>
      <w:r w:rsidR="00C93C15" w:rsidRPr="00387290">
        <w:rPr>
          <w:noProof/>
          <w:lang w:val="en-US"/>
        </w:rPr>
        <w:t>(SMITH, 2007)</w:t>
      </w:r>
      <w:r w:rsidR="00C93C15">
        <w:fldChar w:fldCharType="end"/>
      </w:r>
      <w:bookmarkEnd w:id="2"/>
      <w:bookmarkEnd w:id="3"/>
    </w:p>
    <w:p w14:paraId="008638AD" w14:textId="433E35C6" w:rsidR="00387290" w:rsidRDefault="00387290" w:rsidP="00EE1BF5">
      <w:r>
        <w:rPr>
          <w:lang w:val="en-US"/>
        </w:rPr>
        <w:tab/>
      </w:r>
      <w:r w:rsidRPr="00387290">
        <w:t xml:space="preserve">Para trabalhar com as linhas, </w:t>
      </w:r>
      <w:r>
        <w:t xml:space="preserve">as partes principais são filtragens dos </w:t>
      </w:r>
      <w:proofErr w:type="spellStart"/>
      <w:r>
        <w:t>blobs</w:t>
      </w:r>
      <w:proofErr w:type="spellEnd"/>
      <w:r>
        <w:t xml:space="preserve"> e a construção de linhas. Após as linhas serem encontradas, as bases das linhas serão definidas para que </w:t>
      </w:r>
      <w:proofErr w:type="gramStart"/>
      <w:r>
        <w:t>cada uma das linhas do texto sejam</w:t>
      </w:r>
      <w:proofErr w:type="gramEnd"/>
      <w:r>
        <w:t xml:space="preserve"> separadas. Para </w:t>
      </w:r>
      <w:r w:rsidR="0094344A">
        <w:t>textos</w:t>
      </w:r>
      <w:r>
        <w:t xml:space="preserve"> que não possuem um espaçamento bem definidos, o </w:t>
      </w:r>
      <w:proofErr w:type="spellStart"/>
      <w:r>
        <w:t>Tesseract</w:t>
      </w:r>
      <w:proofErr w:type="spellEnd"/>
      <w:r>
        <w:t xml:space="preserve"> soluciona esses problemas medindo o espaço em um alcance vertical limitado entre a base da linha e a média da linha. Espaços que estão pertos do limite se tornam difusos, para que uma decisão final seja feita após o reconhecimento da palavra.</w:t>
      </w:r>
      <w:r w:rsidR="0094344A">
        <w:t xml:space="preserve"> Se o resultado do reconhecimento de uma palavra não é </w:t>
      </w:r>
      <w:r w:rsidR="00FD3115">
        <w:t>satisfatório</w:t>
      </w:r>
      <w:r w:rsidR="0094344A">
        <w:t>, as palavras são cortadas através de pontos em vértices côncavos.</w:t>
      </w:r>
      <w:r w:rsidR="00FD3115">
        <w:t xml:space="preserve"> Se mesmo, depois de vários cortes, uma palavra ainda não ser satisfatória, ela é passada para o </w:t>
      </w:r>
      <w:proofErr w:type="spellStart"/>
      <w:r w:rsidR="00FD3115">
        <w:t>associador</w:t>
      </w:r>
      <w:proofErr w:type="spellEnd"/>
      <w:r w:rsidR="00FD3115">
        <w:t xml:space="preserve">. O </w:t>
      </w:r>
      <w:proofErr w:type="spellStart"/>
      <w:r w:rsidR="00FD3115">
        <w:t>associador</w:t>
      </w:r>
      <w:proofErr w:type="spellEnd"/>
      <w:r w:rsidR="00FD3115">
        <w:t xml:space="preserve"> começa uma procura de combinações dos </w:t>
      </w:r>
      <w:proofErr w:type="spellStart"/>
      <w:r w:rsidR="00FD3115">
        <w:t>blobs</w:t>
      </w:r>
      <w:proofErr w:type="spellEnd"/>
      <w:r w:rsidR="00FD3115">
        <w:t>, do melhor para a pior, com possíveis caracteres. Assim, esse esquema de corte e associação, simplifica a estrutura de dados que são necessárias para manter um gráfico de segmentação completa.</w:t>
      </w:r>
      <w:r w:rsidR="00903610" w:rsidRPr="00903610">
        <w:t xml:space="preserve"> </w:t>
      </w:r>
      <w:bookmarkStart w:id="4" w:name="OLE_LINK3"/>
      <w:bookmarkStart w:id="5" w:name="OLE_LINK4"/>
      <w:r w:rsidR="00903610">
        <w:fldChar w:fldCharType="begin" w:fldLock="1"/>
      </w:r>
      <w:r w:rsidR="00903610">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2007)","plainTextFormattedCitation":"(SMITH, 2007)","previouslyFormattedCitation":"(SMITH, 2007)"},"properties":{"noteIndex":0},"schema":"https://github.com/citation-style-language/schema/raw/master/csl-citation.json"}</w:instrText>
      </w:r>
      <w:r w:rsidR="00903610">
        <w:fldChar w:fldCharType="separate"/>
      </w:r>
      <w:r w:rsidR="00903610" w:rsidRPr="00903610">
        <w:rPr>
          <w:noProof/>
        </w:rPr>
        <w:t>(SMITH, 2007)</w:t>
      </w:r>
      <w:r w:rsidR="00903610">
        <w:fldChar w:fldCharType="end"/>
      </w:r>
      <w:r w:rsidR="00903610">
        <w:t xml:space="preserve"> </w:t>
      </w:r>
      <w:bookmarkEnd w:id="4"/>
      <w:bookmarkEnd w:id="5"/>
    </w:p>
    <w:p w14:paraId="3F816D9D" w14:textId="1879A5C0" w:rsidR="00903610" w:rsidRDefault="00903610" w:rsidP="00EE1BF5">
      <w:r>
        <w:tab/>
        <w:t xml:space="preserve">O classificador do </w:t>
      </w:r>
      <w:proofErr w:type="spellStart"/>
      <w:r>
        <w:t>Tesseract</w:t>
      </w:r>
      <w:proofErr w:type="spellEnd"/>
      <w:r>
        <w:t xml:space="preserve"> utiliza de dados treinados para que consiga fazer </w:t>
      </w:r>
      <w:r w:rsidR="002903F8">
        <w:t xml:space="preserve">a classificação e possíveis correspondências de caracteres. A utilização de um classificador adaptativo é </w:t>
      </w:r>
      <w:r w:rsidR="00731FB8">
        <w:t>recomendada</w:t>
      </w:r>
      <w:r w:rsidR="002903F8">
        <w:t xml:space="preserve"> para identificar diferentes tipos de fonte. A normalização de base de linha e altura x faz com que a distinção de caracteres em caixa alta e baixa sejam facilitadas. </w:t>
      </w:r>
      <w:r w:rsidR="00C713E5">
        <w:fldChar w:fldCharType="begin" w:fldLock="1"/>
      </w:r>
      <w:r w:rsidR="00C713E5">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2007)","plainTextFormattedCitation":"(SMITH, 2007)","previouslyFormattedCitation":"(SMITH, 2007)"},"properties":{"noteIndex":0},"schema":"https://github.com/citation-style-language/schema/raw/master/csl-citation.json"}</w:instrText>
      </w:r>
      <w:r w:rsidR="00C713E5">
        <w:fldChar w:fldCharType="separate"/>
      </w:r>
      <w:r w:rsidR="00C713E5" w:rsidRPr="00903610">
        <w:rPr>
          <w:noProof/>
        </w:rPr>
        <w:t>(SMITH, 2007)</w:t>
      </w:r>
      <w:r w:rsidR="00C713E5">
        <w:fldChar w:fldCharType="end"/>
      </w:r>
    </w:p>
    <w:p w14:paraId="2A435015" w14:textId="2D419A41" w:rsidR="002903F8" w:rsidRDefault="002903F8" w:rsidP="00EE1BF5">
      <w:r>
        <w:tab/>
        <w:t xml:space="preserve">Com esses atributos, o </w:t>
      </w:r>
      <w:proofErr w:type="spellStart"/>
      <w:r>
        <w:t>Tesseract</w:t>
      </w:r>
      <w:proofErr w:type="spellEnd"/>
      <w:r>
        <w:t xml:space="preserve"> se tornou líder do mercado em termos de precisão, tendo as suas escolhas incomuns de atributos como uma vantagem.</w:t>
      </w:r>
      <w:r w:rsidR="00C713E5" w:rsidRPr="00C713E5">
        <w:t xml:space="preserve"> </w:t>
      </w:r>
      <w:r w:rsidR="00C713E5">
        <w:fldChar w:fldCharType="begin" w:fldLock="1"/>
      </w:r>
      <w:r w:rsidR="00C713E5">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2007)","plainTextFormattedCitation":"(SMITH, 2007)","previouslyFormattedCitation":"(SMITH, 2007)"},"properties":{"noteIndex":0},"schema":"https://github.com/citation-style-language/schema/raw/master/csl-citation.json"}</w:instrText>
      </w:r>
      <w:r w:rsidR="00C713E5">
        <w:fldChar w:fldCharType="separate"/>
      </w:r>
      <w:r w:rsidR="00C713E5" w:rsidRPr="00903610">
        <w:rPr>
          <w:noProof/>
        </w:rPr>
        <w:t>(SMITH, 2007)</w:t>
      </w:r>
      <w:r w:rsidR="00C713E5">
        <w:fldChar w:fldCharType="end"/>
      </w:r>
    </w:p>
    <w:p w14:paraId="3908FDCE" w14:textId="28FD9610" w:rsidR="00903610" w:rsidRPr="00387290" w:rsidRDefault="00903610" w:rsidP="00EE1BF5">
      <w:r>
        <w:tab/>
      </w:r>
    </w:p>
    <w:p w14:paraId="03C25353" w14:textId="5103399E" w:rsidR="007A37A3" w:rsidRPr="00387290" w:rsidRDefault="007A37A3" w:rsidP="00EE1BF5"/>
    <w:p w14:paraId="03C65185" w14:textId="77777777" w:rsidR="007A37A3" w:rsidRPr="00387290" w:rsidRDefault="007A37A3" w:rsidP="00EE1BF5"/>
    <w:p w14:paraId="49672AD3" w14:textId="15E2B267" w:rsidR="00EE1BF5" w:rsidRPr="00387290" w:rsidRDefault="00EE1BF5" w:rsidP="00EE1BF5"/>
    <w:p w14:paraId="22118B68" w14:textId="45AE1FC6" w:rsidR="00C93C15" w:rsidRPr="00387290" w:rsidRDefault="00EE1BF5" w:rsidP="00C93C15">
      <w:pPr>
        <w:widowControl w:val="0"/>
        <w:autoSpaceDE w:val="0"/>
        <w:autoSpaceDN w:val="0"/>
        <w:adjustRightInd w:val="0"/>
        <w:spacing w:line="240" w:lineRule="auto"/>
        <w:rPr>
          <w:rFonts w:ascii="Calibri" w:hAnsi="Calibri" w:cs="Calibri"/>
          <w:noProof/>
          <w:lang w:val="en-US"/>
        </w:rPr>
      </w:pPr>
      <w:r>
        <w:fldChar w:fldCharType="begin" w:fldLock="1"/>
      </w:r>
      <w:r w:rsidRPr="00EE1BF5">
        <w:rPr>
          <w:lang w:val="en-US"/>
        </w:rPr>
        <w:instrText xml:space="preserve">ADDIN Mendeley Bibliography CSL_BIBLIOGRAPHY </w:instrText>
      </w:r>
      <w:r>
        <w:fldChar w:fldCharType="separate"/>
      </w:r>
      <w:r w:rsidR="00C93C15" w:rsidRPr="00C93C15">
        <w:rPr>
          <w:rFonts w:ascii="Calibri" w:hAnsi="Calibri" w:cs="Calibri"/>
          <w:noProof/>
          <w:lang w:val="en-US"/>
        </w:rPr>
        <w:t xml:space="preserve">SMITH, R. An Overview of the Tesseract OCR Engine. 2., 2007. </w:t>
      </w:r>
      <w:r w:rsidR="00C93C15" w:rsidRPr="00C93C15">
        <w:rPr>
          <w:rFonts w:ascii="Calibri" w:hAnsi="Calibri" w:cs="Calibri"/>
          <w:b/>
          <w:bCs/>
          <w:noProof/>
          <w:lang w:val="en-US"/>
        </w:rPr>
        <w:t>Ninth International Conference on Document Analysis and Recognition (ICDAR 2007)</w:t>
      </w:r>
      <w:r w:rsidR="00C93C15" w:rsidRPr="00C93C15">
        <w:rPr>
          <w:rFonts w:ascii="Calibri" w:hAnsi="Calibri" w:cs="Calibri"/>
          <w:noProof/>
          <w:lang w:val="en-US"/>
        </w:rPr>
        <w:t xml:space="preserve"> [...]. Curitiba, Brasil: IEEE, 2007. v. 2, p. 629–633. DOI 10.1109/ICDAR.2007.4376991. Available at: https://storage.googleapis.com/pub-tools-public-publication-data/pdf/33418.pdf.</w:t>
      </w:r>
    </w:p>
    <w:p w14:paraId="112F820E" w14:textId="161DCBA2" w:rsidR="00EE1BF5" w:rsidRPr="00EE1BF5" w:rsidRDefault="00EE1BF5" w:rsidP="00EE1BF5">
      <w:pPr>
        <w:widowControl w:val="0"/>
        <w:autoSpaceDE w:val="0"/>
        <w:autoSpaceDN w:val="0"/>
        <w:adjustRightInd w:val="0"/>
        <w:spacing w:line="240" w:lineRule="auto"/>
      </w:pPr>
      <w:r>
        <w:fldChar w:fldCharType="end"/>
      </w:r>
    </w:p>
    <w:sectPr w:rsidR="00EE1BF5" w:rsidRPr="00EE1B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pitch w:val="default"/>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5A"/>
    <w:rsid w:val="002903F8"/>
    <w:rsid w:val="00387290"/>
    <w:rsid w:val="003E79E8"/>
    <w:rsid w:val="00731FB8"/>
    <w:rsid w:val="007A37A3"/>
    <w:rsid w:val="00903610"/>
    <w:rsid w:val="0094344A"/>
    <w:rsid w:val="00A1175F"/>
    <w:rsid w:val="00A9505A"/>
    <w:rsid w:val="00C713E5"/>
    <w:rsid w:val="00C93C15"/>
    <w:rsid w:val="00D623DB"/>
    <w:rsid w:val="00EE1BF5"/>
    <w:rsid w:val="00F24FF2"/>
    <w:rsid w:val="00F87A6F"/>
    <w:rsid w:val="00FD311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8F66"/>
  <w15:chartTrackingRefBased/>
  <w15:docId w15:val="{27308E43-E076-4A70-B4F3-A7F9D27F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79E8"/>
    <w:pPr>
      <w:outlineLvl w:val="9"/>
    </w:pPr>
    <w:rPr>
      <w:lang w:eastAsia="pt-BR"/>
    </w:rPr>
  </w:style>
  <w:style w:type="paragraph" w:styleId="TOC1">
    <w:name w:val="toc 1"/>
    <w:basedOn w:val="Normal"/>
    <w:next w:val="Normal"/>
    <w:autoRedefine/>
    <w:uiPriority w:val="39"/>
    <w:unhideWhenUsed/>
    <w:rsid w:val="003E79E8"/>
    <w:pPr>
      <w:spacing w:after="100"/>
    </w:pPr>
  </w:style>
  <w:style w:type="character" w:styleId="Hyperlink">
    <w:name w:val="Hyperlink"/>
    <w:basedOn w:val="DefaultParagraphFont"/>
    <w:uiPriority w:val="99"/>
    <w:unhideWhenUsed/>
    <w:rsid w:val="003E79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6AFD0-10A2-4352-926F-FCFDDBEC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1785</Words>
  <Characters>10178</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Uezima</dc:creator>
  <cp:keywords/>
  <dc:description/>
  <cp:lastModifiedBy>Yudi Nishimoto</cp:lastModifiedBy>
  <cp:revision>5</cp:revision>
  <dcterms:created xsi:type="dcterms:W3CDTF">2021-04-17T18:03:00Z</dcterms:created>
  <dcterms:modified xsi:type="dcterms:W3CDTF">2021-05-01T18:48:00Z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cd2580f3-a1ca-328a-b632-2f9321f4b07a</vt:lpwstr>
  </property>
  <property fmtid="{D5CDD505-2E9C-101B-9397-08002B2CF9AE}" pid="4" name="Mendeley Citation Style_1">
    <vt:lpwstr>http://www.zotero.org/styles/instituto-brasileiro-de-informacao-em-ciencia-e-tecnologia-abnt-initials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http://www.zotero.org/styles/instituto-brasileiro-de-informacao-em-ciencia-e-tecnologia-abnt-initials</vt:lpwstr>
  </property>
  <property fmtid="{D5CDD505-2E9C-101B-9397-08002B2CF9AE}" pid="20" name="Mendeley Recent Style Name 7_1">
    <vt:lpwstr>Instituto Brasileiro de Informação em Ciência e Tecnologia - ABNT (autoria abreviada)</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