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8D9B6" w14:textId="77777777" w:rsidR="00A9505A" w:rsidRDefault="00A9505A">
      <w:pPr>
        <w:rPr>
          <w:rFonts w:ascii="Times New Roman" w:hAnsi="Times New Roman" w:cs="Times New Roman"/>
        </w:rPr>
      </w:pPr>
    </w:p>
    <w:sdt>
      <w:sdtPr>
        <w:rPr>
          <w:rFonts w:asciiTheme="minorHAnsi" w:eastAsiaTheme="minorHAnsi" w:hAnsiTheme="minorHAnsi" w:cstheme="minorBidi"/>
          <w:color w:val="auto"/>
          <w:sz w:val="22"/>
          <w:szCs w:val="22"/>
          <w:lang w:eastAsia="en-US"/>
        </w:rPr>
        <w:id w:val="-1646114117"/>
        <w:docPartObj>
          <w:docPartGallery w:val="Table of Contents"/>
          <w:docPartUnique/>
        </w:docPartObj>
      </w:sdtPr>
      <w:sdtEndPr>
        <w:rPr>
          <w:b/>
          <w:bCs/>
        </w:rPr>
      </w:sdtEndPr>
      <w:sdtContent>
        <w:p w14:paraId="19E8CC37" w14:textId="2CDA54BD" w:rsidR="003E79E8" w:rsidRDefault="003E79E8">
          <w:pPr>
            <w:pStyle w:val="TOCHeading"/>
          </w:pPr>
          <w:r>
            <w:t>Sumário</w:t>
          </w:r>
        </w:p>
        <w:p w14:paraId="5BE28CB7" w14:textId="69710DFD" w:rsidR="003E79E8" w:rsidRDefault="003E79E8">
          <w:pPr>
            <w:pStyle w:val="TOC1"/>
            <w:tabs>
              <w:tab w:val="right" w:leader="dot" w:pos="8494"/>
            </w:tabs>
            <w:rPr>
              <w:rFonts w:eastAsiaTheme="minorEastAsia"/>
              <w:noProof/>
              <w:lang w:eastAsia="pt-BR"/>
            </w:rPr>
          </w:pPr>
          <w:r>
            <w:fldChar w:fldCharType="begin"/>
          </w:r>
          <w:r>
            <w:instrText xml:space="preserve"> TOC \o "1-3" \h \z \u </w:instrText>
          </w:r>
          <w:r>
            <w:fldChar w:fldCharType="separate"/>
          </w:r>
          <w:hyperlink w:anchor="_Toc69565665" w:history="1">
            <w:r w:rsidRPr="00555BD4">
              <w:rPr>
                <w:rStyle w:val="Hyperlink"/>
                <w:rFonts w:ascii="Times New Roman" w:hAnsi="Times New Roman" w:cs="Times New Roman"/>
                <w:b/>
                <w:bCs/>
                <w:noProof/>
              </w:rPr>
              <w:t>Introdução</w:t>
            </w:r>
            <w:r>
              <w:rPr>
                <w:noProof/>
                <w:webHidden/>
              </w:rPr>
              <w:tab/>
            </w:r>
            <w:r>
              <w:rPr>
                <w:noProof/>
                <w:webHidden/>
              </w:rPr>
              <w:fldChar w:fldCharType="begin"/>
            </w:r>
            <w:r>
              <w:rPr>
                <w:noProof/>
                <w:webHidden/>
              </w:rPr>
              <w:instrText xml:space="preserve"> PAGEREF _Toc69565665 \h </w:instrText>
            </w:r>
            <w:r>
              <w:rPr>
                <w:noProof/>
                <w:webHidden/>
              </w:rPr>
            </w:r>
            <w:r>
              <w:rPr>
                <w:noProof/>
                <w:webHidden/>
              </w:rPr>
              <w:fldChar w:fldCharType="separate"/>
            </w:r>
            <w:r>
              <w:rPr>
                <w:noProof/>
                <w:webHidden/>
              </w:rPr>
              <w:t>1</w:t>
            </w:r>
            <w:r>
              <w:rPr>
                <w:noProof/>
                <w:webHidden/>
              </w:rPr>
              <w:fldChar w:fldCharType="end"/>
            </w:r>
          </w:hyperlink>
        </w:p>
        <w:p w14:paraId="1D3D2804" w14:textId="12269A8F" w:rsidR="003E79E8" w:rsidRDefault="00FC3B56">
          <w:pPr>
            <w:pStyle w:val="TOC1"/>
            <w:tabs>
              <w:tab w:val="right" w:leader="dot" w:pos="8494"/>
            </w:tabs>
            <w:rPr>
              <w:rFonts w:eastAsiaTheme="minorEastAsia"/>
              <w:noProof/>
              <w:lang w:eastAsia="pt-BR"/>
            </w:rPr>
          </w:pPr>
          <w:hyperlink w:anchor="_Toc69565666" w:history="1">
            <w:r w:rsidR="003E79E8" w:rsidRPr="003E79E8">
              <w:rPr>
                <w:rStyle w:val="Hyperlink"/>
                <w:rFonts w:ascii="Times New Roman" w:hAnsi="Times New Roman" w:cs="Times New Roman"/>
                <w:b/>
                <w:bCs/>
                <w:noProof/>
                <w:sz w:val="20"/>
                <w:szCs w:val="20"/>
              </w:rPr>
              <w:t>Referencial</w:t>
            </w:r>
            <w:r w:rsidR="003E79E8" w:rsidRPr="00555BD4">
              <w:rPr>
                <w:rStyle w:val="Hyperlink"/>
                <w:rFonts w:ascii="Times New Roman" w:hAnsi="Times New Roman" w:cs="Times New Roman"/>
                <w:b/>
                <w:bCs/>
                <w:noProof/>
              </w:rPr>
              <w:t xml:space="preserve"> Teórico</w:t>
            </w:r>
            <w:r w:rsidR="003E79E8">
              <w:rPr>
                <w:noProof/>
                <w:webHidden/>
              </w:rPr>
              <w:tab/>
            </w:r>
            <w:r w:rsidR="003E79E8">
              <w:rPr>
                <w:noProof/>
                <w:webHidden/>
              </w:rPr>
              <w:fldChar w:fldCharType="begin"/>
            </w:r>
            <w:r w:rsidR="003E79E8">
              <w:rPr>
                <w:noProof/>
                <w:webHidden/>
              </w:rPr>
              <w:instrText xml:space="preserve"> PAGEREF _Toc69565666 \h </w:instrText>
            </w:r>
            <w:r w:rsidR="003E79E8">
              <w:rPr>
                <w:noProof/>
                <w:webHidden/>
              </w:rPr>
            </w:r>
            <w:r w:rsidR="003E79E8">
              <w:rPr>
                <w:noProof/>
                <w:webHidden/>
              </w:rPr>
              <w:fldChar w:fldCharType="separate"/>
            </w:r>
            <w:r w:rsidR="003E79E8">
              <w:rPr>
                <w:noProof/>
                <w:webHidden/>
              </w:rPr>
              <w:t>1</w:t>
            </w:r>
            <w:r w:rsidR="003E79E8">
              <w:rPr>
                <w:noProof/>
                <w:webHidden/>
              </w:rPr>
              <w:fldChar w:fldCharType="end"/>
            </w:r>
          </w:hyperlink>
        </w:p>
        <w:p w14:paraId="12EF1F71" w14:textId="6E040FAD" w:rsidR="003E79E8" w:rsidRDefault="003E79E8">
          <w:r>
            <w:rPr>
              <w:b/>
              <w:bCs/>
            </w:rPr>
            <w:fldChar w:fldCharType="end"/>
          </w:r>
        </w:p>
      </w:sdtContent>
    </w:sdt>
    <w:p w14:paraId="4F8DAE2C" w14:textId="77777777" w:rsidR="00A9505A" w:rsidRDefault="00A9505A">
      <w:pPr>
        <w:rPr>
          <w:rFonts w:ascii="Times New Roman" w:hAnsi="Times New Roman" w:cs="Times New Roman"/>
        </w:rPr>
      </w:pPr>
    </w:p>
    <w:p w14:paraId="349F47DF" w14:textId="77777777" w:rsidR="00A9505A" w:rsidRDefault="00A9505A">
      <w:pPr>
        <w:rPr>
          <w:rFonts w:ascii="Times New Roman" w:hAnsi="Times New Roman" w:cs="Times New Roman"/>
        </w:rPr>
      </w:pPr>
    </w:p>
    <w:p w14:paraId="74004106" w14:textId="77777777" w:rsidR="00A9505A" w:rsidRPr="00387290" w:rsidRDefault="00A9505A">
      <w:pPr>
        <w:rPr>
          <w:rFonts w:ascii="Times New Roman" w:hAnsi="Times New Roman" w:cs="Times New Roman"/>
          <w:b/>
          <w:bCs/>
          <w:sz w:val="24"/>
          <w:szCs w:val="24"/>
        </w:rPr>
      </w:pPr>
      <w:r w:rsidRPr="00387290">
        <w:rPr>
          <w:rFonts w:ascii="Times New Roman" w:hAnsi="Times New Roman" w:cs="Times New Roman"/>
          <w:b/>
          <w:bCs/>
          <w:sz w:val="24"/>
          <w:szCs w:val="24"/>
        </w:rPr>
        <w:t>Resumo:</w:t>
      </w:r>
    </w:p>
    <w:p w14:paraId="41FD9E0A" w14:textId="77777777" w:rsidR="00A9505A" w:rsidRPr="00387290" w:rsidRDefault="00A9505A">
      <w:pPr>
        <w:rPr>
          <w:rFonts w:ascii="Times New Roman" w:hAnsi="Times New Roman" w:cs="Times New Roman"/>
          <w:b/>
          <w:bCs/>
          <w:sz w:val="24"/>
          <w:szCs w:val="24"/>
        </w:rPr>
      </w:pPr>
    </w:p>
    <w:p w14:paraId="047C0DC5" w14:textId="2711F850" w:rsidR="003E79E8" w:rsidRPr="00387290" w:rsidRDefault="003E79E8" w:rsidP="003E79E8">
      <w:pPr>
        <w:pStyle w:val="Heading1"/>
        <w:rPr>
          <w:rFonts w:ascii="Times New Roman" w:hAnsi="Times New Roman" w:cs="Times New Roman"/>
          <w:b/>
          <w:bCs/>
          <w:color w:val="000000" w:themeColor="text1"/>
          <w:sz w:val="24"/>
          <w:szCs w:val="24"/>
        </w:rPr>
      </w:pPr>
      <w:bookmarkStart w:id="0" w:name="_Toc69565665"/>
      <w:r w:rsidRPr="00387290">
        <w:rPr>
          <w:rFonts w:ascii="Times New Roman" w:hAnsi="Times New Roman" w:cs="Times New Roman"/>
          <w:b/>
          <w:bCs/>
          <w:color w:val="000000" w:themeColor="text1"/>
          <w:sz w:val="24"/>
          <w:szCs w:val="24"/>
        </w:rPr>
        <w:t>Introdução</w:t>
      </w:r>
      <w:bookmarkEnd w:id="0"/>
    </w:p>
    <w:p w14:paraId="0D0282B9" w14:textId="77777777" w:rsidR="003E79E8" w:rsidRPr="00387290" w:rsidRDefault="003E79E8">
      <w:pPr>
        <w:rPr>
          <w:rFonts w:ascii="Times New Roman" w:hAnsi="Times New Roman" w:cs="Times New Roman"/>
          <w:b/>
          <w:bCs/>
          <w:sz w:val="24"/>
          <w:szCs w:val="24"/>
        </w:rPr>
      </w:pPr>
    </w:p>
    <w:p w14:paraId="08F9DBDD" w14:textId="77777777" w:rsidR="003E79E8" w:rsidRPr="00387290" w:rsidRDefault="003E79E8">
      <w:pPr>
        <w:rPr>
          <w:rFonts w:ascii="Times New Roman" w:hAnsi="Times New Roman" w:cs="Times New Roman"/>
          <w:b/>
          <w:bCs/>
          <w:sz w:val="24"/>
          <w:szCs w:val="24"/>
        </w:rPr>
      </w:pPr>
    </w:p>
    <w:p w14:paraId="0E0DB531" w14:textId="346F7B65" w:rsidR="00A1175F" w:rsidRPr="00387290" w:rsidRDefault="003E79E8" w:rsidP="003E79E8">
      <w:pPr>
        <w:pStyle w:val="Heading1"/>
        <w:rPr>
          <w:rFonts w:ascii="Times New Roman" w:hAnsi="Times New Roman" w:cs="Times New Roman"/>
          <w:b/>
          <w:bCs/>
          <w:sz w:val="24"/>
          <w:szCs w:val="24"/>
        </w:rPr>
      </w:pPr>
      <w:bookmarkStart w:id="1" w:name="_Toc69565666"/>
      <w:r w:rsidRPr="00387290">
        <w:rPr>
          <w:rFonts w:ascii="Times New Roman" w:hAnsi="Times New Roman" w:cs="Times New Roman"/>
          <w:b/>
          <w:bCs/>
          <w:color w:val="000000" w:themeColor="text1"/>
          <w:sz w:val="24"/>
          <w:szCs w:val="24"/>
        </w:rPr>
        <w:t>Referencial Teórico</w:t>
      </w:r>
      <w:bookmarkEnd w:id="1"/>
      <w:r w:rsidR="00A9505A" w:rsidRPr="00387290">
        <w:rPr>
          <w:rFonts w:ascii="Times New Roman" w:hAnsi="Times New Roman" w:cs="Times New Roman"/>
          <w:b/>
          <w:bCs/>
          <w:sz w:val="24"/>
          <w:szCs w:val="24"/>
        </w:rPr>
        <w:tab/>
      </w:r>
    </w:p>
    <w:p w14:paraId="33DDA490" w14:textId="0833BCF0" w:rsidR="00EE1BF5" w:rsidRPr="00387290" w:rsidRDefault="00EE1BF5" w:rsidP="00EE1BF5"/>
    <w:p w14:paraId="43E3F697" w14:textId="0F25154D" w:rsidR="00EE1BF5" w:rsidRPr="00387290" w:rsidRDefault="007A37A3" w:rsidP="00EE1BF5">
      <w:pPr>
        <w:rPr>
          <w:b/>
          <w:bCs/>
        </w:rPr>
      </w:pPr>
      <w:proofErr w:type="spellStart"/>
      <w:r w:rsidRPr="00387290">
        <w:rPr>
          <w:b/>
          <w:bCs/>
        </w:rPr>
        <w:t>Tesseract</w:t>
      </w:r>
      <w:proofErr w:type="spellEnd"/>
    </w:p>
    <w:p w14:paraId="5D7C5075" w14:textId="75315F58" w:rsidR="00EE1BF5" w:rsidRDefault="00EE1BF5" w:rsidP="00EE1BF5">
      <w:r w:rsidRPr="00EE1BF5">
        <w:t xml:space="preserve"> O Tesseract </w:t>
      </w:r>
      <w:r>
        <w:t>é uma ferramenta de código aberto desenvolvido pela HP</w:t>
      </w:r>
      <w:r w:rsidR="007A37A3">
        <w:t xml:space="preserve">, </w:t>
      </w:r>
      <w:proofErr w:type="spellStart"/>
      <w:r w:rsidR="007A37A3">
        <w:t>Hewllet</w:t>
      </w:r>
      <w:proofErr w:type="spellEnd"/>
      <w:r w:rsidR="007A37A3">
        <w:t xml:space="preserve"> Packard,</w:t>
      </w:r>
      <w:r>
        <w:t xml:space="preserve"> entre 1984 e 1994. Começou como um projeto de pesquisa e </w:t>
      </w:r>
      <w:r w:rsidR="007A37A3">
        <w:t xml:space="preserve">ganhou força como um possível complemento ao hardware e software da linha de scanners, visto que a maioria das ferramentas OCR da época estavam apenas iniciando e apresentavam muitas falhas. Nesse projeto, foram </w:t>
      </w:r>
      <w:r w:rsidR="00F24FF2">
        <w:t>priorizadas</w:t>
      </w:r>
      <w:r w:rsidR="007A37A3">
        <w:t xml:space="preserve"> suas capacidades de rejeição ao invés da melhora de sua precisão. E em 2005, a HP tornou o Tesseract em código aberto.</w:t>
      </w:r>
      <w:r w:rsidR="007A37A3">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7A37A3">
        <w:fldChar w:fldCharType="separate"/>
      </w:r>
      <w:r w:rsidR="00FC3B56" w:rsidRPr="00FC3B56">
        <w:rPr>
          <w:noProof/>
        </w:rPr>
        <w:t>(SMITH, Ray, 2007)</w:t>
      </w:r>
      <w:r w:rsidR="007A37A3">
        <w:fldChar w:fldCharType="end"/>
      </w:r>
    </w:p>
    <w:p w14:paraId="2F11E7BA" w14:textId="5CF3A11C" w:rsidR="007A37A3" w:rsidRDefault="007A37A3" w:rsidP="00EE1BF5"/>
    <w:p w14:paraId="0978A783" w14:textId="00E0402A" w:rsidR="007A37A3" w:rsidRDefault="007A37A3" w:rsidP="00EE1BF5">
      <w:pPr>
        <w:rPr>
          <w:b/>
          <w:bCs/>
        </w:rPr>
      </w:pPr>
      <w:r w:rsidRPr="007A37A3">
        <w:rPr>
          <w:b/>
          <w:bCs/>
        </w:rPr>
        <w:t xml:space="preserve">Arquitetura do </w:t>
      </w:r>
      <w:r>
        <w:rPr>
          <w:b/>
          <w:bCs/>
        </w:rPr>
        <w:t>T</w:t>
      </w:r>
      <w:r w:rsidRPr="007A37A3">
        <w:rPr>
          <w:b/>
          <w:bCs/>
        </w:rPr>
        <w:t>esseract</w:t>
      </w:r>
    </w:p>
    <w:p w14:paraId="360A440E" w14:textId="6AC51C8E" w:rsidR="007A37A3" w:rsidRDefault="007A37A3" w:rsidP="00EE1BF5">
      <w:pPr>
        <w:rPr>
          <w:i/>
          <w:iCs/>
        </w:rPr>
      </w:pPr>
      <w:r>
        <w:t>O Tesseract utiliza</w:t>
      </w:r>
      <w:r w:rsidR="00D623DB">
        <w:t>,</w:t>
      </w:r>
      <w:r>
        <w:t xml:space="preserve"> </w:t>
      </w:r>
      <w:r w:rsidR="00D623DB">
        <w:t xml:space="preserve">como entrada, imagens binárias com regiões definidas de textos poligonais opcionais. O processamento segue o padrão passo a passo, embora alguma das etapas tenham sido incomuns para época. O primeiro passo é a análise de componentes conectados em que esboços do mesmo serão guardados, assim é possível detectar textos invertidos e </w:t>
      </w:r>
      <w:proofErr w:type="gramStart"/>
      <w:r w:rsidR="00D623DB">
        <w:t>reconhece-los</w:t>
      </w:r>
      <w:proofErr w:type="gramEnd"/>
      <w:r w:rsidR="00D623DB">
        <w:t xml:space="preserve"> facilmente como um texto preto no branco. E, foi a primeira ferramenta OCR a tratar de textos branco no preto.</w:t>
      </w:r>
      <w:r w:rsidR="00F87A6F">
        <w:t xml:space="preserve"> Nessa fase, os </w:t>
      </w:r>
      <w:r w:rsidR="00F87A6F" w:rsidRPr="00F87A6F">
        <w:t>esboços</w:t>
      </w:r>
      <w:r w:rsidR="00F87A6F">
        <w:t xml:space="preserve"> são agrupados, por enquadramento, em</w:t>
      </w:r>
      <w:r w:rsidR="00F87A6F" w:rsidRPr="00F87A6F">
        <w:rPr>
          <w:i/>
          <w:iCs/>
        </w:rPr>
        <w:t xml:space="preserve"> </w:t>
      </w:r>
      <w:proofErr w:type="spellStart"/>
      <w:r w:rsidR="00F87A6F" w:rsidRPr="00F87A6F">
        <w:rPr>
          <w:i/>
          <w:iCs/>
        </w:rPr>
        <w:t>Blobs</w:t>
      </w:r>
      <w:proofErr w:type="spellEnd"/>
      <w:r w:rsidR="00F87A6F">
        <w:rPr>
          <w:i/>
          <w:iCs/>
        </w:rPr>
        <w:t>.</w:t>
      </w:r>
      <w:r w:rsidR="00C93C15">
        <w:rPr>
          <w:i/>
          <w:iCs/>
        </w:rPr>
        <w:fldChar w:fldCharType="begin" w:fldLock="1"/>
      </w:r>
      <w:r w:rsidR="00FC3B56">
        <w:rPr>
          <w:i/>
          <w:iCs/>
        </w:rPr>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C93C15">
        <w:rPr>
          <w:i/>
          <w:iCs/>
        </w:rPr>
        <w:fldChar w:fldCharType="separate"/>
      </w:r>
      <w:r w:rsidR="00FC3B56" w:rsidRPr="00FC3B56">
        <w:rPr>
          <w:iCs/>
          <w:noProof/>
        </w:rPr>
        <w:t>(SMITH, Ray, 2007)</w:t>
      </w:r>
      <w:r w:rsidR="00C93C15">
        <w:rPr>
          <w:i/>
          <w:iCs/>
        </w:rPr>
        <w:fldChar w:fldCharType="end"/>
      </w:r>
    </w:p>
    <w:p w14:paraId="0E64B8E3" w14:textId="7622FC79" w:rsidR="00F87A6F" w:rsidRPr="00387290" w:rsidRDefault="00F87A6F" w:rsidP="00EE1BF5">
      <w:pPr>
        <w:rPr>
          <w:lang w:val="en-US"/>
        </w:rPr>
      </w:pPr>
      <w:r>
        <w:rPr>
          <w:i/>
          <w:iCs/>
        </w:rPr>
        <w:tab/>
      </w:r>
      <w:r>
        <w:t xml:space="preserve">Os </w:t>
      </w:r>
      <w:proofErr w:type="spellStart"/>
      <w:r>
        <w:t>Blobs</w:t>
      </w:r>
      <w:proofErr w:type="spellEnd"/>
      <w:r>
        <w:t xml:space="preserve"> são organizados em linhas de texto, e as linhas e regiões são analisados para um argumento definido ou um texto proporcional. As linhas de texto são quebradas em palavras através das diferenças de espaçamento de caracteres. Textos de argumentos definidos são então separados em caracteres. O texto proporcional é separado em palavras utilizando espaços definidos e espaços incertos. O reconhecimento </w:t>
      </w:r>
      <w:r w:rsidR="00F24FF2">
        <w:t xml:space="preserve">passa por dois passos, no primeiro as palavras são reconhecidas em cada turno. Cada palavra, considerada satisfatória, é então passada para um classificador adaptativo como dados treinados. Assim, o classificador adaptativo tem maiores chances de reconhecer melhor textos ao decorrer da página. Como </w:t>
      </w:r>
      <w:r w:rsidR="00F24FF2">
        <w:lastRenderedPageBreak/>
        <w:t>essa melhora no classificador adaptativo pode ocorrer no final do texto, uma segunda checagem no texto é feita, onde palavras não bem reconhecidas são trabalhadas novamente. A fase final toma conta de espaços incertos e checa hipóteses alternativas para localizar textos em minúsculo.</w:t>
      </w:r>
      <w:bookmarkStart w:id="2" w:name="OLE_LINK1"/>
      <w:bookmarkStart w:id="3" w:name="OLE_LINK2"/>
      <w:r w:rsidR="00C93C15">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C93C15">
        <w:fldChar w:fldCharType="separate"/>
      </w:r>
      <w:r w:rsidR="00FC3B56" w:rsidRPr="00FC3B56">
        <w:rPr>
          <w:noProof/>
          <w:lang w:val="en-US"/>
        </w:rPr>
        <w:t>(SMITH, Ray, 2007)</w:t>
      </w:r>
      <w:r w:rsidR="00C93C15">
        <w:fldChar w:fldCharType="end"/>
      </w:r>
      <w:bookmarkEnd w:id="2"/>
      <w:bookmarkEnd w:id="3"/>
    </w:p>
    <w:p w14:paraId="008638AD" w14:textId="12117EE3" w:rsidR="00387290" w:rsidRDefault="00387290" w:rsidP="00EE1BF5">
      <w:r>
        <w:rPr>
          <w:lang w:val="en-US"/>
        </w:rPr>
        <w:tab/>
      </w:r>
      <w:r w:rsidRPr="00387290">
        <w:t xml:space="preserve">Para trabalhar com as linhas, </w:t>
      </w:r>
      <w:r>
        <w:t xml:space="preserve">as partes principais são filtragens dos </w:t>
      </w:r>
      <w:proofErr w:type="spellStart"/>
      <w:r>
        <w:t>blobs</w:t>
      </w:r>
      <w:proofErr w:type="spellEnd"/>
      <w:r>
        <w:t xml:space="preserve"> e a construção de linhas. Após as linhas serem encontradas, as bases das linhas serão definidas para que </w:t>
      </w:r>
      <w:proofErr w:type="gramStart"/>
      <w:r>
        <w:t>cada uma das linhas do texto sejam</w:t>
      </w:r>
      <w:proofErr w:type="gramEnd"/>
      <w:r>
        <w:t xml:space="preserve"> separadas. Para </w:t>
      </w:r>
      <w:r w:rsidR="0094344A">
        <w:t>textos</w:t>
      </w:r>
      <w:r>
        <w:t xml:space="preserve"> que não possuem um espaçamento bem definidos, o </w:t>
      </w:r>
      <w:proofErr w:type="spellStart"/>
      <w:r>
        <w:t>Tesseract</w:t>
      </w:r>
      <w:proofErr w:type="spellEnd"/>
      <w:r>
        <w:t xml:space="preserve"> soluciona esses problemas medindo o espaço em um alcance vertical limitado entre a base da linha e a média da linha. Espaços que estão pertos do limite se tornam difusos, para que uma decisão final seja feita após o reconhecimento da palavra.</w:t>
      </w:r>
      <w:r w:rsidR="0094344A">
        <w:t xml:space="preserve"> Se o resultado do reconhecimento de uma palavra não é </w:t>
      </w:r>
      <w:r w:rsidR="00FD3115">
        <w:t>satisfatório</w:t>
      </w:r>
      <w:r w:rsidR="0094344A">
        <w:t>, as palavras são cortadas através de pontos em vértices côncavos.</w:t>
      </w:r>
      <w:r w:rsidR="00FD3115">
        <w:t xml:space="preserve"> Se mesmo, depois de vários cortes, uma palavra ainda não ser satisfatória, ela é passada para o </w:t>
      </w:r>
      <w:proofErr w:type="spellStart"/>
      <w:r w:rsidR="00FD3115">
        <w:t>associador</w:t>
      </w:r>
      <w:proofErr w:type="spellEnd"/>
      <w:r w:rsidR="00FD3115">
        <w:t xml:space="preserve">. O </w:t>
      </w:r>
      <w:proofErr w:type="spellStart"/>
      <w:r w:rsidR="00FD3115">
        <w:t>associador</w:t>
      </w:r>
      <w:proofErr w:type="spellEnd"/>
      <w:r w:rsidR="00FD3115">
        <w:t xml:space="preserve"> começa uma procura de combinações dos </w:t>
      </w:r>
      <w:proofErr w:type="spellStart"/>
      <w:r w:rsidR="00FD3115">
        <w:t>blobs</w:t>
      </w:r>
      <w:proofErr w:type="spellEnd"/>
      <w:r w:rsidR="00FD3115">
        <w:t>, do melhor para a pior, com possíveis caracteres. Assim, esse esquema de corte e associação, simplifica a estrutura de dados que são necessárias para manter um gráfico de segmentação completa.</w:t>
      </w:r>
      <w:r w:rsidR="00903610" w:rsidRPr="00903610">
        <w:t xml:space="preserve"> </w:t>
      </w:r>
      <w:bookmarkStart w:id="4" w:name="OLE_LINK3"/>
      <w:bookmarkStart w:id="5" w:name="OLE_LINK4"/>
      <w:r w:rsidR="00903610">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903610">
        <w:fldChar w:fldCharType="separate"/>
      </w:r>
      <w:r w:rsidR="00FC3B56" w:rsidRPr="00FC3B56">
        <w:rPr>
          <w:noProof/>
        </w:rPr>
        <w:t>(SMITH, Ray, 2007)</w:t>
      </w:r>
      <w:r w:rsidR="00903610">
        <w:fldChar w:fldCharType="end"/>
      </w:r>
      <w:r w:rsidR="00903610">
        <w:t xml:space="preserve"> </w:t>
      </w:r>
      <w:bookmarkEnd w:id="4"/>
      <w:bookmarkEnd w:id="5"/>
    </w:p>
    <w:p w14:paraId="3F816D9D" w14:textId="012FFAC5" w:rsidR="00903610" w:rsidRDefault="00903610" w:rsidP="00EE1BF5">
      <w:r>
        <w:tab/>
        <w:t xml:space="preserve">O classificador do </w:t>
      </w:r>
      <w:proofErr w:type="spellStart"/>
      <w:r>
        <w:t>Tesseract</w:t>
      </w:r>
      <w:proofErr w:type="spellEnd"/>
      <w:r>
        <w:t xml:space="preserve"> utiliza de dados treinados para que consiga fazer </w:t>
      </w:r>
      <w:r w:rsidR="002903F8">
        <w:t xml:space="preserve">a classificação e possíveis correspondências de caracteres. A utilização de um classificador adaptativo é </w:t>
      </w:r>
      <w:r w:rsidR="00731FB8">
        <w:t>recomendada</w:t>
      </w:r>
      <w:r w:rsidR="002903F8">
        <w:t xml:space="preserve"> para identificar diferentes tipos de fonte. A normalização de base de linha e altura x faz com que a distinção de caracteres em caixa alta e baixa sejam facilitadas. </w:t>
      </w:r>
      <w:r w:rsidR="00C713E5">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C713E5">
        <w:fldChar w:fldCharType="separate"/>
      </w:r>
      <w:r w:rsidR="00FC3B56" w:rsidRPr="00FC3B56">
        <w:rPr>
          <w:noProof/>
        </w:rPr>
        <w:t>(SMITH, Ray, 2007)</w:t>
      </w:r>
      <w:r w:rsidR="00C713E5">
        <w:fldChar w:fldCharType="end"/>
      </w:r>
    </w:p>
    <w:p w14:paraId="2A435015" w14:textId="23E42998" w:rsidR="002903F8" w:rsidRPr="00FC3B56" w:rsidRDefault="002903F8" w:rsidP="00EE1BF5">
      <w:pPr>
        <w:rPr>
          <w:lang w:val="en-US"/>
        </w:rPr>
      </w:pPr>
      <w:r>
        <w:tab/>
        <w:t xml:space="preserve">Com esses atributos, o </w:t>
      </w:r>
      <w:proofErr w:type="spellStart"/>
      <w:r>
        <w:t>Tesseract</w:t>
      </w:r>
      <w:proofErr w:type="spellEnd"/>
      <w:r>
        <w:t xml:space="preserve"> se tornou líder do mercado em termos de precisão, tendo as suas escolhas incomuns de atributos como uma vantagem.</w:t>
      </w:r>
      <w:r w:rsidR="00C713E5" w:rsidRPr="00C713E5">
        <w:t xml:space="preserve"> </w:t>
      </w:r>
      <w:r w:rsidR="00C713E5">
        <w:fldChar w:fldCharType="begin" w:fldLock="1"/>
      </w:r>
      <w:r w:rsidR="00FC3B56">
        <w:instrText>ADDIN CSL_CITATION {"citationItems":[{"id":"ITEM-1","itemData":{"DOI":"10.1109/ICDAR.2007.4376991.","ISBN":"9783642220265","ISSN":"18650929","abstract":"The Tesseract OCR engine, as was the HP Research Prototype in the UNLV Fourth Annual Test of OCR Accuracy[1], is described in a comprehensive overview. Emphasis is placed on aspects that are novel or at least unusual in an OCR engine, including in particular the line finding, features/classification methods, and the adaptive classifier.","author":[{"dropping-particle":"","family":"Smith","given":"Ray","non-dropping-particle":"","parse-names":false,"suffix":""}],"container-title":"Ninth International Conference on Document Analysis and Recognition (ICDAR 2007)","id":"ITEM-1","issued":{"date-parts":[["2007"]]},"page":"629-633","publisher":"IEEE","publisher-place":"Curitiba, Brasil","title":"An Overview of the Tesseract OCR Engine","type":"paper-conference","volume":"2"},"uris":["http://www.mendeley.com/documents/?uuid=4bf63084-f215-4570-a8be-3d6762775970"]}],"mendeley":{"formattedCitation":"(SMITH, Ray, 2007)","plainTextFormattedCitation":"(SMITH, Ray, 2007)","previouslyFormattedCitation":"(SMITH, Ray, 2007)"},"properties":{"noteIndex":0},"schema":"https://github.com/citation-style-language/schema/raw/master/csl-citation.json"}</w:instrText>
      </w:r>
      <w:r w:rsidR="00C713E5">
        <w:fldChar w:fldCharType="separate"/>
      </w:r>
      <w:r w:rsidR="00FC3B56" w:rsidRPr="00FC3B56">
        <w:rPr>
          <w:noProof/>
          <w:lang w:val="en-US"/>
        </w:rPr>
        <w:t>(SMITH, Ray, 2007)</w:t>
      </w:r>
      <w:r w:rsidR="00C713E5">
        <w:fldChar w:fldCharType="end"/>
      </w:r>
    </w:p>
    <w:p w14:paraId="32D97B61" w14:textId="14C2DE58" w:rsidR="00FC3B56" w:rsidRDefault="00FC3B56" w:rsidP="00EE1BF5">
      <w:pPr>
        <w:rPr>
          <w:lang w:val="en-US"/>
        </w:rPr>
      </w:pPr>
    </w:p>
    <w:p w14:paraId="12D882DB" w14:textId="0E59A5E8" w:rsidR="00FC3B56" w:rsidRPr="00FC3B56" w:rsidRDefault="00FC3B56" w:rsidP="00EE1BF5">
      <w:pPr>
        <w:rPr>
          <w:b/>
          <w:bCs/>
        </w:rPr>
      </w:pPr>
      <w:r>
        <w:rPr>
          <w:b/>
          <w:bCs/>
        </w:rPr>
        <w:t>Reconhecimento de línguas pelo</w:t>
      </w:r>
      <w:r w:rsidRPr="007A37A3">
        <w:rPr>
          <w:b/>
          <w:bCs/>
        </w:rPr>
        <w:t xml:space="preserve"> </w:t>
      </w:r>
      <w:proofErr w:type="spellStart"/>
      <w:r>
        <w:rPr>
          <w:b/>
          <w:bCs/>
        </w:rPr>
        <w:t>T</w:t>
      </w:r>
      <w:r w:rsidRPr="007A37A3">
        <w:rPr>
          <w:b/>
          <w:bCs/>
        </w:rPr>
        <w:t>esseract</w:t>
      </w:r>
      <w:proofErr w:type="spellEnd"/>
    </w:p>
    <w:p w14:paraId="1BD5F5D0" w14:textId="3EB5A9DC" w:rsidR="00FC3B56" w:rsidRPr="009935FB" w:rsidRDefault="00FC3B56" w:rsidP="00FC3B56">
      <w:pPr>
        <w:widowControl w:val="0"/>
        <w:autoSpaceDE w:val="0"/>
        <w:autoSpaceDN w:val="0"/>
        <w:adjustRightInd w:val="0"/>
      </w:pPr>
      <w:r>
        <w:t xml:space="preserve">O </w:t>
      </w:r>
      <w:proofErr w:type="spellStart"/>
      <w:r>
        <w:t>Tesseract</w:t>
      </w:r>
      <w:proofErr w:type="spellEnd"/>
      <w:r>
        <w:t xml:space="preserve"> tinha sido desenvolvido para reconhecer apenas a língua inglesa, mas passaram a suportar outras línguas a partir de 2007.</w:t>
      </w:r>
      <w:r>
        <w:rPr>
          <w:lang w:val="en-US"/>
        </w:rPr>
        <w:fldChar w:fldCharType="begin" w:fldLock="1"/>
      </w:r>
      <w:r>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didn't","type":"article-journal","volume":"8658"},"uris":["http://www.mendeley.com/documents/?uuid=68d5035e-5dc3-4424-8eb3-cfb21052c47e"]}],"mendeley":{"formattedCitation":"(SMITH, Ray W., 2013)","plainTextFormattedCitation":"(SMITH, Ray W., 2013)","previouslyFormattedCitation":"(SMITH, Ray W., 2013)"},"properties":{"noteIndex":0},"schema":"https://github.com/citation-style-language/schema/raw/master/csl-citation.json"}</w:instrText>
      </w:r>
      <w:r>
        <w:rPr>
          <w:lang w:val="en-US"/>
        </w:rPr>
        <w:fldChar w:fldCharType="separate"/>
      </w:r>
      <w:r w:rsidRPr="00FC3B56">
        <w:rPr>
          <w:noProof/>
        </w:rPr>
        <w:t>(SMITH, Ray W., 2013)</w:t>
      </w:r>
      <w:r>
        <w:rPr>
          <w:lang w:val="en-US"/>
        </w:rPr>
        <w:fldChar w:fldCharType="end"/>
      </w:r>
    </w:p>
    <w:p w14:paraId="7A43ECD9" w14:textId="1D53C650" w:rsidR="00FC3B56" w:rsidRDefault="00FC3B56" w:rsidP="00FC3B56">
      <w:pPr>
        <w:widowControl w:val="0"/>
        <w:autoSpaceDE w:val="0"/>
        <w:autoSpaceDN w:val="0"/>
        <w:adjustRightInd w:val="0"/>
        <w:ind w:firstLine="720"/>
      </w:pPr>
      <w:r w:rsidRPr="009935FB">
        <w:t>O Sistema de OCR para uma língua especifica não contri</w:t>
      </w:r>
      <w:r>
        <w:t xml:space="preserve">bui muito para utilizar o OCR em outras línguas do mundo, já que há muitas em uso antes mesmo de incluir variantes históricas. </w:t>
      </w:r>
      <w:r>
        <w:fldChar w:fldCharType="begin" w:fldLock="1"/>
      </w:r>
      <w:r>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didn't","type":"article-journal","volume":"8658"},"uris":["http://www.mendeley.com/documents/?uuid=68d5035e-5dc3-4424-8eb3-cfb21052c47e"]}],"mendeley":{"formattedCitation":"(SMITH, Ray W., 2013)","plainTextFormattedCitation":"(SMITH, Ray W., 2013)","previouslyFormattedCitation":"(SMITH, Ray W., 2013)"},"properties":{"noteIndex":0},"schema":"https://github.com/citation-style-language/schema/raw/master/csl-citation.json"}</w:instrText>
      </w:r>
      <w:r>
        <w:fldChar w:fldCharType="separate"/>
      </w:r>
      <w:r w:rsidRPr="00FC3B56">
        <w:rPr>
          <w:noProof/>
        </w:rPr>
        <w:t>(SMITH, Ray W., 2013)</w:t>
      </w:r>
      <w:r>
        <w:fldChar w:fldCharType="end"/>
      </w:r>
    </w:p>
    <w:p w14:paraId="1AE23B31" w14:textId="57AF85CD" w:rsidR="00FC3B56" w:rsidRDefault="00FC3B56" w:rsidP="00FC3B56">
      <w:pPr>
        <w:widowControl w:val="0"/>
        <w:autoSpaceDE w:val="0"/>
        <w:autoSpaceDN w:val="0"/>
        <w:adjustRightInd w:val="0"/>
        <w:ind w:firstLine="720"/>
      </w:pPr>
      <w:r>
        <w:t xml:space="preserve">O primeiro passo de decisão de um projeto para desenvolver um sistema OCR multilinguístico é a representação interna de </w:t>
      </w:r>
      <w:proofErr w:type="spellStart"/>
      <w:r>
        <w:t>Recognition</w:t>
      </w:r>
      <w:proofErr w:type="spellEnd"/>
      <w:r>
        <w:t xml:space="preserve"> </w:t>
      </w:r>
      <w:proofErr w:type="spellStart"/>
      <w:r>
        <w:t>Units</w:t>
      </w:r>
      <w:proofErr w:type="spellEnd"/>
      <w:r>
        <w:t xml:space="preserve"> (RU</w:t>
      </w:r>
      <w:proofErr w:type="gramStart"/>
      <w:r>
        <w:t>),ou</w:t>
      </w:r>
      <w:proofErr w:type="gramEnd"/>
      <w:r>
        <w:t xml:space="preserve">, unidades de reconhecimentos. O RU é um formato individual que um mecanismo de OCR reconhece, é utilizado para generalização do alfabeto, conjunto de caracteres e grafemas, em que cada um já tem um significado específico. </w:t>
      </w:r>
      <w:r>
        <w:fldChar w:fldCharType="begin" w:fldLock="1"/>
      </w:r>
      <w:r>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didn't","type":"article-journal","volume":"8658"},"uris":["http://www.mendeley.com/documents/?uuid=68d5035e-5dc3-4424-8eb3-cfb21052c47e"]}],"mendeley":{"formattedCitation":"(SMITH, Ray W., 2013)","plainTextFormattedCitation":"(SMITH, Ray W., 2013)","previouslyFormattedCitation":"(SMITH, Ray W., 2013)"},"properties":{"noteIndex":0},"schema":"https://github.com/citation-style-language/schema/raw/master/csl-citation.json"}</w:instrText>
      </w:r>
      <w:r>
        <w:fldChar w:fldCharType="separate"/>
      </w:r>
      <w:r w:rsidRPr="00FC3B56">
        <w:rPr>
          <w:noProof/>
        </w:rPr>
        <w:t>(SMITH, Ray W., 2013)</w:t>
      </w:r>
      <w:r>
        <w:fldChar w:fldCharType="end"/>
      </w:r>
    </w:p>
    <w:p w14:paraId="7405921A" w14:textId="0407C170" w:rsidR="00FC3B56" w:rsidRPr="003F2D26" w:rsidRDefault="00FC3B56" w:rsidP="00FC3B56">
      <w:pPr>
        <w:widowControl w:val="0"/>
        <w:autoSpaceDE w:val="0"/>
        <w:autoSpaceDN w:val="0"/>
        <w:adjustRightInd w:val="0"/>
        <w:ind w:firstLine="720"/>
      </w:pPr>
      <w:r>
        <w:t xml:space="preserve">O </w:t>
      </w:r>
      <w:proofErr w:type="spellStart"/>
      <w:r>
        <w:t>Tesseract</w:t>
      </w:r>
      <w:proofErr w:type="spellEnd"/>
      <w:r>
        <w:t xml:space="preserve"> é regularmente testado em 30 línguas, utilizando um conjunto de testes criado de vários modos, como no caso das línguas baseadas no latim e o russo que utilizaram dados criados a partir da digitalização de livros e camadas de texto de PDF</w:t>
      </w:r>
      <w:r>
        <w:t xml:space="preserve">. </w:t>
      </w:r>
      <w:r>
        <w:fldChar w:fldCharType="begin" w:fldLock="1"/>
      </w:r>
      <w:r>
        <w:instrText>ADDIN CSL_CITATION {"citationItems":[{"id":"ITEM-1","itemData":{"DOI":"10.1117/12.2010051","ISBN":"9780819494313","ISSN":"0277786X","abstract":"This paper describes the development history of the Tesseract OCR engine, and compares the methods to general changes in the field over a similar time period. Emphasis is placed on the lessons learned with the goal of providing a primer for those interested in OCR research.","author":[{"dropping-particle":"","family":"Smith","given":"Ray W.","non-dropping-particle":"","parse-names":false,"suffix":""}],"container-title":"Document Recognition and Retrieval XX","id":"ITEM-1","issue":"February 2013","issued":{"date-parts":[["2013"]]},"page":"865802","title":"History of the Tesseract OCR engine: what worked and what didn't","type":"article-journal","volume":"8658"},"uris":["http://www.mendeley.com/documents/?uuid=68d5035e-5dc3-4424-8eb3-cfb21052c47e"]}],"mendeley":{"formattedCitation":"(SMITH, Ray W., 2013)","plainTextFormattedCitation":"(SMITH, Ray W., 2013)","previouslyFormattedCitation":"(SMITH, Ray W., 2013)"},"properties":{"noteIndex":0},"schema":"https://github.com/citation-style-language/schema/raw/master/csl-citation.json"}</w:instrText>
      </w:r>
      <w:r>
        <w:fldChar w:fldCharType="separate"/>
      </w:r>
      <w:r w:rsidRPr="00FC3B56">
        <w:rPr>
          <w:noProof/>
        </w:rPr>
        <w:t>(SMITH, Ray W., 2013)</w:t>
      </w:r>
      <w:r>
        <w:fldChar w:fldCharType="end"/>
      </w:r>
    </w:p>
    <w:p w14:paraId="507461BA" w14:textId="77777777" w:rsidR="00FC3B56" w:rsidRPr="00FC3B56" w:rsidRDefault="00FC3B56" w:rsidP="00EE1BF5"/>
    <w:p w14:paraId="3908FDCE" w14:textId="28FD9610" w:rsidR="00903610" w:rsidRPr="00FC3B56" w:rsidRDefault="00903610" w:rsidP="00EE1BF5">
      <w:r w:rsidRPr="00FC3B56">
        <w:tab/>
      </w:r>
    </w:p>
    <w:p w14:paraId="03C25353" w14:textId="5103399E" w:rsidR="007A37A3" w:rsidRPr="00FC3B56" w:rsidRDefault="007A37A3" w:rsidP="00EE1BF5"/>
    <w:p w14:paraId="03C65185" w14:textId="77777777" w:rsidR="007A37A3" w:rsidRPr="00FC3B56" w:rsidRDefault="007A37A3" w:rsidP="00EE1BF5"/>
    <w:p w14:paraId="49672AD3" w14:textId="15E2B267" w:rsidR="00EE1BF5" w:rsidRPr="00FC3B56" w:rsidRDefault="00EE1BF5" w:rsidP="00EE1BF5"/>
    <w:p w14:paraId="655712A0" w14:textId="1B0B8BD9" w:rsidR="00FC3B56" w:rsidRPr="00FC3B56" w:rsidRDefault="00EE1BF5" w:rsidP="00FC3B56">
      <w:pPr>
        <w:widowControl w:val="0"/>
        <w:autoSpaceDE w:val="0"/>
        <w:autoSpaceDN w:val="0"/>
        <w:adjustRightInd w:val="0"/>
        <w:spacing w:line="240" w:lineRule="auto"/>
        <w:rPr>
          <w:rFonts w:ascii="Calibri" w:hAnsi="Calibri" w:cs="Calibri"/>
          <w:noProof/>
          <w:lang w:val="en-US"/>
        </w:rPr>
      </w:pPr>
      <w:r>
        <w:fldChar w:fldCharType="begin" w:fldLock="1"/>
      </w:r>
      <w:r w:rsidRPr="00FC3B56">
        <w:instrText xml:space="preserve">ADDIN Mendeley Bibliography CSL_BIBLIOGRAPHY </w:instrText>
      </w:r>
      <w:r>
        <w:fldChar w:fldCharType="separate"/>
      </w:r>
      <w:r w:rsidR="00FC3B56" w:rsidRPr="00FC3B56">
        <w:rPr>
          <w:rFonts w:ascii="Calibri" w:hAnsi="Calibri" w:cs="Calibri"/>
          <w:noProof/>
        </w:rPr>
        <w:t xml:space="preserve">SMITH, Ray. </w:t>
      </w:r>
      <w:r w:rsidR="00FC3B56" w:rsidRPr="00FC3B56">
        <w:rPr>
          <w:rFonts w:ascii="Calibri" w:hAnsi="Calibri" w:cs="Calibri"/>
          <w:noProof/>
          <w:lang w:val="en-US"/>
        </w:rPr>
        <w:t xml:space="preserve">An Overview of the Tesseract OCR Engine. 2., 2007. </w:t>
      </w:r>
      <w:r w:rsidR="00FC3B56" w:rsidRPr="00FC3B56">
        <w:rPr>
          <w:rFonts w:ascii="Calibri" w:hAnsi="Calibri" w:cs="Calibri"/>
          <w:b/>
          <w:bCs/>
          <w:noProof/>
          <w:lang w:val="en-US"/>
        </w:rPr>
        <w:t>Ninth International Conference on Document Analysis and Recognition (ICDAR 2007)</w:t>
      </w:r>
      <w:r w:rsidR="00FC3B56" w:rsidRPr="00FC3B56">
        <w:rPr>
          <w:rFonts w:ascii="Calibri" w:hAnsi="Calibri" w:cs="Calibri"/>
          <w:noProof/>
          <w:lang w:val="en-US"/>
        </w:rPr>
        <w:t xml:space="preserve"> [...]. Curitiba, Brasil: IEEE, 2007. v. 2, p. 629–633. DOI 10.1109/ICDAR.2007.4376991. Available at: https://storage.googleapis.com/pub-tools-public-publication-data/pdf/33418.pdf.</w:t>
      </w:r>
    </w:p>
    <w:p w14:paraId="58726DB3" w14:textId="77777777" w:rsidR="00FC3B56" w:rsidRPr="00FC3B56" w:rsidRDefault="00FC3B56" w:rsidP="00FC3B56">
      <w:pPr>
        <w:widowControl w:val="0"/>
        <w:autoSpaceDE w:val="0"/>
        <w:autoSpaceDN w:val="0"/>
        <w:adjustRightInd w:val="0"/>
        <w:spacing w:line="240" w:lineRule="auto"/>
        <w:rPr>
          <w:rFonts w:ascii="Calibri" w:hAnsi="Calibri" w:cs="Calibri"/>
          <w:noProof/>
        </w:rPr>
      </w:pPr>
      <w:r w:rsidRPr="00FC3B56">
        <w:rPr>
          <w:rFonts w:ascii="Calibri" w:hAnsi="Calibri" w:cs="Calibri"/>
          <w:noProof/>
          <w:lang w:val="en-US"/>
        </w:rPr>
        <w:t xml:space="preserve">SMITH, Ray W. History of the Tesseract OCR engine: what worked and what didn’t. </w:t>
      </w:r>
      <w:r w:rsidRPr="00FC3B56">
        <w:rPr>
          <w:rFonts w:ascii="Calibri" w:hAnsi="Calibri" w:cs="Calibri"/>
          <w:b/>
          <w:bCs/>
          <w:noProof/>
          <w:lang w:val="en-US"/>
        </w:rPr>
        <w:t>Document Recognition and Retrieval XX</w:t>
      </w:r>
      <w:r w:rsidRPr="00FC3B56">
        <w:rPr>
          <w:rFonts w:ascii="Calibri" w:hAnsi="Calibri" w:cs="Calibri"/>
          <w:noProof/>
          <w:lang w:val="en-US"/>
        </w:rPr>
        <w:t>, v. 8658, n. February 2013, p. 865802, 2013. https://doi.org/10.1117/12.2010051.</w:t>
      </w:r>
    </w:p>
    <w:p w14:paraId="112F820E" w14:textId="38E7433F" w:rsidR="00EE1BF5" w:rsidRPr="00EE1BF5" w:rsidRDefault="00EE1BF5" w:rsidP="00FC3B56">
      <w:pPr>
        <w:widowControl w:val="0"/>
        <w:autoSpaceDE w:val="0"/>
        <w:autoSpaceDN w:val="0"/>
        <w:adjustRightInd w:val="0"/>
        <w:spacing w:line="240" w:lineRule="auto"/>
      </w:pPr>
      <w:r>
        <w:fldChar w:fldCharType="end"/>
      </w:r>
    </w:p>
    <w:sectPr w:rsidR="00EE1BF5" w:rsidRPr="00EE1BF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05A"/>
    <w:rsid w:val="002903F8"/>
    <w:rsid w:val="00387290"/>
    <w:rsid w:val="003E79E8"/>
    <w:rsid w:val="00731FB8"/>
    <w:rsid w:val="007A37A3"/>
    <w:rsid w:val="00903610"/>
    <w:rsid w:val="0094344A"/>
    <w:rsid w:val="00A1175F"/>
    <w:rsid w:val="00A9505A"/>
    <w:rsid w:val="00C713E5"/>
    <w:rsid w:val="00C93C15"/>
    <w:rsid w:val="00D623DB"/>
    <w:rsid w:val="00EE1BF5"/>
    <w:rsid w:val="00F24FF2"/>
    <w:rsid w:val="00F87A6F"/>
    <w:rsid w:val="00FC3B56"/>
    <w:rsid w:val="00FD3115"/>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38F66"/>
  <w15:chartTrackingRefBased/>
  <w15:docId w15:val="{27308E43-E076-4A70-B4F3-A7F9D27F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9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9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E79E8"/>
    <w:pPr>
      <w:outlineLvl w:val="9"/>
    </w:pPr>
    <w:rPr>
      <w:lang w:eastAsia="pt-BR"/>
    </w:rPr>
  </w:style>
  <w:style w:type="paragraph" w:styleId="TOC1">
    <w:name w:val="toc 1"/>
    <w:basedOn w:val="Normal"/>
    <w:next w:val="Normal"/>
    <w:autoRedefine/>
    <w:uiPriority w:val="39"/>
    <w:unhideWhenUsed/>
    <w:rsid w:val="003E79E8"/>
    <w:pPr>
      <w:spacing w:after="100"/>
    </w:pPr>
  </w:style>
  <w:style w:type="character" w:styleId="Hyperlink">
    <w:name w:val="Hyperlink"/>
    <w:basedOn w:val="DefaultParagraphFont"/>
    <w:uiPriority w:val="99"/>
    <w:unhideWhenUsed/>
    <w:rsid w:val="003E79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96AFD0-10A2-4352-926F-FCFDDBECD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3</Pages>
  <Words>2737</Words>
  <Characters>15414</Characters>
  <Application>Microsoft Office Word</Application>
  <DocSecurity>0</DocSecurity>
  <Lines>321</Lines>
  <Paragraphs>93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18058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Uezima</dc:creator>
  <cp:keywords/>
  <dc:description/>
  <cp:lastModifiedBy>Yudi Nishimoto</cp:lastModifiedBy>
  <cp:revision>6</cp:revision>
  <dcterms:created xsi:type="dcterms:W3CDTF">2021-04-17T18:03:00Z</dcterms:created>
  <dcterms:modified xsi:type="dcterms:W3CDTF">2021-05-13T18:33:00Z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cd2580f3-a1ca-328a-b632-2f9321f4b07a</vt:lpwstr>
  </property>
  <property fmtid="{D5CDD505-2E9C-101B-9397-08002B2CF9AE}" pid="4" name="Mendeley Citation Style_1">
    <vt:lpwstr>http://www.zotero.org/styles/instituto-brasileiro-de-informacao-em-ciencia-e-tecnologia-abnt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http://www.zotero.org/styles/instituto-brasileiro-de-informacao-em-ciencia-e-tecnologia-abnt-initials</vt:lpwstr>
  </property>
  <property fmtid="{D5CDD505-2E9C-101B-9397-08002B2CF9AE}" pid="18" name="Mendeley Recent Style Name 6_1">
    <vt:lpwstr>Instituto Brasileiro de Informação em Ciência e Tecnologia - ABNT (autoria abreviada)</vt:lpwstr>
  </property>
  <property fmtid="{D5CDD505-2E9C-101B-9397-08002B2CF9AE}" pid="19" name="Mendeley Recent Style Id 7_1">
    <vt:lpwstr>http://www.zotero.org/styles/instituto-brasileiro-de-informacao-em-ciencia-e-tecnologia-abnt</vt:lpwstr>
  </property>
  <property fmtid="{D5CDD505-2E9C-101B-9397-08002B2CF9AE}" pid="20" name="Mendeley Recent Style Name 7_1">
    <vt:lpwstr>Instituto Brasileiro de Informação em Ciência e Tecnologia - ABNT (autoria completa)</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