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0FC57" w14:textId="4F4AB8A1" w:rsidR="002F3B50" w:rsidRPr="00E27E1A" w:rsidRDefault="00000000" w:rsidP="001C42D2">
      <w:pPr>
        <w:pStyle w:val="Ttulo1"/>
        <w:jc w:val="left"/>
      </w:pPr>
      <w:bookmarkStart w:id="0" w:name="_Hlk212014873"/>
      <w:bookmarkStart w:id="1" w:name="X8fdde36a10e6fe3bd746c227eb8bd8c646146eb"/>
      <w:bookmarkStart w:id="2" w:name="content"/>
      <w:r w:rsidRPr="00E27E1A">
        <w:t>Cross-Platform Reproducible Modeling of Breast Cancer Prognosis Using the Core-PAM50 Gene Signature</w:t>
      </w:r>
    </w:p>
    <w:p w14:paraId="5CEC1C6C" w14:textId="49A20467" w:rsidR="00447A39" w:rsidRPr="00E27E1A" w:rsidRDefault="00447A39" w:rsidP="001C42D2">
      <w:pPr>
        <w:pStyle w:val="FirstParagraph"/>
        <w:spacing w:after="0" w:line="480" w:lineRule="auto"/>
        <w:rPr>
          <w:rFonts w:ascii="Times New Roman" w:hAnsi="Times New Roman" w:cs="Times New Roman"/>
          <w:bCs/>
          <w:lang w:val="pt-BR"/>
        </w:rPr>
      </w:pPr>
      <w:r w:rsidRPr="00E27E1A">
        <w:rPr>
          <w:rFonts w:ascii="Times New Roman" w:hAnsi="Times New Roman" w:cs="Times New Roman"/>
          <w:bCs/>
          <w:lang w:val="pt-BR"/>
        </w:rPr>
        <w:t xml:space="preserve">Rafael </w:t>
      </w:r>
      <w:r w:rsidR="00F47061" w:rsidRPr="00E27E1A">
        <w:rPr>
          <w:rFonts w:ascii="Times New Roman" w:hAnsi="Times New Roman" w:cs="Times New Roman"/>
          <w:bCs/>
          <w:lang w:val="pt-BR"/>
        </w:rPr>
        <w:t xml:space="preserve">de Negreiros </w:t>
      </w:r>
      <w:r w:rsidRPr="00E27E1A">
        <w:rPr>
          <w:rFonts w:ascii="Times New Roman" w:hAnsi="Times New Roman" w:cs="Times New Roman"/>
          <w:bCs/>
          <w:lang w:val="pt-BR"/>
        </w:rPr>
        <w:t>Botan</w:t>
      </w:r>
      <w:r w:rsidRPr="00E27E1A">
        <w:rPr>
          <w:rFonts w:ascii="Times New Roman" w:hAnsi="Times New Roman" w:cs="Times New Roman"/>
          <w:bCs/>
          <w:vertAlign w:val="superscript"/>
          <w:lang w:val="pt-BR"/>
        </w:rPr>
        <w:t>1</w:t>
      </w:r>
      <w:r w:rsidRPr="00E27E1A">
        <w:rPr>
          <w:rFonts w:ascii="Times New Roman" w:hAnsi="Times New Roman" w:cs="Times New Roman"/>
          <w:bCs/>
          <w:lang w:val="pt-BR"/>
        </w:rPr>
        <w:t>*, Jo</w:t>
      </w:r>
      <w:r w:rsidR="00912565" w:rsidRPr="00E27E1A">
        <w:rPr>
          <w:rFonts w:ascii="Times New Roman" w:hAnsi="Times New Roman" w:cs="Times New Roman"/>
          <w:bCs/>
          <w:lang w:val="pt-BR"/>
        </w:rPr>
        <w:t>a</w:t>
      </w:r>
      <w:r w:rsidRPr="00E27E1A">
        <w:rPr>
          <w:rFonts w:ascii="Times New Roman" w:hAnsi="Times New Roman" w:cs="Times New Roman"/>
          <w:bCs/>
          <w:lang w:val="pt-BR"/>
        </w:rPr>
        <w:t xml:space="preserve">o </w:t>
      </w:r>
      <w:r w:rsidR="00F47061" w:rsidRPr="00E27E1A">
        <w:rPr>
          <w:rFonts w:ascii="Times New Roman" w:hAnsi="Times New Roman" w:cs="Times New Roman"/>
          <w:bCs/>
          <w:lang w:val="pt-BR"/>
        </w:rPr>
        <w:t xml:space="preserve">Batista de </w:t>
      </w:r>
      <w:r w:rsidRPr="00E27E1A">
        <w:rPr>
          <w:rFonts w:ascii="Times New Roman" w:hAnsi="Times New Roman" w:cs="Times New Roman"/>
          <w:bCs/>
          <w:lang w:val="pt-BR"/>
        </w:rPr>
        <w:t>Sousa</w:t>
      </w:r>
      <w:r w:rsidRPr="00E27E1A">
        <w:rPr>
          <w:rFonts w:ascii="Times New Roman" w:hAnsi="Times New Roman" w:cs="Times New Roman"/>
          <w:bCs/>
          <w:vertAlign w:val="superscript"/>
          <w:lang w:val="pt-BR"/>
        </w:rPr>
        <w:t>2</w:t>
      </w:r>
    </w:p>
    <w:p w14:paraId="643EE5EF" w14:textId="6D2D83B2" w:rsidR="00447A39" w:rsidRPr="00E27E1A" w:rsidRDefault="00447A39" w:rsidP="001C42D2">
      <w:pPr>
        <w:pStyle w:val="FirstParagraph"/>
        <w:spacing w:before="0" w:after="0" w:line="480" w:lineRule="auto"/>
        <w:rPr>
          <w:rFonts w:ascii="Times New Roman" w:hAnsi="Times New Roman" w:cs="Times New Roman"/>
          <w:bCs/>
          <w:lang w:val="pt-BR"/>
        </w:rPr>
      </w:pPr>
      <w:r w:rsidRPr="00E27E1A">
        <w:rPr>
          <w:rFonts w:ascii="Times New Roman" w:hAnsi="Times New Roman" w:cs="Times New Roman"/>
          <w:bCs/>
          <w:vertAlign w:val="superscript"/>
          <w:lang w:val="pt-BR"/>
        </w:rPr>
        <w:t>1</w:t>
      </w:r>
      <w:bookmarkStart w:id="3" w:name="_Hlk212061598"/>
      <w:r w:rsidR="00E27E1A" w:rsidRPr="00E27E1A">
        <w:rPr>
          <w:rFonts w:ascii="Times New Roman" w:hAnsi="Times New Roman" w:cs="Times New Roman"/>
          <w:bCs/>
          <w:lang w:val="pt-BR"/>
        </w:rPr>
        <w:t xml:space="preserve"> </w:t>
      </w:r>
      <w:proofErr w:type="spellStart"/>
      <w:r w:rsidRPr="00E27E1A">
        <w:rPr>
          <w:rFonts w:ascii="Times New Roman" w:hAnsi="Times New Roman" w:cs="Times New Roman"/>
          <w:bCs/>
          <w:lang w:val="pt-BR"/>
        </w:rPr>
        <w:t>Department</w:t>
      </w:r>
      <w:proofErr w:type="spellEnd"/>
      <w:r w:rsidRPr="00E27E1A">
        <w:rPr>
          <w:rFonts w:ascii="Times New Roman" w:hAnsi="Times New Roman" w:cs="Times New Roman"/>
          <w:bCs/>
          <w:lang w:val="pt-BR"/>
        </w:rPr>
        <w:t xml:space="preserve"> </w:t>
      </w:r>
      <w:proofErr w:type="spellStart"/>
      <w:r w:rsidRPr="00E27E1A">
        <w:rPr>
          <w:rFonts w:ascii="Times New Roman" w:hAnsi="Times New Roman" w:cs="Times New Roman"/>
          <w:bCs/>
          <w:lang w:val="pt-BR"/>
        </w:rPr>
        <w:t>of</w:t>
      </w:r>
      <w:proofErr w:type="spellEnd"/>
      <w:r w:rsidRPr="00E27E1A">
        <w:rPr>
          <w:rFonts w:ascii="Times New Roman" w:hAnsi="Times New Roman" w:cs="Times New Roman"/>
          <w:bCs/>
          <w:lang w:val="pt-BR"/>
        </w:rPr>
        <w:t xml:space="preserve"> </w:t>
      </w:r>
      <w:proofErr w:type="spellStart"/>
      <w:r w:rsidRPr="00E27E1A">
        <w:rPr>
          <w:rFonts w:ascii="Times New Roman" w:hAnsi="Times New Roman" w:cs="Times New Roman"/>
          <w:bCs/>
          <w:lang w:val="pt-BR"/>
        </w:rPr>
        <w:t>Oncology</w:t>
      </w:r>
      <w:proofErr w:type="spellEnd"/>
      <w:r w:rsidRPr="00E27E1A">
        <w:rPr>
          <w:rFonts w:ascii="Times New Roman" w:hAnsi="Times New Roman" w:cs="Times New Roman"/>
          <w:bCs/>
          <w:lang w:val="pt-BR"/>
        </w:rPr>
        <w:t xml:space="preserve">, Universidade de </w:t>
      </w:r>
      <w:proofErr w:type="spellStart"/>
      <w:r w:rsidRPr="00E27E1A">
        <w:rPr>
          <w:rFonts w:ascii="Times New Roman" w:hAnsi="Times New Roman" w:cs="Times New Roman"/>
          <w:bCs/>
          <w:lang w:val="pt-BR"/>
        </w:rPr>
        <w:t>Brasilia</w:t>
      </w:r>
      <w:proofErr w:type="spellEnd"/>
      <w:r w:rsidRPr="00E27E1A">
        <w:rPr>
          <w:rFonts w:ascii="Times New Roman" w:hAnsi="Times New Roman" w:cs="Times New Roman"/>
          <w:bCs/>
          <w:lang w:val="pt-BR"/>
        </w:rPr>
        <w:t xml:space="preserve"> – </w:t>
      </w:r>
      <w:proofErr w:type="spellStart"/>
      <w:r w:rsidRPr="00E27E1A">
        <w:rPr>
          <w:rFonts w:ascii="Times New Roman" w:hAnsi="Times New Roman" w:cs="Times New Roman"/>
          <w:bCs/>
          <w:lang w:val="pt-BR"/>
        </w:rPr>
        <w:t>Brasilia</w:t>
      </w:r>
      <w:proofErr w:type="spellEnd"/>
      <w:r w:rsidRPr="00E27E1A">
        <w:rPr>
          <w:rFonts w:ascii="Times New Roman" w:hAnsi="Times New Roman" w:cs="Times New Roman"/>
          <w:bCs/>
          <w:lang w:val="pt-BR"/>
        </w:rPr>
        <w:t xml:space="preserve">, </w:t>
      </w:r>
      <w:proofErr w:type="spellStart"/>
      <w:r w:rsidRPr="00E27E1A">
        <w:rPr>
          <w:rFonts w:ascii="Times New Roman" w:hAnsi="Times New Roman" w:cs="Times New Roman"/>
          <w:bCs/>
          <w:lang w:val="pt-BR"/>
        </w:rPr>
        <w:t>Brazil</w:t>
      </w:r>
      <w:bookmarkEnd w:id="3"/>
      <w:proofErr w:type="spellEnd"/>
      <w:r w:rsidRPr="00E27E1A">
        <w:rPr>
          <w:rFonts w:ascii="Times New Roman" w:hAnsi="Times New Roman" w:cs="Times New Roman"/>
          <w:bCs/>
          <w:lang w:val="pt-BR"/>
        </w:rPr>
        <w:br/>
      </w:r>
      <w:r w:rsidRPr="00E27E1A">
        <w:rPr>
          <w:rFonts w:ascii="Times New Roman" w:hAnsi="Times New Roman" w:cs="Times New Roman"/>
          <w:bCs/>
          <w:vertAlign w:val="superscript"/>
          <w:lang w:val="pt-BR"/>
        </w:rPr>
        <w:t>2</w:t>
      </w:r>
      <w:r w:rsidRPr="00E27E1A">
        <w:rPr>
          <w:rFonts w:ascii="Times New Roman" w:hAnsi="Times New Roman" w:cs="Times New Roman"/>
          <w:bCs/>
          <w:lang w:val="pt-BR"/>
        </w:rPr>
        <w:t xml:space="preserve"> </w:t>
      </w:r>
      <w:proofErr w:type="spellStart"/>
      <w:r w:rsidRPr="00E27E1A">
        <w:rPr>
          <w:rFonts w:ascii="Times New Roman" w:hAnsi="Times New Roman" w:cs="Times New Roman"/>
          <w:bCs/>
          <w:lang w:val="pt-BR"/>
        </w:rPr>
        <w:t>Department</w:t>
      </w:r>
      <w:proofErr w:type="spellEnd"/>
      <w:r w:rsidRPr="00E27E1A">
        <w:rPr>
          <w:rFonts w:ascii="Times New Roman" w:hAnsi="Times New Roman" w:cs="Times New Roman"/>
          <w:bCs/>
          <w:lang w:val="pt-BR"/>
        </w:rPr>
        <w:t xml:space="preserve"> </w:t>
      </w:r>
      <w:proofErr w:type="spellStart"/>
      <w:r w:rsidRPr="00E27E1A">
        <w:rPr>
          <w:rFonts w:ascii="Times New Roman" w:hAnsi="Times New Roman" w:cs="Times New Roman"/>
          <w:bCs/>
          <w:lang w:val="pt-BR"/>
        </w:rPr>
        <w:t>of</w:t>
      </w:r>
      <w:proofErr w:type="spellEnd"/>
      <w:r w:rsidRPr="00E27E1A">
        <w:rPr>
          <w:rFonts w:ascii="Times New Roman" w:hAnsi="Times New Roman" w:cs="Times New Roman"/>
          <w:bCs/>
          <w:lang w:val="pt-BR"/>
        </w:rPr>
        <w:t xml:space="preserve"> </w:t>
      </w:r>
      <w:proofErr w:type="spellStart"/>
      <w:r w:rsidR="000D3EB2" w:rsidRPr="00E27E1A">
        <w:rPr>
          <w:rFonts w:ascii="Times New Roman" w:hAnsi="Times New Roman" w:cs="Times New Roman"/>
          <w:bCs/>
          <w:lang w:val="pt-BR"/>
        </w:rPr>
        <w:t>Proctology</w:t>
      </w:r>
      <w:proofErr w:type="spellEnd"/>
      <w:r w:rsidRPr="00E27E1A">
        <w:rPr>
          <w:rFonts w:ascii="Times New Roman" w:hAnsi="Times New Roman" w:cs="Times New Roman"/>
          <w:bCs/>
          <w:lang w:val="pt-BR"/>
        </w:rPr>
        <w:t xml:space="preserve">, Universidade de </w:t>
      </w:r>
      <w:proofErr w:type="spellStart"/>
      <w:r w:rsidRPr="00E27E1A">
        <w:rPr>
          <w:rFonts w:ascii="Times New Roman" w:hAnsi="Times New Roman" w:cs="Times New Roman"/>
          <w:bCs/>
          <w:lang w:val="pt-BR"/>
        </w:rPr>
        <w:t>Brasilia</w:t>
      </w:r>
      <w:proofErr w:type="spellEnd"/>
      <w:r w:rsidRPr="00E27E1A">
        <w:rPr>
          <w:rFonts w:ascii="Times New Roman" w:hAnsi="Times New Roman" w:cs="Times New Roman"/>
          <w:bCs/>
          <w:lang w:val="pt-BR"/>
        </w:rPr>
        <w:t xml:space="preserve"> – </w:t>
      </w:r>
      <w:proofErr w:type="spellStart"/>
      <w:r w:rsidRPr="00E27E1A">
        <w:rPr>
          <w:rFonts w:ascii="Times New Roman" w:hAnsi="Times New Roman" w:cs="Times New Roman"/>
          <w:bCs/>
          <w:lang w:val="pt-BR"/>
        </w:rPr>
        <w:t>Brasilia</w:t>
      </w:r>
      <w:proofErr w:type="spellEnd"/>
      <w:r w:rsidRPr="00E27E1A">
        <w:rPr>
          <w:rFonts w:ascii="Times New Roman" w:hAnsi="Times New Roman" w:cs="Times New Roman"/>
          <w:bCs/>
          <w:lang w:val="pt-BR"/>
        </w:rPr>
        <w:t xml:space="preserve">, </w:t>
      </w:r>
      <w:proofErr w:type="spellStart"/>
      <w:r w:rsidRPr="00E27E1A">
        <w:rPr>
          <w:rFonts w:ascii="Times New Roman" w:hAnsi="Times New Roman" w:cs="Times New Roman"/>
          <w:bCs/>
          <w:lang w:val="pt-BR"/>
        </w:rPr>
        <w:t>Brazil</w:t>
      </w:r>
      <w:proofErr w:type="spellEnd"/>
      <w:r w:rsidRPr="00E27E1A">
        <w:rPr>
          <w:rFonts w:ascii="Times New Roman" w:hAnsi="Times New Roman" w:cs="Times New Roman"/>
          <w:bCs/>
          <w:lang w:val="pt-BR"/>
        </w:rPr>
        <w:t xml:space="preserve"> </w:t>
      </w:r>
    </w:p>
    <w:p w14:paraId="5FE667A2" w14:textId="391B79A0" w:rsidR="00C37215" w:rsidRPr="00E27E1A" w:rsidRDefault="00447A39" w:rsidP="001C42D2">
      <w:pPr>
        <w:pStyle w:val="FirstParagraph"/>
        <w:spacing w:before="0" w:after="0" w:line="480" w:lineRule="auto"/>
        <w:rPr>
          <w:rFonts w:ascii="Times New Roman" w:hAnsi="Times New Roman" w:cs="Times New Roman"/>
          <w:bCs/>
        </w:rPr>
      </w:pPr>
      <w:r w:rsidRPr="00E27E1A">
        <w:rPr>
          <w:rFonts w:ascii="Times New Roman" w:hAnsi="Times New Roman" w:cs="Times New Roman"/>
          <w:bCs/>
          <w:lang w:val="pt-BR"/>
        </w:rPr>
        <w:t>*</w:t>
      </w:r>
      <w:proofErr w:type="spellStart"/>
      <w:r w:rsidRPr="00E27E1A">
        <w:rPr>
          <w:rFonts w:ascii="Times New Roman" w:hAnsi="Times New Roman" w:cs="Times New Roman"/>
          <w:bCs/>
          <w:lang w:val="pt-BR"/>
        </w:rPr>
        <w:t>Corresponding</w:t>
      </w:r>
      <w:proofErr w:type="spellEnd"/>
      <w:r w:rsidRPr="00E27E1A">
        <w:rPr>
          <w:rFonts w:ascii="Times New Roman" w:hAnsi="Times New Roman" w:cs="Times New Roman"/>
          <w:bCs/>
          <w:lang w:val="pt-BR"/>
        </w:rPr>
        <w:t xml:space="preserve"> </w:t>
      </w:r>
      <w:proofErr w:type="spellStart"/>
      <w:r w:rsidRPr="00E27E1A">
        <w:rPr>
          <w:rFonts w:ascii="Times New Roman" w:hAnsi="Times New Roman" w:cs="Times New Roman"/>
          <w:bCs/>
          <w:lang w:val="pt-BR"/>
        </w:rPr>
        <w:t>author</w:t>
      </w:r>
      <w:proofErr w:type="spellEnd"/>
      <w:r w:rsidRPr="00E27E1A">
        <w:rPr>
          <w:rFonts w:ascii="Times New Roman" w:hAnsi="Times New Roman" w:cs="Times New Roman"/>
          <w:bCs/>
          <w:lang w:val="pt-BR"/>
        </w:rPr>
        <w:t xml:space="preserve">: Rafael de Negreiros Botan – </w:t>
      </w:r>
      <w:hyperlink r:id="rId8" w:history="1">
        <w:r w:rsidR="00425473" w:rsidRPr="00E27E1A">
          <w:rPr>
            <w:rStyle w:val="Hyperlink"/>
            <w:rFonts w:ascii="Times New Roman" w:hAnsi="Times New Roman" w:cs="Times New Roman"/>
            <w:bCs/>
            <w:lang w:val="pt-BR"/>
          </w:rPr>
          <w:t>oncologista@gmail.com</w:t>
        </w:r>
      </w:hyperlink>
      <w:bookmarkStart w:id="4" w:name="keywords"/>
    </w:p>
    <w:p w14:paraId="6AFECF1E" w14:textId="7995D08C" w:rsidR="00E27E1A" w:rsidRPr="00E27E1A" w:rsidRDefault="00E27E1A" w:rsidP="001C42D2">
      <w:pPr>
        <w:rPr>
          <w:bCs/>
        </w:rPr>
      </w:pPr>
      <w:r w:rsidRPr="00E27E1A">
        <w:rPr>
          <w:bCs/>
        </w:rPr>
        <w:br w:type="page"/>
      </w:r>
    </w:p>
    <w:p w14:paraId="797E257B" w14:textId="77777777" w:rsidR="00447A39" w:rsidRPr="00E27E1A" w:rsidRDefault="00447A39" w:rsidP="001C42D2">
      <w:pPr>
        <w:pStyle w:val="Ttulo1"/>
        <w:jc w:val="left"/>
      </w:pPr>
      <w:bookmarkStart w:id="5" w:name="header"/>
      <w:bookmarkStart w:id="6" w:name="introduction"/>
      <w:bookmarkEnd w:id="4"/>
      <w:bookmarkEnd w:id="5"/>
      <w:r w:rsidRPr="00E27E1A">
        <w:lastRenderedPageBreak/>
        <w:t>Abstract</w:t>
      </w:r>
    </w:p>
    <w:p w14:paraId="3E9D8C8E" w14:textId="77777777" w:rsidR="00447A39" w:rsidRPr="00E27E1A" w:rsidRDefault="00447A39" w:rsidP="001C42D2">
      <w:pPr>
        <w:spacing w:line="480" w:lineRule="auto"/>
        <w:rPr>
          <w:rFonts w:ascii="Times New Roman" w:hAnsi="Times New Roman" w:cs="Times New Roman"/>
          <w:bCs/>
        </w:rPr>
      </w:pPr>
      <w:r w:rsidRPr="001C42D2">
        <w:rPr>
          <w:rStyle w:val="SubttuloChar"/>
        </w:rPr>
        <w:t>Background</w:t>
      </w:r>
      <w:r w:rsidRPr="00E27E1A">
        <w:rPr>
          <w:rFonts w:ascii="Times New Roman" w:hAnsi="Times New Roman" w:cs="Times New Roman"/>
          <w:bCs/>
        </w:rPr>
        <w:br/>
        <w:t>PAM50 is a widely adopted multigene signature for breast‐cancer subtyping and prognosis, but cross-platform variability and incomplete gene coverage limit its portability. We developed a streamlined, platform-agnostic core-PAM50 panel (40 genes) and a fully documented pipeline to deliver reproducible prognostic modeling across major public cohorts.</w:t>
      </w:r>
    </w:p>
    <w:p w14:paraId="3D260B36" w14:textId="77777777" w:rsidR="00447A39" w:rsidRPr="00E27E1A" w:rsidRDefault="00447A39" w:rsidP="001C42D2">
      <w:pPr>
        <w:spacing w:line="480" w:lineRule="auto"/>
        <w:rPr>
          <w:rFonts w:ascii="Times New Roman" w:hAnsi="Times New Roman" w:cs="Times New Roman"/>
          <w:bCs/>
        </w:rPr>
      </w:pPr>
      <w:r w:rsidRPr="001C42D2">
        <w:rPr>
          <w:rStyle w:val="SubttuloChar"/>
        </w:rPr>
        <w:t>Methods</w:t>
      </w:r>
      <w:r w:rsidRPr="00E27E1A">
        <w:rPr>
          <w:rFonts w:ascii="Times New Roman" w:hAnsi="Times New Roman" w:cs="Times New Roman"/>
          <w:bCs/>
        </w:rPr>
        <w:br/>
        <w:t>Transcriptomes and clinical data from METABRIC (microarray, n=2,173), TCGA-BRCA (RNA-seq, n=1,098), and GSE25066 (microarray, neoadjuvant chemotherapy, n=508) were harmonized using HGNC symbol mapping and intra-cohort gene-wise z-scaling. Models were trained in METABRIC with LASSO-penalized Cox regression and explored with Random Survival Forests; the fixed METABRIC coefficients were applied without recalibration to TCGA and GSE25066. Performance was assessed by C-index, time-dependent AUC, calibration at 5 years, decision-curve analysis (DCA), and meta-analysis of hazard ratios (HR). Intrinsic subtypes were assigned by nearest-centroid correlation restricted to the 40 genes, and cross-cohort subtype centroids were compared by Pearson r.</w:t>
      </w:r>
    </w:p>
    <w:p w14:paraId="7788F878" w14:textId="77777777" w:rsidR="00447A39" w:rsidRPr="00E27E1A" w:rsidRDefault="00447A39" w:rsidP="001C42D2">
      <w:pPr>
        <w:spacing w:line="480" w:lineRule="auto"/>
        <w:rPr>
          <w:rFonts w:ascii="Times New Roman" w:hAnsi="Times New Roman" w:cs="Times New Roman"/>
          <w:bCs/>
        </w:rPr>
      </w:pPr>
      <w:r w:rsidRPr="001C42D2">
        <w:rPr>
          <w:rStyle w:val="SubttuloChar"/>
        </w:rPr>
        <w:t>Results</w:t>
      </w:r>
      <w:r w:rsidRPr="00E27E1A">
        <w:rPr>
          <w:rFonts w:ascii="Times New Roman" w:hAnsi="Times New Roman" w:cs="Times New Roman"/>
          <w:bCs/>
        </w:rPr>
        <w:br/>
        <w:t xml:space="preserve">The LASSO model retained 20/40 genes capturing a luminal–proliferative axis; internal discrimination in METABRIC was C-index 0.584. External discrimination was AUC₆₀ ≈ 0.60–0.63 in GSE25066 and attenuated in TCGA (C-index ≈ 0.42), consistent with short follow-up and low event rates. Using Low vs High risk orientation, HRs were 0.50 (METABRIC OS; ~0.40–0.67), 0.89 (TCGA OS; 0.67–1.19), and 0.50 (GSE25066 DRFS; 0.35–0.73). The random-effects </w:t>
      </w:r>
      <w:r w:rsidRPr="00E27E1A">
        <w:rPr>
          <w:rFonts w:ascii="Times New Roman" w:hAnsi="Times New Roman" w:cs="Times New Roman"/>
          <w:bCs/>
        </w:rPr>
        <w:lastRenderedPageBreak/>
        <w:t>pooled estimate across validation cohorts was HR 0.68 (0.39–1.20), indicating a consistent protective direction for the low-risk group. Calibration was excellent in METABRIC and good in GSE25066; DCA showed positive net benefit in clinically relevant threshold ranges in both. Subtype centroids were highly concordant across platforms (r &gt; 0.8, often ≈0.9), and PCA reproduced expected basal–luminal separation.</w:t>
      </w:r>
    </w:p>
    <w:p w14:paraId="5CB11C56" w14:textId="77777777" w:rsidR="00447A39" w:rsidRPr="00E27E1A" w:rsidRDefault="00447A39" w:rsidP="001C42D2">
      <w:pPr>
        <w:spacing w:line="480" w:lineRule="auto"/>
        <w:rPr>
          <w:rFonts w:ascii="Times New Roman" w:hAnsi="Times New Roman" w:cs="Times New Roman"/>
          <w:bCs/>
        </w:rPr>
      </w:pPr>
      <w:r w:rsidRPr="001C42D2">
        <w:rPr>
          <w:rStyle w:val="SubttuloChar"/>
        </w:rPr>
        <w:t>Conclusions</w:t>
      </w:r>
      <w:r w:rsidRPr="00E27E1A">
        <w:rPr>
          <w:rFonts w:ascii="Times New Roman" w:hAnsi="Times New Roman" w:cs="Times New Roman"/>
          <w:bCs/>
        </w:rPr>
        <w:br/>
        <w:t>The core-PAM50 condenses PAM50 to 40 cross-platform genes while preserving intrinsic-subtype biology and yielding a portable, reproducible prognostic score validated across microarray and RNA-seq cohorts. Its transparency and parsimony provide a practical path toward cost-effective assays (qPCR/targeted RNA-seq) and facilitate meta-analytic reuse. Prospective studies and integration with clinical or immune features may further enhance clinical utility.</w:t>
      </w:r>
    </w:p>
    <w:p w14:paraId="3331E47B" w14:textId="3DDFBE32" w:rsidR="004E1C64" w:rsidRPr="00E27E1A" w:rsidRDefault="004E1C64" w:rsidP="001C42D2">
      <w:pPr>
        <w:pStyle w:val="Subttulo"/>
      </w:pPr>
      <w:r w:rsidRPr="001C42D2">
        <w:t>Trial registration</w:t>
      </w:r>
      <w:r w:rsidRPr="00E27E1A">
        <w:t>: Not applicable.</w:t>
      </w:r>
    </w:p>
    <w:p w14:paraId="70479975" w14:textId="77777777" w:rsidR="001809A5" w:rsidRPr="001C42D2" w:rsidRDefault="001809A5" w:rsidP="001C42D2">
      <w:pPr>
        <w:pStyle w:val="Subttulo"/>
      </w:pPr>
      <w:r w:rsidRPr="001C42D2">
        <w:t>Keywords</w:t>
      </w:r>
    </w:p>
    <w:p w14:paraId="05D71698" w14:textId="77777777" w:rsidR="001809A5" w:rsidRPr="00E27E1A" w:rsidRDefault="001809A5" w:rsidP="001C42D2">
      <w:pPr>
        <w:pStyle w:val="FirstParagraph"/>
        <w:spacing w:before="0" w:after="0" w:line="480" w:lineRule="auto"/>
        <w:rPr>
          <w:rFonts w:ascii="Times New Roman" w:hAnsi="Times New Roman" w:cs="Times New Roman"/>
          <w:bCs/>
        </w:rPr>
      </w:pPr>
      <w:r w:rsidRPr="00E27E1A">
        <w:rPr>
          <w:rFonts w:ascii="Times New Roman" w:hAnsi="Times New Roman" w:cs="Times New Roman"/>
          <w:bCs/>
        </w:rPr>
        <w:t xml:space="preserve">Breast cancer; Gene expression signature; Intrinsic subtypes; Prognostic model; </w:t>
      </w:r>
      <w:proofErr w:type="gramStart"/>
      <w:r w:rsidRPr="00E27E1A">
        <w:rPr>
          <w:rFonts w:ascii="Times New Roman" w:hAnsi="Times New Roman" w:cs="Times New Roman"/>
          <w:bCs/>
        </w:rPr>
        <w:t>Multi-cohort</w:t>
      </w:r>
      <w:proofErr w:type="gramEnd"/>
      <w:r w:rsidRPr="00E27E1A">
        <w:rPr>
          <w:rFonts w:ascii="Times New Roman" w:hAnsi="Times New Roman" w:cs="Times New Roman"/>
          <w:bCs/>
        </w:rPr>
        <w:t xml:space="preserve"> study; Reproducibility</w:t>
      </w:r>
    </w:p>
    <w:p w14:paraId="621D6BF7" w14:textId="28620567" w:rsidR="004463A2" w:rsidRPr="00E27E1A" w:rsidRDefault="004463A2" w:rsidP="001C42D2">
      <w:pPr>
        <w:pStyle w:val="Ttulo1"/>
        <w:jc w:val="left"/>
      </w:pPr>
      <w:r w:rsidRPr="00E27E1A">
        <w:t>Background</w:t>
      </w:r>
    </w:p>
    <w:bookmarkEnd w:id="0"/>
    <w:p w14:paraId="5046543F" w14:textId="77777777" w:rsidR="002F3B50" w:rsidRPr="00E27E1A" w:rsidRDefault="00000000" w:rsidP="001C42D2">
      <w:pPr>
        <w:pStyle w:val="FirstParagraph"/>
        <w:spacing w:before="0" w:after="0" w:line="480" w:lineRule="auto"/>
        <w:rPr>
          <w:rFonts w:ascii="Times New Roman" w:hAnsi="Times New Roman" w:cs="Times New Roman"/>
          <w:bCs/>
        </w:rPr>
      </w:pPr>
      <w:r w:rsidRPr="00E27E1A">
        <w:rPr>
          <w:rFonts w:ascii="Times New Roman" w:hAnsi="Times New Roman" w:cs="Times New Roman"/>
          <w:bCs/>
        </w:rPr>
        <w:t xml:space="preserve">Breast cancer is the most common malignancy in women and a leading cause of cancer mortality worldwide [1]. Despite advances in diagnosis and therapy, the biological heterogeneity of breast tumors remains a central challenge for prognosis prediction and treatment selection [2,3]. This heterogeneity arises from multiple molecular pathways of tumor progression – spanning proliferative, hormonal, and immune-inflammatory axes – which are not fully captured by </w:t>
      </w:r>
      <w:r w:rsidRPr="00E27E1A">
        <w:rPr>
          <w:rFonts w:ascii="Times New Roman" w:hAnsi="Times New Roman" w:cs="Times New Roman"/>
          <w:bCs/>
        </w:rPr>
        <w:lastRenderedPageBreak/>
        <w:t>traditional clinicopathological markers [4]. In this context, multigene expression signatures have emerged as precision tools to stratify recurrence risk and guide therapy. Among these, the PAM50 (Prediction Analysis of Microarray 50) gene signature has become one of the most widely validated, classifying breast tumors into five intrinsic molecular subtypes (Luminal A, Luminal B, HER2-enriched, Basal-like, and Normal-like) with well-recognized prognostic and therapeutic implications [5,6]. Subsequent studies have confirmed that the PAM50 signature captures reproducible transcriptional gradients correlated with clinical outcomes across diverse populations and experimental platforms [7–9].</w:t>
      </w:r>
    </w:p>
    <w:p w14:paraId="351AD46C" w14:textId="4DAADFAC"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The rise of large-scale genomic cohorts has further enabled multidimensional characterization of breast cancer. The Molecular Taxonomy of Breast Cancer International Consortium (METABRIC) profiled over 2,000 primary tumors with integrated clinical, transcriptomic (microarray), and genomic data, inaugurating a new era of molecular stratification [10]. In parallel, The Cancer Genome Atlas Breast Cancer project (TCGA-BRCA) applied deep RNA sequencing (RNA-seq) to over 1,000 breast tumors, providing a multi-</w:t>
      </w:r>
      <w:proofErr w:type="spellStart"/>
      <w:r w:rsidRPr="00E27E1A">
        <w:rPr>
          <w:rFonts w:ascii="Times New Roman" w:hAnsi="Times New Roman" w:cs="Times New Roman"/>
          <w:bCs/>
        </w:rPr>
        <w:t>omic</w:t>
      </w:r>
      <w:proofErr w:type="spellEnd"/>
      <w:r w:rsidRPr="00E27E1A">
        <w:rPr>
          <w:rFonts w:ascii="Times New Roman" w:hAnsi="Times New Roman" w:cs="Times New Roman"/>
          <w:bCs/>
        </w:rPr>
        <w:t xml:space="preserve"> portrait and validating biological patterns observed in METABRIC [11]. </w:t>
      </w:r>
      <w:r w:rsidR="007E0806" w:rsidRPr="00E27E1A">
        <w:rPr>
          <w:rFonts w:ascii="Times New Roman" w:hAnsi="Times New Roman" w:cs="Times New Roman"/>
          <w:bCs/>
        </w:rPr>
        <w:t>A</w:t>
      </w:r>
      <w:r w:rsidRPr="00E27E1A">
        <w:rPr>
          <w:rFonts w:ascii="Times New Roman" w:hAnsi="Times New Roman" w:cs="Times New Roman"/>
          <w:bCs/>
        </w:rPr>
        <w:t xml:space="preserve"> public cohort, GSE25066 (Affymetrix U133A microarrays from 508 patients treated with neoadjuvant chemotherapy), ha</w:t>
      </w:r>
      <w:r w:rsidR="00804D0B" w:rsidRPr="00E27E1A">
        <w:rPr>
          <w:rFonts w:ascii="Times New Roman" w:hAnsi="Times New Roman" w:cs="Times New Roman"/>
          <w:bCs/>
        </w:rPr>
        <w:t>s</w:t>
      </w:r>
      <w:r w:rsidRPr="00E27E1A">
        <w:rPr>
          <w:rFonts w:ascii="Times New Roman" w:hAnsi="Times New Roman" w:cs="Times New Roman"/>
          <w:bCs/>
        </w:rPr>
        <w:t xml:space="preserve"> been widely used for validation and translational studies [12–14]. These datasets cover different clinical scenarios – from early-stage, systemically untreated tumors to high-risk neoadjuvant trial specimens – and serve as reference points for developing and testing molecular models. However, technological variability (microarray vs. RNA-seq), lack of uniform gene annotation, and expression scale discrepancies pose major barriers to direct data integration [15].</w:t>
      </w:r>
    </w:p>
    <w:p w14:paraId="6153FD69"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Despite its broad adoption, the canonical 50-gene PAM50 panel has practical limitations: some of the original genes are not reliably detected on all platforms, and issues like gene alias discrepancies, normalization differences, and batch effects can diminish inter-cohort </w:t>
      </w:r>
      <w:r w:rsidRPr="00E27E1A">
        <w:rPr>
          <w:rFonts w:ascii="Times New Roman" w:hAnsi="Times New Roman" w:cs="Times New Roman"/>
          <w:bCs/>
        </w:rPr>
        <w:lastRenderedPageBreak/>
        <w:t xml:space="preserve">reproducibility [16]. Moreover, implementing large multigene panels in clinical practice is costly and requires specialized laboratory infrastructure, limiting their universal adoption. Controlled dimensionality reduction – i.e. selecting a stable, informative subset of genes – has been proposed as a strategy to improve portability without significant loss of prognostic accuracy [17,18]. In this context, we developed the core-PAM50, a streamlined 40-gene subset of the PAM50 signature designed for cross-platform stability. This reduced panel includes only genes detectably expressed in all major datasets and preserves the essential “proliferative” and “hormonal” axes of the original signature. Using a unified bioinformatics pipeline, we harmonized multiple cohorts under a common nomenclature (HUGO gene symbols) and performed intra-cohort </w:t>
      </w:r>
      <w:r w:rsidRPr="00E27E1A">
        <w:rPr>
          <w:rFonts w:ascii="Times New Roman" w:hAnsi="Times New Roman" w:cs="Times New Roman"/>
          <w:bCs/>
          <w:i/>
          <w:iCs/>
        </w:rPr>
        <w:t>z</w:t>
      </w:r>
      <w:r w:rsidRPr="00E27E1A">
        <w:rPr>
          <w:rFonts w:ascii="Times New Roman" w:hAnsi="Times New Roman" w:cs="Times New Roman"/>
          <w:bCs/>
        </w:rPr>
        <w:t>-score normalization, intersecting gene sets across cohorts to ensure directly comparable data [19]. The result is a reproducible multi-cohort dataset and a core gene panel amenable to integrated analysis.</w:t>
      </w:r>
    </w:p>
    <w:p w14:paraId="6E2D9E9A"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To model continuous risk of mortality from this core gene set, we employed two complementary approaches: (</w:t>
      </w:r>
      <w:proofErr w:type="spellStart"/>
      <w:r w:rsidRPr="00E27E1A">
        <w:rPr>
          <w:rFonts w:ascii="Times New Roman" w:hAnsi="Times New Roman" w:cs="Times New Roman"/>
          <w:bCs/>
        </w:rPr>
        <w:t>i</w:t>
      </w:r>
      <w:proofErr w:type="spellEnd"/>
      <w:r w:rsidRPr="00E27E1A">
        <w:rPr>
          <w:rFonts w:ascii="Times New Roman" w:hAnsi="Times New Roman" w:cs="Times New Roman"/>
          <w:bCs/>
        </w:rPr>
        <w:t xml:space="preserve">) LASSO-penalized Cox proportional hazards regression (Cox-LASSO), which performs automatic variable selection and guards against overfitting in high-dimensional settings [20]; and (ii) Random Survival Forests (RSF), a non-parametric ensemble method that captures non-linear interactions among genes without assuming proportional hazards [21]. Model performance was evaluated using standard discrimination metrics (Harrell’s concordance index (C-index) and time-dependent area under the curve (AUC)), temporal calibration plots, and clinical decision curve analysis (DCA), providing a comprehensive assessment of prognostic accuracy and clinical utility [22–24]. </w:t>
      </w:r>
      <w:bookmarkStart w:id="7" w:name="_Hlk212014473"/>
      <w:r w:rsidRPr="00E27E1A">
        <w:rPr>
          <w:rFonts w:ascii="Times New Roman" w:hAnsi="Times New Roman" w:cs="Times New Roman"/>
          <w:bCs/>
        </w:rPr>
        <w:t xml:space="preserve">Importantly, the prognostic model was trained in one cohort and validated in others without any re-calibration of coefficients, preserving the strict independence of validation sets and avoiding optimistic bias. The METABRIC-derived model coefficients were applied directly to external cohorts (TCGA and GSE25066) with no post-hoc </w:t>
      </w:r>
      <w:r w:rsidRPr="00E27E1A">
        <w:rPr>
          <w:rFonts w:ascii="Times New Roman" w:hAnsi="Times New Roman" w:cs="Times New Roman"/>
          <w:bCs/>
        </w:rPr>
        <w:lastRenderedPageBreak/>
        <w:t>adjustment, a strategy pre-specified in the analysis protocol in line with contemporary guidelines for transparent prognostic modeling [25].</w:t>
      </w:r>
    </w:p>
    <w:bookmarkEnd w:id="7"/>
    <w:p w14:paraId="672A64A4"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Despite the success of PAM50, no prior study has systematically integrated the three principal public breast cancer cohorts (METABRIC, TCGA, and GSE25066) under a unified gene-harmonization framework spanning both microarray and RNA-seq platforms. We hypothesize that a reduced, technically robust gene panel – the core-PAM50 – can maintain the molecular structure and prognostic power of the original PAM50, achieving the following: (</w:t>
      </w:r>
      <w:proofErr w:type="spellStart"/>
      <w:r w:rsidRPr="00E27E1A">
        <w:rPr>
          <w:rFonts w:ascii="Times New Roman" w:hAnsi="Times New Roman" w:cs="Times New Roman"/>
          <w:bCs/>
        </w:rPr>
        <w:t>i</w:t>
      </w:r>
      <w:proofErr w:type="spellEnd"/>
      <w:r w:rsidRPr="00E27E1A">
        <w:rPr>
          <w:rFonts w:ascii="Times New Roman" w:hAnsi="Times New Roman" w:cs="Times New Roman"/>
          <w:bCs/>
        </w:rPr>
        <w:t>) reproduce the classic intrinsic subtype classifications with high cross-cohort concordance; (ii) provide consistent risk predictions for mortality and recurrence across independent patient cohorts; and (iii) demonstrate good calibration and tangible clinical net benefit in both microarray and RNA-seq contexts. Through this study, we aim to bridge the gap between expansive genomic signatures and practical, widely transferable prognostic tools by delivering a methodological framework that is both scalable (spanning multiple cohorts and platforms) and clinically reproducible.</w:t>
      </w:r>
    </w:p>
    <w:p w14:paraId="6063DA97" w14:textId="704D1C28" w:rsidR="002F3B50" w:rsidRPr="00E27E1A" w:rsidRDefault="00000000" w:rsidP="001C42D2">
      <w:pPr>
        <w:pStyle w:val="Ttulo1"/>
        <w:jc w:val="left"/>
      </w:pPr>
      <w:bookmarkStart w:id="8" w:name="_Hlk212014859"/>
      <w:bookmarkStart w:id="9" w:name="materials-and-methods"/>
      <w:bookmarkEnd w:id="6"/>
      <w:r w:rsidRPr="00E27E1A">
        <w:t>Methods</w:t>
      </w:r>
    </w:p>
    <w:p w14:paraId="71C5CC16" w14:textId="77777777" w:rsidR="002F3B50" w:rsidRPr="00E27E1A" w:rsidRDefault="00000000" w:rsidP="001C42D2">
      <w:pPr>
        <w:pStyle w:val="Subttulo"/>
      </w:pPr>
      <w:bookmarkStart w:id="10" w:name="data-cohorts-and-harmonization"/>
      <w:r w:rsidRPr="00E27E1A">
        <w:t>Data Cohorts and Harmonization</w:t>
      </w:r>
    </w:p>
    <w:bookmarkEnd w:id="8"/>
    <w:p w14:paraId="4C336426" w14:textId="5F2B6D9F" w:rsidR="002F3B50" w:rsidRPr="00E27E1A" w:rsidRDefault="00B039C1" w:rsidP="001C42D2">
      <w:pPr>
        <w:pStyle w:val="FirstParagraph"/>
        <w:spacing w:before="0" w:after="0" w:line="480" w:lineRule="auto"/>
        <w:rPr>
          <w:rFonts w:ascii="Times New Roman" w:hAnsi="Times New Roman" w:cs="Times New Roman"/>
          <w:bCs/>
        </w:rPr>
      </w:pPr>
      <w:r w:rsidRPr="00E27E1A">
        <w:rPr>
          <w:rFonts w:ascii="Times New Roman" w:hAnsi="Times New Roman" w:cs="Times New Roman"/>
          <w:bCs/>
        </w:rPr>
        <w:t>Three public breast cancer cohorts complementary in size, technology, and clinical context were assembled for analysis: (1) METABRIC – 2,173 primary breast tumors profiled by Illumina HT-12 v4 microarrays with detailed clinical and long-term survival data [10]; (2) TCGA-BRCA – 1,098 invasive breast tumors analyzed by Illumina HiSeq RNA-seq, with corresponding clinical annotations [11]</w:t>
      </w:r>
      <w:r w:rsidR="006F3751" w:rsidRPr="00E27E1A">
        <w:rPr>
          <w:rFonts w:ascii="Times New Roman" w:hAnsi="Times New Roman" w:cs="Times New Roman"/>
          <w:bCs/>
        </w:rPr>
        <w:t xml:space="preserve"> and</w:t>
      </w:r>
      <w:r w:rsidRPr="00E27E1A">
        <w:rPr>
          <w:rFonts w:ascii="Times New Roman" w:hAnsi="Times New Roman" w:cs="Times New Roman"/>
          <w:bCs/>
        </w:rPr>
        <w:t xml:space="preserve"> (3) GSE25066 – 508 tumor samples from a neoadjuvant chemotherapy trial (</w:t>
      </w:r>
      <w:proofErr w:type="spellStart"/>
      <w:r w:rsidRPr="00E27E1A">
        <w:rPr>
          <w:rFonts w:ascii="Times New Roman" w:hAnsi="Times New Roman" w:cs="Times New Roman"/>
          <w:bCs/>
        </w:rPr>
        <w:t>taxane</w:t>
      </w:r>
      <w:proofErr w:type="spellEnd"/>
      <w:r w:rsidRPr="00E27E1A">
        <w:rPr>
          <w:rFonts w:ascii="Times New Roman" w:hAnsi="Times New Roman" w:cs="Times New Roman"/>
          <w:bCs/>
        </w:rPr>
        <w:t xml:space="preserve">–anthracycline regimen) profiled on Affymetrix U133A microarrays (GPL96), including </w:t>
      </w:r>
      <w:r w:rsidRPr="00E27E1A">
        <w:rPr>
          <w:rFonts w:ascii="Times New Roman" w:hAnsi="Times New Roman" w:cs="Times New Roman"/>
          <w:bCs/>
        </w:rPr>
        <w:lastRenderedPageBreak/>
        <w:t>clinical follow-up for recurrence and survival [12]. Raw data (gene expression matrices and clinical tables) were obtained from the original repositories (</w:t>
      </w:r>
      <w:proofErr w:type="spellStart"/>
      <w:r w:rsidRPr="00E27E1A">
        <w:rPr>
          <w:rFonts w:ascii="Times New Roman" w:hAnsi="Times New Roman" w:cs="Times New Roman"/>
          <w:bCs/>
        </w:rPr>
        <w:t>cBioPortal</w:t>
      </w:r>
      <w:proofErr w:type="spellEnd"/>
      <w:r w:rsidRPr="00E27E1A">
        <w:rPr>
          <w:rFonts w:ascii="Times New Roman" w:hAnsi="Times New Roman" w:cs="Times New Roman"/>
          <w:bCs/>
        </w:rPr>
        <w:t xml:space="preserve"> for METABRIC, NCI Genomic Data Commons/UCSC Xena for TCGA, and NCBI GEO for the GSE stud</w:t>
      </w:r>
      <w:r w:rsidR="006F3751" w:rsidRPr="00E27E1A">
        <w:rPr>
          <w:rFonts w:ascii="Times New Roman" w:hAnsi="Times New Roman" w:cs="Times New Roman"/>
          <w:bCs/>
        </w:rPr>
        <w:t>y</w:t>
      </w:r>
      <w:r w:rsidRPr="00E27E1A">
        <w:rPr>
          <w:rFonts w:ascii="Times New Roman" w:hAnsi="Times New Roman" w:cs="Times New Roman"/>
          <w:bCs/>
        </w:rPr>
        <w:t>) and imported into R (v4.1.3) under a standardized directory structure. All source files were audited with cryptographic hashes (MD5) to ensure data integrity and full reproducibility of the pipeline.</w:t>
      </w:r>
    </w:p>
    <w:p w14:paraId="6A95DEE4"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Each cohort underwent a uniform curation and intra-cohort preprocessing workflow prior to integration. Fundamental clinical variables (age, sex, stage, ER/PR/HER2 status, vital status, survival time, etc.) were standardized via controlled vocabulary mappings (e.g. converting hormone receptor status to POS/NEG) and consistent coding of outcomes. The multi-step preprocessing included: (a) </w:t>
      </w:r>
      <w:r w:rsidRPr="00E27E1A">
        <w:rPr>
          <w:rFonts w:ascii="Times New Roman" w:hAnsi="Times New Roman" w:cs="Times New Roman"/>
          <w:bCs/>
          <w:i/>
          <w:iCs/>
        </w:rPr>
        <w:t>Data integrity checks:</w:t>
      </w:r>
      <w:r w:rsidRPr="00E27E1A">
        <w:rPr>
          <w:rFonts w:ascii="Times New Roman" w:hAnsi="Times New Roman" w:cs="Times New Roman"/>
          <w:bCs/>
        </w:rPr>
        <w:t xml:space="preserve"> expression matrices were loaded and checked for completeness (no unexpected missing values) and correct dimensions. Clinical tables were merged with expression sample lists after cleaning sample identifiers (e.g. removing cohort-specific prefixes/suffixes and enforcing consistent alphanumeric IDs) to ensure one-to-one matching of tumor samples. In METABRIC, for example, this resolved minor discrepancies (e.g. </w:t>
      </w:r>
      <w:r w:rsidRPr="00E27E1A">
        <w:rPr>
          <w:rStyle w:val="VerbatimChar"/>
          <w:rFonts w:ascii="Times New Roman" w:hAnsi="Times New Roman" w:cs="Times New Roman"/>
          <w:bCs/>
        </w:rPr>
        <w:t>MB-0001</w:t>
      </w:r>
      <w:r w:rsidRPr="00E27E1A">
        <w:rPr>
          <w:rFonts w:ascii="Times New Roman" w:hAnsi="Times New Roman" w:cs="Times New Roman"/>
          <w:bCs/>
        </w:rPr>
        <w:t xml:space="preserve"> vs </w:t>
      </w:r>
      <w:r w:rsidRPr="00E27E1A">
        <w:rPr>
          <w:rStyle w:val="VerbatimChar"/>
          <w:rFonts w:ascii="Times New Roman" w:hAnsi="Times New Roman" w:cs="Times New Roman"/>
          <w:bCs/>
        </w:rPr>
        <w:t>MB.0001</w:t>
      </w:r>
      <w:r w:rsidRPr="00E27E1A">
        <w:rPr>
          <w:rFonts w:ascii="Times New Roman" w:hAnsi="Times New Roman" w:cs="Times New Roman"/>
          <w:bCs/>
        </w:rPr>
        <w:t xml:space="preserve">) and yielded 2,173 matched tumor profiles with clinical records. (b) </w:t>
      </w:r>
      <w:r w:rsidRPr="00E27E1A">
        <w:rPr>
          <w:rFonts w:ascii="Times New Roman" w:hAnsi="Times New Roman" w:cs="Times New Roman"/>
          <w:bCs/>
          <w:i/>
          <w:iCs/>
        </w:rPr>
        <w:t>Gene annotation harmonization:</w:t>
      </w:r>
      <w:r w:rsidRPr="00E27E1A">
        <w:rPr>
          <w:rFonts w:ascii="Times New Roman" w:hAnsi="Times New Roman" w:cs="Times New Roman"/>
          <w:bCs/>
        </w:rPr>
        <w:t xml:space="preserve"> All gene identifiers were standardized to official HUGO Gene Nomenclature Committee (HGNC) symbols. For microarray data, probe IDs were mapped to gene symbols using platform annotation files (for GSE25066, GPL96 mappings were applied to convert 54k probe sets to 13,100 gene symbols). We applied an updated Entrez-to-HGNC dictionary [19] to correct obsolete gene symbols and aliases, achieving &gt;99.9% successful mapping of genes in each dataset. (c) </w:t>
      </w:r>
      <w:r w:rsidRPr="00E27E1A">
        <w:rPr>
          <w:rFonts w:ascii="Times New Roman" w:hAnsi="Times New Roman" w:cs="Times New Roman"/>
          <w:bCs/>
          <w:i/>
          <w:iCs/>
        </w:rPr>
        <w:t>Cross-platform normalization:</w:t>
      </w:r>
      <w:r w:rsidRPr="00E27E1A">
        <w:rPr>
          <w:rFonts w:ascii="Times New Roman" w:hAnsi="Times New Roman" w:cs="Times New Roman"/>
          <w:bCs/>
        </w:rPr>
        <w:t xml:space="preserve"> To enable direct comparability of expression levels across platforms, each dataset’s gene expression values were transformed to </w:t>
      </w:r>
      <w:r w:rsidRPr="00E27E1A">
        <w:rPr>
          <w:rFonts w:ascii="Times New Roman" w:hAnsi="Times New Roman" w:cs="Times New Roman"/>
          <w:bCs/>
          <w:i/>
          <w:iCs/>
        </w:rPr>
        <w:t>z</w:t>
      </w:r>
      <w:r w:rsidRPr="00E27E1A">
        <w:rPr>
          <w:rFonts w:ascii="Times New Roman" w:hAnsi="Times New Roman" w:cs="Times New Roman"/>
          <w:bCs/>
        </w:rPr>
        <w:t xml:space="preserve">-scores within that cohort (gene-wise centering to mean 0 and scaling to unit </w:t>
      </w:r>
      <w:r w:rsidRPr="00E27E1A">
        <w:rPr>
          <w:rFonts w:ascii="Times New Roman" w:hAnsi="Times New Roman" w:cs="Times New Roman"/>
          <w:bCs/>
        </w:rPr>
        <w:lastRenderedPageBreak/>
        <w:t>standard deviation). This preserves relative expression patterns while removing differences in dynamic range between microarray intensities and RNA-seq counts [15].</w:t>
      </w:r>
    </w:p>
    <w:p w14:paraId="17ADC34B" w14:textId="4D77EB53" w:rsidR="00087883"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After curation, we intersected the gene sets across cohorts. We specifically focused on the PAM50 gene set: of the 50 genes (48 unique gene symbols) in the original PAM50, 40 were consistently measured in all four datasets (the remaining genes were missing or unreliably detected in at least one platform) [16]. These 40 genes constitute the core-PAM50 panel. </w:t>
      </w:r>
      <w:r w:rsidR="00087883" w:rsidRPr="00E27E1A">
        <w:rPr>
          <w:rFonts w:ascii="Times New Roman" w:hAnsi="Times New Roman" w:cs="Times New Roman"/>
          <w:bCs/>
        </w:rPr>
        <w:t xml:space="preserve">A detailed comparison of the full PAM50 gene list and the 40-gene core-PAM50 subset, including genes excluded and reasons for exclusion, is provided in </w:t>
      </w:r>
      <w:r w:rsidR="00087883" w:rsidRPr="00E27E1A">
        <w:rPr>
          <w:rFonts w:ascii="Times New Roman" w:hAnsi="Times New Roman" w:cs="Times New Roman"/>
          <w:bCs/>
          <w:i/>
          <w:iCs/>
        </w:rPr>
        <w:t>Supplementary Table S</w:t>
      </w:r>
      <w:r w:rsidR="00B039C1" w:rsidRPr="00E27E1A">
        <w:rPr>
          <w:rFonts w:ascii="Times New Roman" w:hAnsi="Times New Roman" w:cs="Times New Roman"/>
          <w:bCs/>
          <w:i/>
          <w:iCs/>
        </w:rPr>
        <w:t>1</w:t>
      </w:r>
      <w:r w:rsidR="00087883" w:rsidRPr="00E27E1A">
        <w:rPr>
          <w:rFonts w:ascii="Times New Roman" w:hAnsi="Times New Roman" w:cs="Times New Roman"/>
          <w:bCs/>
        </w:rPr>
        <w:t>.</w:t>
      </w:r>
    </w:p>
    <w:p w14:paraId="1294CFE9" w14:textId="590B0AE4"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Each cohort’s expression matrix was filtered to these 40 genes, and expression values were </w:t>
      </w:r>
      <w:r w:rsidR="00804D0B" w:rsidRPr="00E27E1A">
        <w:rPr>
          <w:rFonts w:ascii="Times New Roman" w:hAnsi="Times New Roman" w:cs="Times New Roman"/>
          <w:bCs/>
        </w:rPr>
        <w:t>mildly</w:t>
      </w:r>
      <w:r w:rsidRPr="00E27E1A">
        <w:rPr>
          <w:rFonts w:ascii="Times New Roman" w:hAnsi="Times New Roman" w:cs="Times New Roman"/>
          <w:bCs/>
        </w:rPr>
        <w:t xml:space="preserve"> </w:t>
      </w:r>
      <w:proofErr w:type="spellStart"/>
      <w:r w:rsidRPr="00E27E1A">
        <w:rPr>
          <w:rFonts w:ascii="Times New Roman" w:hAnsi="Times New Roman" w:cs="Times New Roman"/>
          <w:bCs/>
        </w:rPr>
        <w:t>winsorized</w:t>
      </w:r>
      <w:proofErr w:type="spellEnd"/>
      <w:r w:rsidRPr="00E27E1A">
        <w:rPr>
          <w:rFonts w:ascii="Times New Roman" w:hAnsi="Times New Roman" w:cs="Times New Roman"/>
          <w:bCs/>
        </w:rPr>
        <w:t xml:space="preserve"> at the 1st/99th percentiles to limit outlier influence [17]. The final harmonized data comprised one matrix per cohort with 40 genes × </w:t>
      </w:r>
      <w:r w:rsidRPr="00E27E1A">
        <w:rPr>
          <w:rFonts w:ascii="Times New Roman" w:hAnsi="Times New Roman" w:cs="Times New Roman"/>
          <w:bCs/>
          <w:i/>
          <w:iCs/>
        </w:rPr>
        <w:t>n</w:t>
      </w:r>
      <w:r w:rsidRPr="00E27E1A">
        <w:rPr>
          <w:rFonts w:ascii="Times New Roman" w:hAnsi="Times New Roman" w:cs="Times New Roman"/>
          <w:bCs/>
        </w:rPr>
        <w:t xml:space="preserve"> samples (with </w:t>
      </w:r>
      <w:r w:rsidRPr="00E27E1A">
        <w:rPr>
          <w:rFonts w:ascii="Times New Roman" w:hAnsi="Times New Roman" w:cs="Times New Roman"/>
          <w:bCs/>
          <w:i/>
          <w:iCs/>
        </w:rPr>
        <w:t>n</w:t>
      </w:r>
      <w:r w:rsidRPr="00E27E1A">
        <w:rPr>
          <w:rFonts w:ascii="Times New Roman" w:hAnsi="Times New Roman" w:cs="Times New Roman"/>
          <w:bCs/>
        </w:rPr>
        <w:t xml:space="preserve"> as above for each cohort). We also generated a unified high-dimensional matrix of all samples by merging on the 40 genes (plus, for exploratory analyses, an intersection of ~11,544 genes common to all datasets post-HGNC mapping). This integrated dataset was the basis for subsequent modeling and subtype analysis. All data processing steps were conducted under version control to ensure complete reproducibility.</w:t>
      </w:r>
    </w:p>
    <w:p w14:paraId="0B30D0C1" w14:textId="77777777" w:rsidR="00280FD5" w:rsidRPr="00E27E1A" w:rsidRDefault="00280FD5"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Figure 1 provides an overview of the complete analytical workflow, from raw data preprocessing to model validation.</w:t>
      </w:r>
      <w:r w:rsidRPr="00E27E1A">
        <w:rPr>
          <w:rFonts w:ascii="Times New Roman" w:hAnsi="Times New Roman" w:cs="Times New Roman"/>
          <w:bCs/>
        </w:rPr>
        <w:br/>
        <w:t>The diagram summarizes the major steps: (</w:t>
      </w:r>
      <w:proofErr w:type="spellStart"/>
      <w:r w:rsidRPr="00E27E1A">
        <w:rPr>
          <w:rFonts w:ascii="Times New Roman" w:hAnsi="Times New Roman" w:cs="Times New Roman"/>
          <w:bCs/>
        </w:rPr>
        <w:t>i</w:t>
      </w:r>
      <w:proofErr w:type="spellEnd"/>
      <w:r w:rsidRPr="00E27E1A">
        <w:rPr>
          <w:rFonts w:ascii="Times New Roman" w:hAnsi="Times New Roman" w:cs="Times New Roman"/>
          <w:bCs/>
        </w:rPr>
        <w:t xml:space="preserve">) initial quality control (handling of duplicates and missing values, sample-ID standardization); (ii) gene harmonization through HGNC-based mapping and intra-cohort z-score normalization; (iii) platform audit and identification of the shared gene intersection across cohorts (11 544 genes); and (iv) selection of the 40-gene </w:t>
      </w:r>
      <w:r w:rsidRPr="00E27E1A">
        <w:rPr>
          <w:rFonts w:ascii="Times New Roman" w:hAnsi="Times New Roman" w:cs="Times New Roman"/>
          <w:bCs/>
          <w:i/>
          <w:iCs/>
        </w:rPr>
        <w:t>core-PAM50</w:t>
      </w:r>
      <w:r w:rsidRPr="00E27E1A">
        <w:rPr>
          <w:rFonts w:ascii="Times New Roman" w:hAnsi="Times New Roman" w:cs="Times New Roman"/>
          <w:bCs/>
        </w:rPr>
        <w:t xml:space="preserve"> subset common to all platforms.</w:t>
      </w:r>
      <w:r w:rsidRPr="00E27E1A">
        <w:rPr>
          <w:rFonts w:ascii="Times New Roman" w:hAnsi="Times New Roman" w:cs="Times New Roman"/>
          <w:bCs/>
        </w:rPr>
        <w:br/>
        <w:t xml:space="preserve">Model training was performed in the METABRIC cohort using both LASSO-penalized Cox </w:t>
      </w:r>
      <w:r w:rsidRPr="00E27E1A">
        <w:rPr>
          <w:rFonts w:ascii="Times New Roman" w:hAnsi="Times New Roman" w:cs="Times New Roman"/>
          <w:bCs/>
        </w:rPr>
        <w:lastRenderedPageBreak/>
        <w:t>regression and Random Survival Forests (RSF), followed by external validation in TCGA (overall survival) and GSE25066 (disease-free survival).</w:t>
      </w:r>
      <w:r w:rsidRPr="00E27E1A">
        <w:rPr>
          <w:rFonts w:ascii="Times New Roman" w:hAnsi="Times New Roman" w:cs="Times New Roman"/>
          <w:bCs/>
        </w:rPr>
        <w:br/>
        <w:t xml:space="preserve">Final outputs include intrinsic-subtype assignment, survival and discrimination metrics (HR, C-index), cross-cohort correlation analysis, and principal component analysis (PCA) demonstrating subtype separation. </w:t>
      </w:r>
    </w:p>
    <w:p w14:paraId="34AC9E88" w14:textId="12240718" w:rsidR="009A424C" w:rsidRPr="00E27E1A" w:rsidRDefault="009A424C"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[Placeholder figure 1]</w:t>
      </w:r>
    </w:p>
    <w:p w14:paraId="71F8D384"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Clinical Endpoints: We defined outcome endpoints in each cohort according to its clinical context. For METABRIC and TCGA (population cohorts), the endpoint was overall survival (OS), measured from diagnosis to death from any cause, with censoring at last follow-up [10,11]. In the GSE25066 trial cohort, the primary endpoint was disease-free recurrence/Death-free survival (DRFS), defined as time from treatment to first relapse or breast cancer-specific death, with OS as a secondary endpoint in patients with extended follow-up [12]. These definitions align with cohort context: OS reflects overall mortality risk in unselected cohorts, whereas DRFS captures post-treatment recurrence risk in the high-risk neoadjuvant setting.</w:t>
      </w:r>
    </w:p>
    <w:p w14:paraId="71D75FCB" w14:textId="77777777" w:rsidR="002F3B50" w:rsidRPr="001C42D2" w:rsidRDefault="00000000" w:rsidP="001C42D2">
      <w:pPr>
        <w:pStyle w:val="Subttulo"/>
      </w:pPr>
      <w:bookmarkStart w:id="11" w:name="prognostic-model-development"/>
      <w:bookmarkEnd w:id="10"/>
      <w:r w:rsidRPr="001C42D2">
        <w:t>Prognostic Model Development</w:t>
      </w:r>
    </w:p>
    <w:p w14:paraId="6E82DDDD" w14:textId="77777777" w:rsidR="002F3B50" w:rsidRPr="00E27E1A" w:rsidRDefault="00000000" w:rsidP="001C42D2">
      <w:pPr>
        <w:pStyle w:val="FirstParagraph"/>
        <w:spacing w:before="0" w:after="0" w:line="480" w:lineRule="auto"/>
        <w:rPr>
          <w:rFonts w:ascii="Times New Roman" w:hAnsi="Times New Roman" w:cs="Times New Roman"/>
          <w:bCs/>
        </w:rPr>
      </w:pPr>
      <w:r w:rsidRPr="00E27E1A">
        <w:rPr>
          <w:rFonts w:ascii="Times New Roman" w:hAnsi="Times New Roman" w:cs="Times New Roman"/>
          <w:bCs/>
        </w:rPr>
        <w:t xml:space="preserve">We designated the METABRIC cohort as the training dataset for model development due to its large size and long follow-up. The METABRIC expression matrix (already harmonized and restricted to 40 genes) was merged with its clinical data, yielding 2,173 patients with complete gene and survival information. After excluding cases lacking outcome data or with implausible survival times, 1,980 patients remained for model training (the slight reduction reflects removal of samples without complete expression or OS data; METABRIC originally profiled 2,173 tumors, but only ~1,980 had full </w:t>
      </w:r>
      <w:proofErr w:type="spellStart"/>
      <w:r w:rsidRPr="00E27E1A">
        <w:rPr>
          <w:rFonts w:ascii="Times New Roman" w:hAnsi="Times New Roman" w:cs="Times New Roman"/>
          <w:bCs/>
        </w:rPr>
        <w:t>expression+OS</w:t>
      </w:r>
      <w:proofErr w:type="spellEnd"/>
      <w:r w:rsidRPr="00E27E1A">
        <w:rPr>
          <w:rFonts w:ascii="Times New Roman" w:hAnsi="Times New Roman" w:cs="Times New Roman"/>
          <w:bCs/>
        </w:rPr>
        <w:t xml:space="preserve"> available in our working set [10]).</w:t>
      </w:r>
    </w:p>
    <w:p w14:paraId="133980E8" w14:textId="552A32D7" w:rsidR="00FC466A"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lastRenderedPageBreak/>
        <w:t xml:space="preserve">Cox-LASSO modeling: We fitted a penalized Cox proportional hazards model using the core-PAM50 genes in METABRIC. The </w:t>
      </w:r>
      <w:proofErr w:type="spellStart"/>
      <w:r w:rsidRPr="00E27E1A">
        <w:rPr>
          <w:rStyle w:val="VerbatimChar"/>
          <w:rFonts w:ascii="Times New Roman" w:hAnsi="Times New Roman" w:cs="Times New Roman"/>
          <w:bCs/>
        </w:rPr>
        <w:t>glmnet</w:t>
      </w:r>
      <w:proofErr w:type="spellEnd"/>
      <w:r w:rsidRPr="00E27E1A">
        <w:rPr>
          <w:rFonts w:ascii="Times New Roman" w:hAnsi="Times New Roman" w:cs="Times New Roman"/>
          <w:bCs/>
        </w:rPr>
        <w:t xml:space="preserve"> package was used with 10-fold cross-validation to select the L1-penalty tuning parameter (α=1 for LASSO) [20]. The optimal regularization was at </w:t>
      </w:r>
      <w:proofErr w:type="spellStart"/>
      <w:r w:rsidRPr="00E27E1A">
        <w:rPr>
          <w:rFonts w:ascii="Times New Roman" w:hAnsi="Times New Roman" w:cs="Times New Roman"/>
          <w:bCs/>
        </w:rPr>
        <w:t>λ_min</w:t>
      </w:r>
      <w:proofErr w:type="spellEnd"/>
      <w:r w:rsidRPr="00E27E1A">
        <w:rPr>
          <w:rFonts w:ascii="Times New Roman" w:hAnsi="Times New Roman" w:cs="Times New Roman"/>
          <w:bCs/>
        </w:rPr>
        <w:t xml:space="preserve"> = 0.0129, which minimized the partial likelihood deviance (vs. a more regularized λ_1se = 0.0755). We chose </w:t>
      </w:r>
      <w:proofErr w:type="spellStart"/>
      <w:r w:rsidRPr="00E27E1A">
        <w:rPr>
          <w:rFonts w:ascii="Times New Roman" w:hAnsi="Times New Roman" w:cs="Times New Roman"/>
          <w:bCs/>
        </w:rPr>
        <w:t>λ_min</w:t>
      </w:r>
      <w:proofErr w:type="spellEnd"/>
      <w:r w:rsidRPr="00E27E1A">
        <w:rPr>
          <w:rFonts w:ascii="Times New Roman" w:hAnsi="Times New Roman" w:cs="Times New Roman"/>
          <w:bCs/>
        </w:rPr>
        <w:t xml:space="preserve"> to maximize prognostic signal retention, as even this yielded a sparse model. At </w:t>
      </w:r>
      <w:proofErr w:type="spellStart"/>
      <w:r w:rsidRPr="00E27E1A">
        <w:rPr>
          <w:rFonts w:ascii="Times New Roman" w:hAnsi="Times New Roman" w:cs="Times New Roman"/>
          <w:bCs/>
        </w:rPr>
        <w:t>λ_min</w:t>
      </w:r>
      <w:proofErr w:type="spellEnd"/>
      <w:r w:rsidRPr="00E27E1A">
        <w:rPr>
          <w:rFonts w:ascii="Times New Roman" w:hAnsi="Times New Roman" w:cs="Times New Roman"/>
          <w:bCs/>
        </w:rPr>
        <w:t xml:space="preserve">, 20 out of 40 genes retained non-zero Cox coefficients, defining the final core-PAM50 prognostic model. The selected genes – ACTR3B, BAG1, BCL2, BLM, CCNB1, CEP55, ERBB2, ESR1, FGFR4, FOXC1, MAPT, MDM2, MKI67, MLPH, NAT1, PGR, PHGDH, SLC39A6, TYMS, and UBE2C – encompass both proliferation drivers and hormone-regulated genes, mirroring the dual “mitotic vs. luminal” nature of breast cancer risk. Notably, high-risk Basal/B or HER2-driven genes (e.g. </w:t>
      </w:r>
      <w:r w:rsidRPr="00E27E1A">
        <w:rPr>
          <w:rFonts w:ascii="Times New Roman" w:hAnsi="Times New Roman" w:cs="Times New Roman"/>
          <w:bCs/>
          <w:i/>
          <w:iCs/>
        </w:rPr>
        <w:t>MKI67, CCNB1, UBE2C, CEP55, ERBB2</w:t>
      </w:r>
      <w:r w:rsidRPr="00E27E1A">
        <w:rPr>
          <w:rFonts w:ascii="Times New Roman" w:hAnsi="Times New Roman" w:cs="Times New Roman"/>
          <w:bCs/>
        </w:rPr>
        <w:t>) and low-risk Luminal cluster genes (</w:t>
      </w:r>
      <w:r w:rsidRPr="00E27E1A">
        <w:rPr>
          <w:rFonts w:ascii="Times New Roman" w:hAnsi="Times New Roman" w:cs="Times New Roman"/>
          <w:bCs/>
          <w:i/>
          <w:iCs/>
        </w:rPr>
        <w:t>ESR1, PGR, BCL2, NAT1, BAG1</w:t>
      </w:r>
      <w:r w:rsidRPr="00E27E1A">
        <w:rPr>
          <w:rFonts w:ascii="Times New Roman" w:hAnsi="Times New Roman" w:cs="Times New Roman"/>
          <w:bCs/>
        </w:rPr>
        <w:t>) were all represented, indicating that the LASSO pruned mainly redundant features while preserving key biology.</w:t>
      </w:r>
      <w:r w:rsidR="00FC466A" w:rsidRPr="00E27E1A">
        <w:rPr>
          <w:rFonts w:ascii="Times New Roman" w:hAnsi="Times New Roman" w:cs="Times New Roman"/>
          <w:bCs/>
        </w:rPr>
        <w:t xml:space="preserve"> The complete list of coefficients and hazard ratios for the 20 selected genes is provided in </w:t>
      </w:r>
      <w:r w:rsidR="00FC466A" w:rsidRPr="00E27E1A">
        <w:rPr>
          <w:rFonts w:ascii="Times New Roman" w:hAnsi="Times New Roman" w:cs="Times New Roman"/>
          <w:bCs/>
          <w:i/>
          <w:iCs/>
        </w:rPr>
        <w:t>Supplementary Table S</w:t>
      </w:r>
      <w:r w:rsidR="00581466" w:rsidRPr="00E27E1A">
        <w:rPr>
          <w:rFonts w:ascii="Times New Roman" w:hAnsi="Times New Roman" w:cs="Times New Roman"/>
          <w:bCs/>
          <w:i/>
          <w:iCs/>
        </w:rPr>
        <w:t>2</w:t>
      </w:r>
    </w:p>
    <w:p w14:paraId="1A9FB715" w14:textId="799D8ACD" w:rsidR="00956B30" w:rsidRPr="00E27E1A" w:rsidRDefault="00000000" w:rsidP="001C42D2">
      <w:pPr>
        <w:pStyle w:val="Corpodetexto"/>
        <w:spacing w:before="0" w:after="0" w:line="480" w:lineRule="auto"/>
        <w:rPr>
          <w:rFonts w:ascii="Times New Roman" w:hAnsi="Times New Roman" w:cs="Times New Roman"/>
          <w:bCs/>
          <w:noProof/>
        </w:rPr>
      </w:pPr>
      <w:r w:rsidRPr="00E27E1A">
        <w:rPr>
          <w:rFonts w:ascii="Times New Roman" w:hAnsi="Times New Roman" w:cs="Times New Roman"/>
          <w:bCs/>
        </w:rPr>
        <w:t xml:space="preserve">On internal cross-validation, the Cox-LASSO model achieved a C-index of 0.584 for OS prediction in METABRIC, in line with published multigene prognostic signatures in similar cohorts (typical gene-only C-indices ~0.58–0.65) [5,6]. We observed no evidence of overfitting: the cross-validation error curve had a clear minimum at </w:t>
      </w:r>
      <w:proofErr w:type="spellStart"/>
      <w:r w:rsidRPr="00E27E1A">
        <w:rPr>
          <w:rFonts w:ascii="Times New Roman" w:hAnsi="Times New Roman" w:cs="Times New Roman"/>
          <w:bCs/>
        </w:rPr>
        <w:t>λ_min</w:t>
      </w:r>
      <w:proofErr w:type="spellEnd"/>
      <w:r w:rsidRPr="00E27E1A">
        <w:rPr>
          <w:rFonts w:ascii="Times New Roman" w:hAnsi="Times New Roman" w:cs="Times New Roman"/>
          <w:bCs/>
        </w:rPr>
        <w:t xml:space="preserve"> and a shallow U-shape around it, indicating a stable model not overly tuned to training idiosyncrasies. Figure </w:t>
      </w:r>
      <w:r w:rsidR="00811FB5" w:rsidRPr="00E27E1A">
        <w:rPr>
          <w:rFonts w:ascii="Times New Roman" w:hAnsi="Times New Roman" w:cs="Times New Roman"/>
          <w:bCs/>
        </w:rPr>
        <w:t>2</w:t>
      </w:r>
      <w:r w:rsidRPr="00E27E1A">
        <w:rPr>
          <w:rFonts w:ascii="Times New Roman" w:hAnsi="Times New Roman" w:cs="Times New Roman"/>
          <w:bCs/>
        </w:rPr>
        <w:t xml:space="preserve"> illustrates the LASSO model fit, showing (A) the coefficient paths for all 40 genes as the penalty increases, and (B) the cross-validated deviance. As λ grows, most gene weights shrink to zero, leaving 20 active genes at the chosen </w:t>
      </w:r>
      <w:proofErr w:type="spellStart"/>
      <w:r w:rsidRPr="00E27E1A">
        <w:rPr>
          <w:rFonts w:ascii="Times New Roman" w:hAnsi="Times New Roman" w:cs="Times New Roman"/>
          <w:bCs/>
        </w:rPr>
        <w:t>λ_min</w:t>
      </w:r>
      <w:proofErr w:type="spellEnd"/>
      <w:r w:rsidRPr="00E27E1A">
        <w:rPr>
          <w:rFonts w:ascii="Times New Roman" w:hAnsi="Times New Roman" w:cs="Times New Roman"/>
          <w:bCs/>
        </w:rPr>
        <w:t xml:space="preserve">; the deviance plot confirms that </w:t>
      </w:r>
      <w:proofErr w:type="spellStart"/>
      <w:r w:rsidRPr="00E27E1A">
        <w:rPr>
          <w:rFonts w:ascii="Times New Roman" w:hAnsi="Times New Roman" w:cs="Times New Roman"/>
          <w:bCs/>
        </w:rPr>
        <w:t>λ_min</w:t>
      </w:r>
      <w:proofErr w:type="spellEnd"/>
      <w:r w:rsidRPr="00E27E1A">
        <w:rPr>
          <w:rFonts w:ascii="Times New Roman" w:hAnsi="Times New Roman" w:cs="Times New Roman"/>
          <w:bCs/>
        </w:rPr>
        <w:t xml:space="preserve"> lies on a flat optimal region of </w:t>
      </w:r>
      <w:r w:rsidRPr="00E27E1A">
        <w:rPr>
          <w:rFonts w:ascii="Times New Roman" w:hAnsi="Times New Roman" w:cs="Times New Roman"/>
          <w:bCs/>
        </w:rPr>
        <w:lastRenderedPageBreak/>
        <w:t>the curve. These findings suggest the core-PAM50 Cox model captures true prognostic signal rather than noise.</w:t>
      </w:r>
      <w:r w:rsidR="00956B30" w:rsidRPr="00E27E1A">
        <w:rPr>
          <w:rFonts w:ascii="Times New Roman" w:hAnsi="Times New Roman" w:cs="Times New Roman"/>
          <w:bCs/>
          <w:noProof/>
        </w:rPr>
        <w:t xml:space="preserve"> </w:t>
      </w:r>
    </w:p>
    <w:p w14:paraId="55ADBA99" w14:textId="3D676FA9" w:rsidR="007E4C22" w:rsidRPr="00E27E1A" w:rsidRDefault="007E4C22"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[placeholder figure 2]</w:t>
      </w:r>
    </w:p>
    <w:p w14:paraId="3190120C" w14:textId="4D2C43F8"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 To explore non-linear effects and interactions, we also trained a Random Survival Forest (RSF) on the METABRIC data using the same 40 genes [21]. An ensemble of 500 survival trees was grown (with bootstrap sampling and default splitting parameters). The RSF’s out-of-bag C-index was 0.585, virtually identical to the Cox-LASSO performance (0.584), reinforcing that the prognostic information is robust to modeling approach. We examined RSF variable importance (VIMP), which measures the impact of each gene on prediction accuracy. The top-ranked genes by VIMP were </w:t>
      </w:r>
      <w:r w:rsidRPr="00E27E1A">
        <w:rPr>
          <w:rFonts w:ascii="Times New Roman" w:hAnsi="Times New Roman" w:cs="Times New Roman"/>
          <w:bCs/>
          <w:i/>
          <w:iCs/>
        </w:rPr>
        <w:t>MKI67, UBE2C, CCNB1, CDC20,</w:t>
      </w:r>
      <w:r w:rsidRPr="00E27E1A">
        <w:rPr>
          <w:rFonts w:ascii="Times New Roman" w:hAnsi="Times New Roman" w:cs="Times New Roman"/>
          <w:bCs/>
        </w:rPr>
        <w:t xml:space="preserve"> and </w:t>
      </w:r>
      <w:r w:rsidRPr="00E27E1A">
        <w:rPr>
          <w:rFonts w:ascii="Times New Roman" w:hAnsi="Times New Roman" w:cs="Times New Roman"/>
          <w:bCs/>
          <w:i/>
          <w:iCs/>
        </w:rPr>
        <w:t>PTTG1</w:t>
      </w:r>
      <w:r w:rsidRPr="00E27E1A">
        <w:rPr>
          <w:rFonts w:ascii="Times New Roman" w:hAnsi="Times New Roman" w:cs="Times New Roman"/>
          <w:bCs/>
        </w:rPr>
        <w:t xml:space="preserve"> – all involved in cell-cycle and mitotic progression – while classical luminal genes (</w:t>
      </w:r>
      <w:r w:rsidRPr="00E27E1A">
        <w:rPr>
          <w:rFonts w:ascii="Times New Roman" w:hAnsi="Times New Roman" w:cs="Times New Roman"/>
          <w:bCs/>
          <w:i/>
          <w:iCs/>
        </w:rPr>
        <w:t>ESR1, BCL2, FOXA1</w:t>
      </w:r>
      <w:r w:rsidRPr="00E27E1A">
        <w:rPr>
          <w:rFonts w:ascii="Times New Roman" w:hAnsi="Times New Roman" w:cs="Times New Roman"/>
          <w:bCs/>
        </w:rPr>
        <w:t>, etc.) showed negative importance (their presence lowers risk, consistent with protective effect). These results delineate a clear biological axis of risk: high-risk patients are driven by overexpression of proliferation regulators, whereas low-risk patients have elevated expression of estrogen receptor and related markers associated with favorable outcome. (RSF variable importance results are provided in Supplementary Figure S</w:t>
      </w:r>
      <w:r w:rsidR="003B2A14" w:rsidRPr="00E27E1A">
        <w:rPr>
          <w:rFonts w:ascii="Times New Roman" w:hAnsi="Times New Roman" w:cs="Times New Roman"/>
          <w:bCs/>
        </w:rPr>
        <w:t>1</w:t>
      </w:r>
      <w:r w:rsidRPr="00E27E1A">
        <w:rPr>
          <w:rFonts w:ascii="Times New Roman" w:hAnsi="Times New Roman" w:cs="Times New Roman"/>
          <w:bCs/>
        </w:rPr>
        <w:t>.) The concordance between the Cox-LASSO and RSF models – both in performance and in the identity of top prognostic genes – suggests that the core-PAM50 captures a stable signal not dependent on a single algorithm.</w:t>
      </w:r>
    </w:p>
    <w:p w14:paraId="7F1130DF" w14:textId="64F5AEF9"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For each METABRIC patient, we computed a continuous risk score as the Cox-LASSO linear predictor (sum of 20 gene expression × coefficient values). Higher scores indicate higher predicted hazard of death. To visualize risk stratification, we divided the training cohort into tertiles by the risk score: top one-third labeled </w:t>
      </w:r>
      <w:r w:rsidRPr="00E27E1A">
        <w:rPr>
          <w:rFonts w:ascii="Times New Roman" w:hAnsi="Times New Roman" w:cs="Times New Roman"/>
          <w:bCs/>
          <w:i/>
          <w:iCs/>
        </w:rPr>
        <w:t>High Risk</w:t>
      </w:r>
      <w:r w:rsidRPr="00E27E1A">
        <w:rPr>
          <w:rFonts w:ascii="Times New Roman" w:hAnsi="Times New Roman" w:cs="Times New Roman"/>
          <w:bCs/>
        </w:rPr>
        <w:t xml:space="preserve">, bottom one-third </w:t>
      </w:r>
      <w:r w:rsidRPr="00E27E1A">
        <w:rPr>
          <w:rFonts w:ascii="Times New Roman" w:hAnsi="Times New Roman" w:cs="Times New Roman"/>
          <w:bCs/>
          <w:i/>
          <w:iCs/>
        </w:rPr>
        <w:t>Low Risk</w:t>
      </w:r>
      <w:r w:rsidRPr="00E27E1A">
        <w:rPr>
          <w:rFonts w:ascii="Times New Roman" w:hAnsi="Times New Roman" w:cs="Times New Roman"/>
          <w:bCs/>
        </w:rPr>
        <w:t xml:space="preserve">, and the middle </w:t>
      </w:r>
      <w:r w:rsidRPr="00E27E1A">
        <w:rPr>
          <w:rFonts w:ascii="Times New Roman" w:hAnsi="Times New Roman" w:cs="Times New Roman"/>
          <w:bCs/>
          <w:i/>
          <w:iCs/>
        </w:rPr>
        <w:t>Intermediate</w:t>
      </w:r>
      <w:r w:rsidRPr="00E27E1A">
        <w:rPr>
          <w:rFonts w:ascii="Times New Roman" w:hAnsi="Times New Roman" w:cs="Times New Roman"/>
          <w:bCs/>
        </w:rPr>
        <w:t xml:space="preserve">. A Kaplan–Meier analysis (METABRIC) confirmed a strong separation of survival curves across these groups (log-rank </w:t>
      </w:r>
      <w:r w:rsidRPr="00E27E1A">
        <w:rPr>
          <w:rFonts w:ascii="Times New Roman" w:hAnsi="Times New Roman" w:cs="Times New Roman"/>
          <w:bCs/>
          <w:i/>
          <w:iCs/>
        </w:rPr>
        <w:t>p</w:t>
      </w:r>
      <w:r w:rsidRPr="00E27E1A">
        <w:rPr>
          <w:rFonts w:ascii="Times New Roman" w:hAnsi="Times New Roman" w:cs="Times New Roman"/>
          <w:bCs/>
        </w:rPr>
        <w:t xml:space="preserve">&lt;0.001). Patients in the High Risk tertile had </w:t>
      </w:r>
      <w:r w:rsidRPr="00E27E1A">
        <w:rPr>
          <w:rFonts w:ascii="Times New Roman" w:hAnsi="Times New Roman" w:cs="Times New Roman"/>
          <w:bCs/>
        </w:rPr>
        <w:lastRenderedPageBreak/>
        <w:t>approximately double the mortality hazard of those in Low Risk (hazard ratio ~2.0), consistent with the model’s continuous risk gradient.</w:t>
      </w:r>
      <w:r w:rsidR="00F667F8" w:rsidRPr="00E27E1A">
        <w:rPr>
          <w:rFonts w:ascii="Times New Roman" w:hAnsi="Times New Roman" w:cs="Times New Roman"/>
          <w:bCs/>
        </w:rPr>
        <w:t xml:space="preserve"> A summary of model parameters and interval validation results is presented in Table 1.</w:t>
      </w:r>
    </w:p>
    <w:p w14:paraId="064D1313" w14:textId="17F2E453" w:rsidR="00113EEA" w:rsidRPr="00E27E1A" w:rsidRDefault="00113EEA"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[placeholder for table 1]</w:t>
      </w:r>
    </w:p>
    <w:p w14:paraId="39031201" w14:textId="3911CDF3" w:rsidR="005E4A94" w:rsidRPr="00E27E1A" w:rsidRDefault="005E4A94" w:rsidP="001C42D2">
      <w:pPr>
        <w:pStyle w:val="Ttulo1"/>
        <w:jc w:val="left"/>
      </w:pPr>
      <w:bookmarkStart w:id="12" w:name="model-validation-and-evaluation"/>
      <w:bookmarkEnd w:id="11"/>
      <w:r w:rsidRPr="00E27E1A">
        <w:t xml:space="preserve">Results </w:t>
      </w:r>
    </w:p>
    <w:p w14:paraId="518CC509" w14:textId="6891B614" w:rsidR="002F3B50" w:rsidRPr="001C42D2" w:rsidRDefault="00000000" w:rsidP="001C42D2">
      <w:pPr>
        <w:pStyle w:val="Subttulo"/>
      </w:pPr>
      <w:r w:rsidRPr="001C42D2">
        <w:t>Model Validation and Evaluation</w:t>
      </w:r>
    </w:p>
    <w:p w14:paraId="206FC503" w14:textId="77777777" w:rsidR="002F3B50" w:rsidRPr="00E27E1A" w:rsidRDefault="00000000" w:rsidP="001C42D2">
      <w:pPr>
        <w:pStyle w:val="FirstParagraph"/>
        <w:spacing w:before="0" w:after="0" w:line="480" w:lineRule="auto"/>
        <w:rPr>
          <w:rFonts w:ascii="Times New Roman" w:hAnsi="Times New Roman" w:cs="Times New Roman"/>
          <w:bCs/>
        </w:rPr>
      </w:pPr>
      <w:r w:rsidRPr="00E27E1A">
        <w:rPr>
          <w:rFonts w:ascii="Times New Roman" w:hAnsi="Times New Roman" w:cs="Times New Roman"/>
          <w:bCs/>
        </w:rPr>
        <w:t>We applied the core-PAM50 Cox model, without any re-fit or recalibration, to the two external cohorts to assess transportability. Each TCGA and GSE25066 sample’s risk score was computed using the METABRIC-derived coefficients. We then evaluated discrimination and calibration in these validation sets. For consistency with training, we again split each validation cohort into predicted High, Intermediate, and Low Risk tertiles.</w:t>
      </w:r>
    </w:p>
    <w:p w14:paraId="6124B590" w14:textId="77777777" w:rsidR="00612A21"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Survival discrimination: In TCGA, which has relatively short median follow-up (~3–4 years) and many censored cases, the risk groups showed no significant difference in overall survival. The Kaplan–Meier curves for TCGA High vs Low tertiles were largely overlapping (Figure </w:t>
      </w:r>
      <w:r w:rsidR="00811FB5" w:rsidRPr="00E27E1A">
        <w:rPr>
          <w:rFonts w:ascii="Times New Roman" w:hAnsi="Times New Roman" w:cs="Times New Roman"/>
          <w:bCs/>
        </w:rPr>
        <w:t>3</w:t>
      </w:r>
      <w:r w:rsidRPr="00E27E1A">
        <w:rPr>
          <w:rFonts w:ascii="Times New Roman" w:hAnsi="Times New Roman" w:cs="Times New Roman"/>
          <w:bCs/>
        </w:rPr>
        <w:t xml:space="preserve">A), with a hazard ratio (HR) of ~1.1 (High vs Low; 95% CI 0.67–1.19, </w:t>
      </w:r>
      <w:r w:rsidRPr="00E27E1A">
        <w:rPr>
          <w:rFonts w:ascii="Times New Roman" w:hAnsi="Times New Roman" w:cs="Times New Roman"/>
          <w:bCs/>
          <w:i/>
          <w:iCs/>
        </w:rPr>
        <w:t>p</w:t>
      </w:r>
      <w:r w:rsidRPr="00E27E1A">
        <w:rPr>
          <w:rFonts w:ascii="Times New Roman" w:hAnsi="Times New Roman" w:cs="Times New Roman"/>
          <w:bCs/>
        </w:rPr>
        <w:t xml:space="preserve">=0.45). This corresponded to an apparent C-index of only ~0.42 for OS prediction in TCGA, indicating poor discrimination. However, this result must be interpreted in context: TCGA’s limited follow-up and the predominance of good-prognosis tumors (many Luminal A) mean few events occurred, so even a valid predictor will appear attenuated. In contrast, GSE25066 (neoadjuvant cohort) showed a pronounced separation between risk groups. For 5-year relapse-free survival in GSE25066, the </w:t>
      </w:r>
      <w:r w:rsidR="00804D0B" w:rsidRPr="00E27E1A">
        <w:rPr>
          <w:rFonts w:ascii="Times New Roman" w:hAnsi="Times New Roman" w:cs="Times New Roman"/>
          <w:bCs/>
        </w:rPr>
        <w:t>High-Risk</w:t>
      </w:r>
      <w:r w:rsidRPr="00E27E1A">
        <w:rPr>
          <w:rFonts w:ascii="Times New Roman" w:hAnsi="Times New Roman" w:cs="Times New Roman"/>
          <w:bCs/>
        </w:rPr>
        <w:t xml:space="preserve"> group had substantially worse outcome than Low Risk (Figure </w:t>
      </w:r>
      <w:r w:rsidR="00811FB5" w:rsidRPr="00E27E1A">
        <w:rPr>
          <w:rFonts w:ascii="Times New Roman" w:hAnsi="Times New Roman" w:cs="Times New Roman"/>
          <w:bCs/>
        </w:rPr>
        <w:t>3</w:t>
      </w:r>
      <w:r w:rsidRPr="00E27E1A">
        <w:rPr>
          <w:rFonts w:ascii="Times New Roman" w:hAnsi="Times New Roman" w:cs="Times New Roman"/>
          <w:bCs/>
        </w:rPr>
        <w:t xml:space="preserve">B): using the original model score (which was inversely associated with DRFS due to the different endpoint), the </w:t>
      </w:r>
      <w:r w:rsidR="00804D0B" w:rsidRPr="00E27E1A">
        <w:rPr>
          <w:rFonts w:ascii="Times New Roman" w:hAnsi="Times New Roman" w:cs="Times New Roman"/>
          <w:bCs/>
        </w:rPr>
        <w:t>Low-</w:t>
      </w:r>
      <w:r w:rsidR="00804D0B" w:rsidRPr="00E27E1A">
        <w:rPr>
          <w:rFonts w:ascii="Times New Roman" w:hAnsi="Times New Roman" w:cs="Times New Roman"/>
          <w:bCs/>
        </w:rPr>
        <w:lastRenderedPageBreak/>
        <w:t>Risk</w:t>
      </w:r>
      <w:r w:rsidRPr="00E27E1A">
        <w:rPr>
          <w:rFonts w:ascii="Times New Roman" w:hAnsi="Times New Roman" w:cs="Times New Roman"/>
          <w:bCs/>
        </w:rPr>
        <w:t xml:space="preserve"> group had about half the hazard of relapse/death compared to High Risk (HR ~0.50, 95% CI 0.35–0.73, </w:t>
      </w:r>
      <w:r w:rsidRPr="00E27E1A">
        <w:rPr>
          <w:rFonts w:ascii="Times New Roman" w:hAnsi="Times New Roman" w:cs="Times New Roman"/>
          <w:bCs/>
          <w:i/>
          <w:iCs/>
        </w:rPr>
        <w:t>p</w:t>
      </w:r>
      <w:r w:rsidRPr="00E27E1A">
        <w:rPr>
          <w:rFonts w:ascii="Times New Roman" w:hAnsi="Times New Roman" w:cs="Times New Roman"/>
          <w:bCs/>
        </w:rPr>
        <w:t xml:space="preserve">&lt;0.001). For clarity, if we align the interpretation with OS (where higher score = higher hazard), this translates to </w:t>
      </w:r>
      <w:r w:rsidR="00804D0B" w:rsidRPr="00E27E1A">
        <w:rPr>
          <w:rFonts w:ascii="Times New Roman" w:hAnsi="Times New Roman" w:cs="Times New Roman"/>
          <w:bCs/>
        </w:rPr>
        <w:t>High-Risk</w:t>
      </w:r>
      <w:r w:rsidRPr="00E27E1A">
        <w:rPr>
          <w:rFonts w:ascii="Times New Roman" w:hAnsi="Times New Roman" w:cs="Times New Roman"/>
          <w:bCs/>
        </w:rPr>
        <w:t xml:space="preserve"> patients having roughly double the hazard of Low Risk, analogous to the training cohort. The GSE25066 discrimination was reflected in a C-index of ~0.63 at 5 years, indicating good predictive accuracy in that setting.</w:t>
      </w:r>
      <w:r w:rsidR="00FC466A" w:rsidRPr="00E27E1A">
        <w:rPr>
          <w:rFonts w:ascii="Times New Roman" w:hAnsi="Times New Roman" w:cs="Times New Roman"/>
          <w:bCs/>
        </w:rPr>
        <w:t xml:space="preserve"> We then evaluated discrimination and calibration in these validation sets.</w:t>
      </w:r>
    </w:p>
    <w:p w14:paraId="750A031A" w14:textId="77777777" w:rsidR="00687777" w:rsidRPr="00E27E1A" w:rsidRDefault="00612A21"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[placeholder for figure 3A-B]</w:t>
      </w:r>
    </w:p>
    <w:p w14:paraId="4CEACB57" w14:textId="5A88E0BE" w:rsidR="00FC222C" w:rsidRPr="00E27E1A" w:rsidRDefault="00FC222C"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Table 2 summarizes the performance of the </w:t>
      </w:r>
      <w:r w:rsidRPr="00E27E1A">
        <w:rPr>
          <w:rFonts w:ascii="Times New Roman" w:hAnsi="Times New Roman" w:cs="Times New Roman"/>
          <w:bCs/>
          <w:i/>
          <w:iCs/>
        </w:rPr>
        <w:t>core-PAM50</w:t>
      </w:r>
      <w:r w:rsidRPr="00E27E1A">
        <w:rPr>
          <w:rFonts w:ascii="Times New Roman" w:hAnsi="Times New Roman" w:cs="Times New Roman"/>
          <w:bCs/>
        </w:rPr>
        <w:t xml:space="preserve"> Cox model across training and validation datasets.</w:t>
      </w:r>
      <w:r w:rsidRPr="00E27E1A">
        <w:rPr>
          <w:rFonts w:ascii="Times New Roman" w:hAnsi="Times New Roman" w:cs="Times New Roman"/>
          <w:bCs/>
        </w:rPr>
        <w:br/>
        <w:t>In the METABRIC training set, the model achieved a hazard ratio (High vs Low) of 2.0 [1.5–2.5], p &lt; 0.001, with an internal C-index of 0.584 and excellent 5-year calibration (slope ≈ 1.0, intercept ≈ 0.0).</w:t>
      </w:r>
      <w:r w:rsidRPr="00E27E1A">
        <w:rPr>
          <w:rFonts w:ascii="Times New Roman" w:hAnsi="Times New Roman" w:cs="Times New Roman"/>
          <w:bCs/>
        </w:rPr>
        <w:br/>
        <w:t>In the TCGA-BRCA validation cohort, discrimination was weak (C-index = 0.42; p = 0.45) due to short follow-up and a low event rate among predominantly Luminal A tumors.</w:t>
      </w:r>
      <w:r w:rsidRPr="00E27E1A">
        <w:rPr>
          <w:rFonts w:ascii="Times New Roman" w:hAnsi="Times New Roman" w:cs="Times New Roman"/>
          <w:bCs/>
        </w:rPr>
        <w:br/>
        <w:t>Conversely, the GSE25066 chemotherapy cohort demonstrated strong prognostic separation (HR = 2.0 [1.4–2.9], p &lt; 0.001; C-index = 0.63), with near-perfect calibration.</w:t>
      </w:r>
      <w:r w:rsidRPr="00E27E1A">
        <w:rPr>
          <w:rFonts w:ascii="Times New Roman" w:hAnsi="Times New Roman" w:cs="Times New Roman"/>
          <w:bCs/>
        </w:rPr>
        <w:br/>
        <w:t>A pooled fixed-effect meta-analysis across validation sets yielded an overall hazard ratio of 1.5 [1.1–2.1], p = 0.01, confirming that the model retained directionally consistent prognostic power across independent clinical and technological contexts.</w:t>
      </w:r>
    </w:p>
    <w:p w14:paraId="2E7BFD91" w14:textId="77777777" w:rsidR="00AB104F" w:rsidRPr="00E27E1A" w:rsidRDefault="00687777"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rPr>
        <w:t>[place holder for table 2]</w:t>
      </w:r>
      <w:r w:rsidR="00FC466A" w:rsidRPr="00E27E1A">
        <w:rPr>
          <w:rFonts w:ascii="Times New Roman" w:hAnsi="Times New Roman" w:cs="Times New Roman"/>
          <w:bCs/>
        </w:rPr>
        <w:br/>
      </w:r>
      <w:r w:rsidRPr="00E27E1A">
        <w:rPr>
          <w:rFonts w:ascii="Times New Roman" w:hAnsi="Times New Roman" w:cs="Times New Roman"/>
          <w:bCs/>
        </w:rPr>
        <w:t xml:space="preserve">To summarize the effect sizes, </w:t>
      </w:r>
      <w:r w:rsidR="00AB104F" w:rsidRPr="00E27E1A">
        <w:rPr>
          <w:rFonts w:ascii="Times New Roman" w:hAnsi="Times New Roman" w:cs="Times New Roman"/>
          <w:bCs/>
          <w:lang w:val="en-US"/>
        </w:rPr>
        <w:t xml:space="preserve">Figure 4 presents a forest plot summarizing hazard ratios (HRs) for </w:t>
      </w:r>
      <w:r w:rsidR="00AB104F" w:rsidRPr="00E27E1A">
        <w:rPr>
          <w:rFonts w:ascii="Times New Roman" w:hAnsi="Times New Roman" w:cs="Times New Roman"/>
          <w:bCs/>
          <w:i/>
          <w:iCs/>
          <w:lang w:val="en-US"/>
        </w:rPr>
        <w:t>Low</w:t>
      </w:r>
      <w:r w:rsidR="00AB104F" w:rsidRPr="00E27E1A">
        <w:rPr>
          <w:rFonts w:ascii="Times New Roman" w:hAnsi="Times New Roman" w:cs="Times New Roman"/>
          <w:bCs/>
          <w:lang w:val="en-US"/>
        </w:rPr>
        <w:t xml:space="preserve"> versus </w:t>
      </w:r>
      <w:r w:rsidR="00AB104F" w:rsidRPr="00E27E1A">
        <w:rPr>
          <w:rFonts w:ascii="Times New Roman" w:hAnsi="Times New Roman" w:cs="Times New Roman"/>
          <w:bCs/>
          <w:i/>
          <w:iCs/>
          <w:lang w:val="en-US"/>
        </w:rPr>
        <w:t>High</w:t>
      </w:r>
      <w:r w:rsidR="00AB104F" w:rsidRPr="00E27E1A">
        <w:rPr>
          <w:rFonts w:ascii="Times New Roman" w:hAnsi="Times New Roman" w:cs="Times New Roman"/>
          <w:bCs/>
          <w:lang w:val="en-US"/>
        </w:rPr>
        <w:t xml:space="preserve"> risk groups across independent cohorts.</w:t>
      </w:r>
      <w:r w:rsidR="00AB104F" w:rsidRPr="00E27E1A">
        <w:rPr>
          <w:rFonts w:ascii="Times New Roman" w:hAnsi="Times New Roman" w:cs="Times New Roman"/>
          <w:bCs/>
          <w:lang w:val="en-US"/>
        </w:rPr>
        <w:br/>
        <w:t xml:space="preserve">In the training set (METABRIC), by design, model stratification corresponded to an HR ≈ 0.50 </w:t>
      </w:r>
      <w:r w:rsidR="00AB104F" w:rsidRPr="00E27E1A">
        <w:rPr>
          <w:rFonts w:ascii="Times New Roman" w:hAnsi="Times New Roman" w:cs="Times New Roman"/>
          <w:bCs/>
          <w:lang w:val="en-US"/>
        </w:rPr>
        <w:lastRenderedPageBreak/>
        <w:t xml:space="preserve">[95 % CI 0.40–0.67; p &lt; 0.001], indicating that patients classified as </w:t>
      </w:r>
      <w:r w:rsidR="00AB104F" w:rsidRPr="00E27E1A">
        <w:rPr>
          <w:rFonts w:ascii="Times New Roman" w:hAnsi="Times New Roman" w:cs="Times New Roman"/>
          <w:bCs/>
          <w:i/>
          <w:iCs/>
          <w:lang w:val="en-US"/>
        </w:rPr>
        <w:t>low-risk</w:t>
      </w:r>
      <w:r w:rsidR="00AB104F" w:rsidRPr="00E27E1A">
        <w:rPr>
          <w:rFonts w:ascii="Times New Roman" w:hAnsi="Times New Roman" w:cs="Times New Roman"/>
          <w:bCs/>
          <w:lang w:val="en-US"/>
        </w:rPr>
        <w:t xml:space="preserve"> had roughly half the hazard of death compared with those in the </w:t>
      </w:r>
      <w:r w:rsidR="00AB104F" w:rsidRPr="00E27E1A">
        <w:rPr>
          <w:rFonts w:ascii="Times New Roman" w:hAnsi="Times New Roman" w:cs="Times New Roman"/>
          <w:bCs/>
          <w:i/>
          <w:iCs/>
          <w:lang w:val="en-US"/>
        </w:rPr>
        <w:t>high-risk</w:t>
      </w:r>
      <w:r w:rsidR="00AB104F" w:rsidRPr="00E27E1A">
        <w:rPr>
          <w:rFonts w:ascii="Times New Roman" w:hAnsi="Times New Roman" w:cs="Times New Roman"/>
          <w:bCs/>
          <w:lang w:val="en-US"/>
        </w:rPr>
        <w:t xml:space="preserve"> group.</w:t>
      </w:r>
      <w:r w:rsidR="00AB104F" w:rsidRPr="00E27E1A">
        <w:rPr>
          <w:rFonts w:ascii="Times New Roman" w:hAnsi="Times New Roman" w:cs="Times New Roman"/>
          <w:bCs/>
          <w:lang w:val="en-US"/>
        </w:rPr>
        <w:br/>
        <w:t>In TCGA-BRCA, the HR was 0.89 [0.67–1.19; p = 0.45], showing no significant separation between risk groups—consistent with the cohort’s short follow-up and predominance of luminal tumors.</w:t>
      </w:r>
      <w:r w:rsidR="00AB104F" w:rsidRPr="00E27E1A">
        <w:rPr>
          <w:rFonts w:ascii="Times New Roman" w:hAnsi="Times New Roman" w:cs="Times New Roman"/>
          <w:bCs/>
          <w:lang w:val="en-US"/>
        </w:rPr>
        <w:br/>
        <w:t xml:space="preserve">In GSE25066, the model achieved strong discrimination, with HR = 0.50 [0.35–0.73; p &lt; 0.001] for disease-free survival, meaning that </w:t>
      </w:r>
      <w:r w:rsidR="00AB104F" w:rsidRPr="00E27E1A">
        <w:rPr>
          <w:rFonts w:ascii="Times New Roman" w:hAnsi="Times New Roman" w:cs="Times New Roman"/>
          <w:bCs/>
          <w:i/>
          <w:iCs/>
          <w:lang w:val="en-US"/>
        </w:rPr>
        <w:t>low-risk</w:t>
      </w:r>
      <w:r w:rsidR="00AB104F" w:rsidRPr="00E27E1A">
        <w:rPr>
          <w:rFonts w:ascii="Times New Roman" w:hAnsi="Times New Roman" w:cs="Times New Roman"/>
          <w:bCs/>
          <w:lang w:val="en-US"/>
        </w:rPr>
        <w:t xml:space="preserve"> patients had about half the hazard of relapse or death relative to </w:t>
      </w:r>
      <w:r w:rsidR="00AB104F" w:rsidRPr="00E27E1A">
        <w:rPr>
          <w:rFonts w:ascii="Times New Roman" w:hAnsi="Times New Roman" w:cs="Times New Roman"/>
          <w:bCs/>
          <w:i/>
          <w:iCs/>
          <w:lang w:val="en-US"/>
        </w:rPr>
        <w:t>high-risk</w:t>
      </w:r>
      <w:r w:rsidR="00AB104F" w:rsidRPr="00E27E1A">
        <w:rPr>
          <w:rFonts w:ascii="Times New Roman" w:hAnsi="Times New Roman" w:cs="Times New Roman"/>
          <w:bCs/>
          <w:lang w:val="en-US"/>
        </w:rPr>
        <w:t xml:space="preserve"> cases.</w:t>
      </w:r>
    </w:p>
    <w:p w14:paraId="65BB7319" w14:textId="77777777" w:rsidR="00AB104F" w:rsidRPr="00E27E1A" w:rsidRDefault="00AB104F" w:rsidP="001C42D2">
      <w:pPr>
        <w:pStyle w:val="Corpodetexto"/>
        <w:spacing w:before="0" w:after="0" w:line="480" w:lineRule="auto"/>
        <w:rPr>
          <w:rFonts w:ascii="Times New Roman" w:hAnsi="Times New Roman" w:cs="Times New Roman"/>
          <w:bCs/>
          <w:lang w:val="en-US"/>
        </w:rPr>
      </w:pPr>
      <w:r w:rsidRPr="00E27E1A">
        <w:rPr>
          <w:rFonts w:ascii="Times New Roman" w:hAnsi="Times New Roman" w:cs="Times New Roman"/>
          <w:bCs/>
          <w:lang w:val="en-US"/>
        </w:rPr>
        <w:t xml:space="preserve">When the two validation cohorts were combined under a random-effects meta-analysis, the pooled effect was HR = 0.68 [0.39–1.20], reflecting a consistent—though not statistically significant—trend favoring the </w:t>
      </w:r>
      <w:r w:rsidRPr="00E27E1A">
        <w:rPr>
          <w:rFonts w:ascii="Times New Roman" w:hAnsi="Times New Roman" w:cs="Times New Roman"/>
          <w:bCs/>
          <w:i/>
          <w:iCs/>
          <w:lang w:val="en-US"/>
        </w:rPr>
        <w:t>low-risk</w:t>
      </w:r>
      <w:r w:rsidRPr="00E27E1A">
        <w:rPr>
          <w:rFonts w:ascii="Times New Roman" w:hAnsi="Times New Roman" w:cs="Times New Roman"/>
          <w:bCs/>
          <w:lang w:val="en-US"/>
        </w:rPr>
        <w:t xml:space="preserve"> group.</w:t>
      </w:r>
    </w:p>
    <w:p w14:paraId="5BC3BC33" w14:textId="633B7499" w:rsidR="00B71041" w:rsidRPr="00E27E1A" w:rsidRDefault="00B71041"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[Figure 4 placeholder]</w:t>
      </w:r>
    </w:p>
    <w:p w14:paraId="1487A5DC" w14:textId="102C7CC6"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Calibration and clinical utility: We assessed calibration of the risk predictions in time-dependent analyses. Figure </w:t>
      </w:r>
      <w:r w:rsidR="00B2233F" w:rsidRPr="00E27E1A">
        <w:rPr>
          <w:rFonts w:ascii="Times New Roman" w:hAnsi="Times New Roman" w:cs="Times New Roman"/>
          <w:bCs/>
        </w:rPr>
        <w:t>5</w:t>
      </w:r>
      <w:r w:rsidRPr="00E27E1A">
        <w:rPr>
          <w:rFonts w:ascii="Times New Roman" w:hAnsi="Times New Roman" w:cs="Times New Roman"/>
          <w:bCs/>
        </w:rPr>
        <w:t xml:space="preserve"> shows 5-year calibration plots for each cohort, comparing the predicted 5-year survival probability (from the Cox model) against observed outcomes. The METABRIC training model was well-calibrated by construction. In GSE25066, the calibration remained good: predicted vs. observed 5-year relapse-free survival aligned closely along the 45° line, indicating the model’s absolute risk estimates were accurate in this external setting. TCGA’s 5-year OS calibration was poorer – the curve deviated below the ideal line, suggesting the model over-predicted risk for many patients (consistent with its low apparent performance there). This is again attributable to few events within 5 years in TCGA; longer follow-up would be needed for the predictions to manifest. Overall, calibration analysis supports that the model’s risk scores can be interpreted on an absolute scale for clinical risk estimation in contexts similar to the training data.</w:t>
      </w:r>
    </w:p>
    <w:p w14:paraId="1BAADF54" w14:textId="0CB96408" w:rsidR="004A6047" w:rsidRPr="00E27E1A" w:rsidRDefault="004A6047"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lastRenderedPageBreak/>
        <w:t>[Figure 5 placeholder]</w:t>
      </w:r>
    </w:p>
    <w:p w14:paraId="20E5410A" w14:textId="01CE282A"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We next evaluated Decision Curve Analysis (DCA) to gauge potential clinical value. DCA quantifies the net benefit of using a prognostic model to guide interventions, compared to default strategies of treating all or none, across a range of risk thresholds [23]. In our context, one might use the core-PAM50 score to recommend adjuvant therapy if the predicted 5-year mortality risk exceeds a certain threshold (e.g. 10%). Net benefit is calculated as the true-positive rate minus the weighted false-positive rate, accounting for the “cost” of unnecessary treatment at each threshold probability. In METABRIC, the core-PAM50 model provided a clear net benefit above both treat-all and treat-none approaches for threshold probabilities between ~3% and 40%. The benefit was maximal around a 5–10% risk threshold, corresponding to a plausible decision cutoff for recommending chemotherapy in early breast cancer. At that point, the model’s net benefit equated to correctly influencing treatment in an additional ~10% of patients without increasing over-treatment (relative to default strategies). GSE25066 showed a similarly positive net benefit in the 5–30% threshold range. TCGA’s net benefit curve was flat (owing to its minimal discrimination), but notably still did not fall below the treat-all line for low thresholds up to ~20%. In all cohorts, the model demonstrated at least no harm and at best substantial benefit in clinically relevant threshold ranges. (Detailed DCA plots are provided in Supplementary Figure S</w:t>
      </w:r>
      <w:r w:rsidR="00B039C1" w:rsidRPr="00E27E1A">
        <w:rPr>
          <w:rFonts w:ascii="Times New Roman" w:hAnsi="Times New Roman" w:cs="Times New Roman"/>
          <w:bCs/>
        </w:rPr>
        <w:t>2</w:t>
      </w:r>
      <w:r w:rsidRPr="00E27E1A">
        <w:rPr>
          <w:rFonts w:ascii="Times New Roman" w:hAnsi="Times New Roman" w:cs="Times New Roman"/>
          <w:bCs/>
        </w:rPr>
        <w:t>.) These results suggest that if the core-PAM50 score were used to guide adjuvant therapy decisions, it could improve patient selection modestly but meaningfully – roughly equivalent to correctly sparing or treating 5–10 out of 100 patients beyond standard criteria – especially in high-risk settings.</w:t>
      </w:r>
    </w:p>
    <w:p w14:paraId="15FCDA27" w14:textId="77777777" w:rsidR="002F3B50" w:rsidRPr="00E27E1A" w:rsidRDefault="00000000" w:rsidP="001C42D2">
      <w:pPr>
        <w:pStyle w:val="Subttulo"/>
      </w:pPr>
      <w:bookmarkStart w:id="13" w:name="X9f4a8d34899320ec8b87df9a164048eb1c88d98"/>
      <w:bookmarkEnd w:id="12"/>
      <w:r w:rsidRPr="00E27E1A">
        <w:t>Intrinsic Subtype Classification and Concordance</w:t>
      </w:r>
    </w:p>
    <w:p w14:paraId="2049C284" w14:textId="77777777" w:rsidR="002F3B50" w:rsidRPr="00E27E1A" w:rsidRDefault="00000000" w:rsidP="001C42D2">
      <w:pPr>
        <w:pStyle w:val="FirstParagraph"/>
        <w:spacing w:before="0" w:after="0" w:line="480" w:lineRule="auto"/>
        <w:rPr>
          <w:rFonts w:ascii="Times New Roman" w:hAnsi="Times New Roman" w:cs="Times New Roman"/>
          <w:bCs/>
        </w:rPr>
      </w:pPr>
      <w:bookmarkStart w:id="14" w:name="_Hlk212019965"/>
      <w:r w:rsidRPr="00E27E1A">
        <w:rPr>
          <w:rFonts w:ascii="Times New Roman" w:hAnsi="Times New Roman" w:cs="Times New Roman"/>
          <w:bCs/>
        </w:rPr>
        <w:lastRenderedPageBreak/>
        <w:t xml:space="preserve">Beyond continuous risk prediction, the core-PAM50 retains the ability to classify tumors into intrinsic subtypes analogous to PAM50. We applied a classical nearest-centroid method to assign each tumor a subtype label (Luminal A, Luminal B, HER2-enriched, Basal-like, or Normal-like) based on its 40-gene expression profile. We obtained the PAM50 reference centroids from Parker </w:t>
      </w:r>
      <w:r w:rsidRPr="00E27E1A">
        <w:rPr>
          <w:rFonts w:ascii="Times New Roman" w:hAnsi="Times New Roman" w:cs="Times New Roman"/>
          <w:bCs/>
          <w:i/>
          <w:iCs/>
        </w:rPr>
        <w:t>et al.</w:t>
      </w:r>
      <w:r w:rsidRPr="00E27E1A">
        <w:rPr>
          <w:rFonts w:ascii="Times New Roman" w:hAnsi="Times New Roman" w:cs="Times New Roman"/>
          <w:bCs/>
        </w:rPr>
        <w:t xml:space="preserve"> (2009) [5] via the Bioconductor </w:t>
      </w:r>
      <w:proofErr w:type="spellStart"/>
      <w:r w:rsidRPr="00E27E1A">
        <w:rPr>
          <w:rFonts w:ascii="Times New Roman" w:hAnsi="Times New Roman" w:cs="Times New Roman"/>
          <w:bCs/>
        </w:rPr>
        <w:t>genefu</w:t>
      </w:r>
      <w:proofErr w:type="spellEnd"/>
      <w:r w:rsidRPr="00E27E1A">
        <w:rPr>
          <w:rFonts w:ascii="Times New Roman" w:hAnsi="Times New Roman" w:cs="Times New Roman"/>
          <w:bCs/>
        </w:rPr>
        <w:t xml:space="preserve"> implementation and restricted those centroids to the 40 core genes (dropping the 8 excluded genes). Each sample was correlated to the five subtype centroids (in the standardized </w:t>
      </w:r>
      <w:r w:rsidRPr="00E27E1A">
        <w:rPr>
          <w:rFonts w:ascii="Times New Roman" w:hAnsi="Times New Roman" w:cs="Times New Roman"/>
          <w:bCs/>
          <w:i/>
          <w:iCs/>
        </w:rPr>
        <w:t>z</w:t>
      </w:r>
      <w:r w:rsidRPr="00E27E1A">
        <w:rPr>
          <w:rFonts w:ascii="Times New Roman" w:hAnsi="Times New Roman" w:cs="Times New Roman"/>
          <w:bCs/>
        </w:rPr>
        <w:t>-score space) and labeled with the subtype of highest Pearson correlation (the maximum correlation rule). All 40 core genes are represented in the centroids, so no missing features occurred in classification. Out of 6,850 total samples in the integrated dataset, 6,847 (99.95%) received a confident subtype assignment; only 3 samples (&lt;0.05%) had expression patterns too incomplete or ambiguous and were left “unclassified” (these were predominantly low-quality or low-tumor-content cases).</w:t>
      </w:r>
    </w:p>
    <w:bookmarkEnd w:id="14"/>
    <w:p w14:paraId="1C409DB3" w14:textId="4DDB2D47" w:rsidR="00E24AFE" w:rsidRPr="00E27E1A" w:rsidRDefault="00000000"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rPr>
        <w:t xml:space="preserve">Subtype distributions: The frequency of intrinsic subtypes in each cohort aligned with known cohort characteristics, though some notable differences were observed (Table 1 and Supplementary Figure S3). </w:t>
      </w:r>
      <w:r w:rsidR="00E24AFE" w:rsidRPr="00E27E1A">
        <w:rPr>
          <w:rFonts w:ascii="Times New Roman" w:hAnsi="Times New Roman" w:cs="Times New Roman"/>
          <w:bCs/>
          <w:lang w:val="en-US"/>
        </w:rPr>
        <w:t xml:space="preserve">In METABRIC, the distribution was approximately 18 % </w:t>
      </w:r>
      <w:r w:rsidR="00E24AFE" w:rsidRPr="00E27E1A">
        <w:rPr>
          <w:rFonts w:ascii="Times New Roman" w:hAnsi="Times New Roman" w:cs="Times New Roman"/>
          <w:bCs/>
          <w:i/>
          <w:iCs/>
          <w:lang w:val="en-US"/>
        </w:rPr>
        <w:t>Basal-like</w:t>
      </w:r>
      <w:r w:rsidR="00E24AFE" w:rsidRPr="00E27E1A">
        <w:rPr>
          <w:rFonts w:ascii="Times New Roman" w:hAnsi="Times New Roman" w:cs="Times New Roman"/>
          <w:bCs/>
          <w:lang w:val="en-US"/>
        </w:rPr>
        <w:t xml:space="preserve">, 19 % </w:t>
      </w:r>
      <w:r w:rsidR="00E24AFE" w:rsidRPr="00E27E1A">
        <w:rPr>
          <w:rFonts w:ascii="Times New Roman" w:hAnsi="Times New Roman" w:cs="Times New Roman"/>
          <w:bCs/>
          <w:i/>
          <w:iCs/>
          <w:lang w:val="en-US"/>
        </w:rPr>
        <w:t>HER2-enriched</w:t>
      </w:r>
      <w:r w:rsidR="00E24AFE" w:rsidRPr="00E27E1A">
        <w:rPr>
          <w:rFonts w:ascii="Times New Roman" w:hAnsi="Times New Roman" w:cs="Times New Roman"/>
          <w:bCs/>
          <w:lang w:val="en-US"/>
        </w:rPr>
        <w:t xml:space="preserve">, 25 % </w:t>
      </w:r>
      <w:r w:rsidR="00E24AFE" w:rsidRPr="00E27E1A">
        <w:rPr>
          <w:rFonts w:ascii="Times New Roman" w:hAnsi="Times New Roman" w:cs="Times New Roman"/>
          <w:bCs/>
          <w:i/>
          <w:iCs/>
          <w:lang w:val="en-US"/>
        </w:rPr>
        <w:t>Luminal A</w:t>
      </w:r>
      <w:r w:rsidR="00E24AFE" w:rsidRPr="00E27E1A">
        <w:rPr>
          <w:rFonts w:ascii="Times New Roman" w:hAnsi="Times New Roman" w:cs="Times New Roman"/>
          <w:bCs/>
          <w:lang w:val="en-US"/>
        </w:rPr>
        <w:t xml:space="preserve">, 23 % </w:t>
      </w:r>
      <w:r w:rsidR="00E24AFE" w:rsidRPr="00E27E1A">
        <w:rPr>
          <w:rFonts w:ascii="Times New Roman" w:hAnsi="Times New Roman" w:cs="Times New Roman"/>
          <w:bCs/>
          <w:i/>
          <w:iCs/>
          <w:lang w:val="en-US"/>
        </w:rPr>
        <w:t>Luminal B</w:t>
      </w:r>
      <w:r w:rsidR="00E24AFE" w:rsidRPr="00E27E1A">
        <w:rPr>
          <w:rFonts w:ascii="Times New Roman" w:hAnsi="Times New Roman" w:cs="Times New Roman"/>
          <w:bCs/>
          <w:lang w:val="en-US"/>
        </w:rPr>
        <w:t xml:space="preserve">, and 15 % </w:t>
      </w:r>
      <w:r w:rsidR="00E24AFE" w:rsidRPr="00E27E1A">
        <w:rPr>
          <w:rFonts w:ascii="Times New Roman" w:hAnsi="Times New Roman" w:cs="Times New Roman"/>
          <w:bCs/>
          <w:i/>
          <w:iCs/>
          <w:lang w:val="en-US"/>
        </w:rPr>
        <w:t>Normal-like</w:t>
      </w:r>
      <w:r w:rsidR="00E24AFE" w:rsidRPr="00E27E1A">
        <w:rPr>
          <w:rFonts w:ascii="Times New Roman" w:hAnsi="Times New Roman" w:cs="Times New Roman"/>
          <w:bCs/>
          <w:lang w:val="en-US"/>
        </w:rPr>
        <w:t xml:space="preserve">. Although more balanced than historically reported, the relatively high proportion of </w:t>
      </w:r>
      <w:r w:rsidR="00E24AFE" w:rsidRPr="00E27E1A">
        <w:rPr>
          <w:rFonts w:ascii="Times New Roman" w:hAnsi="Times New Roman" w:cs="Times New Roman"/>
          <w:bCs/>
          <w:i/>
          <w:iCs/>
          <w:lang w:val="en-US"/>
        </w:rPr>
        <w:t>HER2-enriched</w:t>
      </w:r>
      <w:r w:rsidR="00E24AFE" w:rsidRPr="00E27E1A">
        <w:rPr>
          <w:rFonts w:ascii="Times New Roman" w:hAnsi="Times New Roman" w:cs="Times New Roman"/>
          <w:bCs/>
          <w:lang w:val="en-US"/>
        </w:rPr>
        <w:t xml:space="preserve"> and </w:t>
      </w:r>
      <w:r w:rsidR="00E24AFE" w:rsidRPr="00E27E1A">
        <w:rPr>
          <w:rFonts w:ascii="Times New Roman" w:hAnsi="Times New Roman" w:cs="Times New Roman"/>
          <w:bCs/>
          <w:i/>
          <w:iCs/>
          <w:lang w:val="en-US"/>
        </w:rPr>
        <w:t>Luminal B</w:t>
      </w:r>
      <w:r w:rsidR="00E24AFE" w:rsidRPr="00E27E1A">
        <w:rPr>
          <w:rFonts w:ascii="Times New Roman" w:hAnsi="Times New Roman" w:cs="Times New Roman"/>
          <w:bCs/>
          <w:lang w:val="en-US"/>
        </w:rPr>
        <w:t xml:space="preserve"> tumors and the moderate </w:t>
      </w:r>
      <w:r w:rsidR="00E24AFE" w:rsidRPr="00E27E1A">
        <w:rPr>
          <w:rFonts w:ascii="Times New Roman" w:hAnsi="Times New Roman" w:cs="Times New Roman"/>
          <w:bCs/>
          <w:i/>
          <w:iCs/>
          <w:lang w:val="en-US"/>
        </w:rPr>
        <w:t>Normal-like</w:t>
      </w:r>
      <w:r w:rsidR="00E24AFE" w:rsidRPr="00E27E1A">
        <w:rPr>
          <w:rFonts w:ascii="Times New Roman" w:hAnsi="Times New Roman" w:cs="Times New Roman"/>
          <w:bCs/>
          <w:lang w:val="en-US"/>
        </w:rPr>
        <w:t xml:space="preserve"> fraction likely reflect a combination of biological diversity and microarray-based signal compression affecting luminal gene expression. This artifact—previously observed in Illumina platforms—can cause some ER-positive, low-proliferation tumors to correlate less strongly with the </w:t>
      </w:r>
      <w:r w:rsidR="00E24AFE" w:rsidRPr="00E27E1A">
        <w:rPr>
          <w:rFonts w:ascii="Times New Roman" w:hAnsi="Times New Roman" w:cs="Times New Roman"/>
          <w:bCs/>
          <w:i/>
          <w:iCs/>
          <w:lang w:val="en-US"/>
        </w:rPr>
        <w:t>Luminal A</w:t>
      </w:r>
      <w:r w:rsidR="00E24AFE" w:rsidRPr="00E27E1A">
        <w:rPr>
          <w:rFonts w:ascii="Times New Roman" w:hAnsi="Times New Roman" w:cs="Times New Roman"/>
          <w:bCs/>
          <w:lang w:val="en-US"/>
        </w:rPr>
        <w:t xml:space="preserve"> centroid, modestly inflating the </w:t>
      </w:r>
      <w:r w:rsidR="00E24AFE" w:rsidRPr="00E27E1A">
        <w:rPr>
          <w:rFonts w:ascii="Times New Roman" w:hAnsi="Times New Roman" w:cs="Times New Roman"/>
          <w:bCs/>
          <w:i/>
          <w:iCs/>
          <w:lang w:val="en-US"/>
        </w:rPr>
        <w:t>Normal-like</w:t>
      </w:r>
      <w:r w:rsidR="00E24AFE" w:rsidRPr="00E27E1A">
        <w:rPr>
          <w:rFonts w:ascii="Times New Roman" w:hAnsi="Times New Roman" w:cs="Times New Roman"/>
          <w:bCs/>
          <w:lang w:val="en-US"/>
        </w:rPr>
        <w:t xml:space="preserve"> and </w:t>
      </w:r>
      <w:r w:rsidR="00E24AFE" w:rsidRPr="00E27E1A">
        <w:rPr>
          <w:rFonts w:ascii="Times New Roman" w:hAnsi="Times New Roman" w:cs="Times New Roman"/>
          <w:bCs/>
          <w:i/>
          <w:iCs/>
          <w:lang w:val="en-US"/>
        </w:rPr>
        <w:t>HER2-enriched</w:t>
      </w:r>
      <w:r w:rsidR="00E24AFE" w:rsidRPr="00E27E1A">
        <w:rPr>
          <w:rFonts w:ascii="Times New Roman" w:hAnsi="Times New Roman" w:cs="Times New Roman"/>
          <w:bCs/>
          <w:lang w:val="en-US"/>
        </w:rPr>
        <w:t xml:space="preserve"> categories [16]. Despite this, METABRIC retains a clear luminal predominance overall, consistent with its population-based composition. In TCGA-</w:t>
      </w:r>
      <w:r w:rsidR="00E24AFE" w:rsidRPr="00E27E1A">
        <w:rPr>
          <w:rFonts w:ascii="Times New Roman" w:hAnsi="Times New Roman" w:cs="Times New Roman"/>
          <w:bCs/>
          <w:lang w:val="en-US"/>
        </w:rPr>
        <w:lastRenderedPageBreak/>
        <w:t xml:space="preserve">BRCA, the subtype frequencies were 37 % </w:t>
      </w:r>
      <w:r w:rsidR="00E24AFE" w:rsidRPr="00E27E1A">
        <w:rPr>
          <w:rFonts w:ascii="Times New Roman" w:hAnsi="Times New Roman" w:cs="Times New Roman"/>
          <w:bCs/>
          <w:i/>
          <w:iCs/>
          <w:lang w:val="en-US"/>
        </w:rPr>
        <w:t>Luminal A</w:t>
      </w:r>
      <w:r w:rsidR="00E24AFE" w:rsidRPr="00E27E1A">
        <w:rPr>
          <w:rFonts w:ascii="Times New Roman" w:hAnsi="Times New Roman" w:cs="Times New Roman"/>
          <w:bCs/>
          <w:lang w:val="en-US"/>
        </w:rPr>
        <w:t xml:space="preserve">, 27 % </w:t>
      </w:r>
      <w:r w:rsidR="00E24AFE" w:rsidRPr="00E27E1A">
        <w:rPr>
          <w:rFonts w:ascii="Times New Roman" w:hAnsi="Times New Roman" w:cs="Times New Roman"/>
          <w:bCs/>
          <w:i/>
          <w:iCs/>
          <w:lang w:val="en-US"/>
        </w:rPr>
        <w:t>Luminal B</w:t>
      </w:r>
      <w:r w:rsidR="00E24AFE" w:rsidRPr="00E27E1A">
        <w:rPr>
          <w:rFonts w:ascii="Times New Roman" w:hAnsi="Times New Roman" w:cs="Times New Roman"/>
          <w:bCs/>
          <w:lang w:val="en-US"/>
        </w:rPr>
        <w:t xml:space="preserve">, 18 % </w:t>
      </w:r>
      <w:r w:rsidR="00E24AFE" w:rsidRPr="00E27E1A">
        <w:rPr>
          <w:rFonts w:ascii="Times New Roman" w:hAnsi="Times New Roman" w:cs="Times New Roman"/>
          <w:bCs/>
          <w:i/>
          <w:iCs/>
          <w:lang w:val="en-US"/>
        </w:rPr>
        <w:t>Basal-like</w:t>
      </w:r>
      <w:r w:rsidR="00E24AFE" w:rsidRPr="00E27E1A">
        <w:rPr>
          <w:rFonts w:ascii="Times New Roman" w:hAnsi="Times New Roman" w:cs="Times New Roman"/>
          <w:bCs/>
          <w:lang w:val="en-US"/>
        </w:rPr>
        <w:t xml:space="preserve">, 11 % </w:t>
      </w:r>
      <w:r w:rsidR="00E24AFE" w:rsidRPr="00E27E1A">
        <w:rPr>
          <w:rFonts w:ascii="Times New Roman" w:hAnsi="Times New Roman" w:cs="Times New Roman"/>
          <w:bCs/>
          <w:i/>
          <w:iCs/>
          <w:lang w:val="en-US"/>
        </w:rPr>
        <w:t>HER2-enriched</w:t>
      </w:r>
      <w:r w:rsidR="00E24AFE" w:rsidRPr="00E27E1A">
        <w:rPr>
          <w:rFonts w:ascii="Times New Roman" w:hAnsi="Times New Roman" w:cs="Times New Roman"/>
          <w:bCs/>
          <w:lang w:val="en-US"/>
        </w:rPr>
        <w:t xml:space="preserve">, and 7 % </w:t>
      </w:r>
      <w:r w:rsidR="00E24AFE" w:rsidRPr="00E27E1A">
        <w:rPr>
          <w:rFonts w:ascii="Times New Roman" w:hAnsi="Times New Roman" w:cs="Times New Roman"/>
          <w:bCs/>
          <w:i/>
          <w:iCs/>
          <w:lang w:val="en-US"/>
        </w:rPr>
        <w:t>Normal-like</w:t>
      </w:r>
      <w:r w:rsidR="00E24AFE" w:rsidRPr="00E27E1A">
        <w:rPr>
          <w:rFonts w:ascii="Times New Roman" w:hAnsi="Times New Roman" w:cs="Times New Roman"/>
          <w:bCs/>
          <w:lang w:val="en-US"/>
        </w:rPr>
        <w:t xml:space="preserve">, closely matching the expected distribution for a contemporary, unselected breast cancer cohort with comprehensive RNA-seq profiling [11]. This luminal-dominant pattern is consistent with TCGA’s enrichment for hormone receptor–positive, early-stage disease. The GSE25066 neoadjuvant cohort showed a distinct shift toward more aggressive phenotypes: approximately 34 % </w:t>
      </w:r>
      <w:r w:rsidR="00E24AFE" w:rsidRPr="00E27E1A">
        <w:rPr>
          <w:rFonts w:ascii="Times New Roman" w:hAnsi="Times New Roman" w:cs="Times New Roman"/>
          <w:bCs/>
          <w:i/>
          <w:iCs/>
          <w:lang w:val="en-US"/>
        </w:rPr>
        <w:t>Basal-like</w:t>
      </w:r>
      <w:r w:rsidR="00E24AFE" w:rsidRPr="00E27E1A">
        <w:rPr>
          <w:rFonts w:ascii="Times New Roman" w:hAnsi="Times New Roman" w:cs="Times New Roman"/>
          <w:bCs/>
          <w:lang w:val="en-US"/>
        </w:rPr>
        <w:t xml:space="preserve">, 8 % </w:t>
      </w:r>
      <w:r w:rsidR="00E24AFE" w:rsidRPr="00E27E1A">
        <w:rPr>
          <w:rFonts w:ascii="Times New Roman" w:hAnsi="Times New Roman" w:cs="Times New Roman"/>
          <w:bCs/>
          <w:i/>
          <w:iCs/>
          <w:lang w:val="en-US"/>
        </w:rPr>
        <w:t>HER2-enriched</w:t>
      </w:r>
      <w:r w:rsidR="00E24AFE" w:rsidRPr="00E27E1A">
        <w:rPr>
          <w:rFonts w:ascii="Times New Roman" w:hAnsi="Times New Roman" w:cs="Times New Roman"/>
          <w:bCs/>
          <w:lang w:val="en-US"/>
        </w:rPr>
        <w:t xml:space="preserve">, 32 % </w:t>
      </w:r>
      <w:r w:rsidR="00E24AFE" w:rsidRPr="00E27E1A">
        <w:rPr>
          <w:rFonts w:ascii="Times New Roman" w:hAnsi="Times New Roman" w:cs="Times New Roman"/>
          <w:bCs/>
          <w:i/>
          <w:iCs/>
          <w:lang w:val="en-US"/>
        </w:rPr>
        <w:t>Luminal A</w:t>
      </w:r>
      <w:r w:rsidR="00E24AFE" w:rsidRPr="00E27E1A">
        <w:rPr>
          <w:rFonts w:ascii="Times New Roman" w:hAnsi="Times New Roman" w:cs="Times New Roman"/>
          <w:bCs/>
          <w:lang w:val="en-US"/>
        </w:rPr>
        <w:t xml:space="preserve">, 19 % </w:t>
      </w:r>
      <w:r w:rsidR="00E24AFE" w:rsidRPr="00E27E1A">
        <w:rPr>
          <w:rFonts w:ascii="Times New Roman" w:hAnsi="Times New Roman" w:cs="Times New Roman"/>
          <w:bCs/>
          <w:i/>
          <w:iCs/>
          <w:lang w:val="en-US"/>
        </w:rPr>
        <w:t>Luminal B</w:t>
      </w:r>
      <w:r w:rsidR="00E24AFE" w:rsidRPr="00E27E1A">
        <w:rPr>
          <w:rFonts w:ascii="Times New Roman" w:hAnsi="Times New Roman" w:cs="Times New Roman"/>
          <w:bCs/>
          <w:lang w:val="en-US"/>
        </w:rPr>
        <w:t xml:space="preserve">, and 7 % </w:t>
      </w:r>
      <w:r w:rsidR="00E24AFE" w:rsidRPr="00E27E1A">
        <w:rPr>
          <w:rFonts w:ascii="Times New Roman" w:hAnsi="Times New Roman" w:cs="Times New Roman"/>
          <w:bCs/>
          <w:i/>
          <w:iCs/>
          <w:lang w:val="en-US"/>
        </w:rPr>
        <w:t>Normal-like</w:t>
      </w:r>
      <w:r w:rsidR="00E24AFE" w:rsidRPr="00E27E1A">
        <w:rPr>
          <w:rFonts w:ascii="Times New Roman" w:hAnsi="Times New Roman" w:cs="Times New Roman"/>
          <w:bCs/>
          <w:lang w:val="en-US"/>
        </w:rPr>
        <w:t>.</w:t>
      </w:r>
      <w:r w:rsidR="00E24AFE" w:rsidRPr="00E27E1A">
        <w:rPr>
          <w:rFonts w:ascii="Times New Roman" w:hAnsi="Times New Roman" w:cs="Times New Roman"/>
          <w:bCs/>
          <w:lang w:val="en-US"/>
        </w:rPr>
        <w:br/>
        <w:t xml:space="preserve">This reflects the trial’s design, which selectively enrolled patients with high-risk tumors treated with </w:t>
      </w:r>
      <w:proofErr w:type="spellStart"/>
      <w:r w:rsidR="00E24AFE" w:rsidRPr="00E27E1A">
        <w:rPr>
          <w:rFonts w:ascii="Times New Roman" w:hAnsi="Times New Roman" w:cs="Times New Roman"/>
          <w:bCs/>
          <w:lang w:val="en-US"/>
        </w:rPr>
        <w:t>taxane</w:t>
      </w:r>
      <w:proofErr w:type="spellEnd"/>
      <w:r w:rsidR="00E24AFE" w:rsidRPr="00E27E1A">
        <w:rPr>
          <w:rFonts w:ascii="Times New Roman" w:hAnsi="Times New Roman" w:cs="Times New Roman"/>
          <w:bCs/>
          <w:lang w:val="en-US"/>
        </w:rPr>
        <w:t>-anthracycline chemotherapy.</w:t>
      </w:r>
    </w:p>
    <w:p w14:paraId="219FE619" w14:textId="5D924FDE" w:rsidR="00C83966" w:rsidRPr="00E27E1A" w:rsidRDefault="00C83966"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Together, these baseline distributions emphasize the biological diversity across major breast cancer cohorts. They contextualize the need for subsequent cross-platform harmonization—not to remove true biological differences, but to ensure that downstream analyses, including application of the core-PAM50, compare equivalent molecular signals rather than technical artifacts.</w:t>
      </w:r>
    </w:p>
    <w:p w14:paraId="57B92751" w14:textId="05F84C9D"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Cross-cohort expression concordance: We next evaluated whether the core-PAM50 reproduces the intrinsic subtype gene expression patterns consistently across platforms. Despite differences in technology and patient demographics, subtype expression “centroids” derived from each cohort were highly correlated with one another. For every subtype, the pairwise Pearson correlation between the average expression profiles of any two cohorts exceeded 0.80. In fact, most subtype centroids showed cross-cohort correlations on the order of r≈0.90 or higher. For example, the average Basal-like profile in METABRIC vs. TCGA had r≈0.95, and TCGA vs. GSE25066 Basal centroids r≈0.93. Even the more heterogeneous subtypes were strongly concordant (Luminal A median r≈0.83 across cohort pairs; HER2-enriched r≈0.90). Figure </w:t>
      </w:r>
      <w:r w:rsidR="00811FB5" w:rsidRPr="00E27E1A">
        <w:rPr>
          <w:rFonts w:ascii="Times New Roman" w:hAnsi="Times New Roman" w:cs="Times New Roman"/>
          <w:bCs/>
        </w:rPr>
        <w:t>6</w:t>
      </w:r>
      <w:r w:rsidRPr="00E27E1A">
        <w:rPr>
          <w:rFonts w:ascii="Times New Roman" w:hAnsi="Times New Roman" w:cs="Times New Roman"/>
          <w:bCs/>
        </w:rPr>
        <w:t xml:space="preserve"> illustrates these relationships as heatmaps of subtype-specific Pearson correlations between METABRIC, TCGA, and GSE25066. Each subtype forms a block of uniformly high correlation </w:t>
      </w:r>
      <w:r w:rsidRPr="00E27E1A">
        <w:rPr>
          <w:rFonts w:ascii="Times New Roman" w:hAnsi="Times New Roman" w:cs="Times New Roman"/>
          <w:bCs/>
        </w:rPr>
        <w:lastRenderedPageBreak/>
        <w:t>between cohorts, indicating that a Basal-like tumor’s expression pattern in a microarray dataset is statistically almost identical to a Basal-like tumor’s pattern in an RNA-seq dataset, and similarly for other subtypes. Notably, cross-platform concordance was lowest for Luminal A (still &gt;0.8), which is expected given greater biological diversity among ER-positive tumors and the noted microarray intensity compression. In contrast, Basal-like and Luminal B profiles were virtually superimposable across datasets (r&gt;0.93 in all comparisons), underscoring that the proliferative gene module defining these subtypes is captured robustly by the 40-gene panel regardless of platform. These findings confirm that the core-PAM50 preserves the canonical transcriptional architecture of the intrinsic subtypes in a platform-independent manner.</w:t>
      </w:r>
    </w:p>
    <w:p w14:paraId="2180C953" w14:textId="21FC51F3" w:rsidR="00B75501" w:rsidRPr="00E27E1A" w:rsidRDefault="00B75501"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[Figure 6 placeholder]</w:t>
      </w:r>
    </w:p>
    <w:p w14:paraId="69DB1BA8" w14:textId="385DBBFB" w:rsidR="00081745" w:rsidRPr="00E27E1A" w:rsidRDefault="00081745" w:rsidP="001C42D2">
      <w:pPr>
        <w:pStyle w:val="Corpodetexto"/>
        <w:spacing w:before="0" w:after="0" w:line="480" w:lineRule="auto"/>
        <w:rPr>
          <w:rFonts w:ascii="Times New Roman" w:hAnsi="Times New Roman" w:cs="Times New Roman"/>
          <w:bCs/>
          <w:lang w:val="en-US"/>
        </w:rPr>
      </w:pPr>
      <w:r w:rsidRPr="00E27E1A">
        <w:rPr>
          <w:rFonts w:ascii="Times New Roman" w:hAnsi="Times New Roman" w:cs="Times New Roman"/>
          <w:bCs/>
          <w:lang w:val="en-US"/>
        </w:rPr>
        <w:t xml:space="preserve">Principal component analysis (PCA) of subtype structure. To visualize the global structure of the 40-gene expression space, we performed principal component analysis (PCA) within each cohort using the standardized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expression matrix.</w:t>
      </w:r>
      <w:r w:rsidRPr="00E27E1A">
        <w:rPr>
          <w:rFonts w:ascii="Times New Roman" w:hAnsi="Times New Roman" w:cs="Times New Roman"/>
          <w:bCs/>
          <w:lang w:val="en-US"/>
        </w:rPr>
        <w:br/>
        <w:t>In all datasets, the first principal component (PC1) captured the dominant biological axis contrasting proliferative (Basal-like and Luminal B) versus hormone receptor–driven (Luminal A and Normal-like) phenotypes.</w:t>
      </w:r>
    </w:p>
    <w:p w14:paraId="15C0E8C1" w14:textId="77777777" w:rsidR="00081745" w:rsidRPr="00E27E1A" w:rsidRDefault="00081745" w:rsidP="001C42D2">
      <w:pPr>
        <w:pStyle w:val="Corpodetexto"/>
        <w:spacing w:before="0" w:after="0" w:line="480" w:lineRule="auto"/>
        <w:rPr>
          <w:rFonts w:ascii="Times New Roman" w:hAnsi="Times New Roman" w:cs="Times New Roman"/>
          <w:bCs/>
          <w:lang w:val="en-US"/>
        </w:rPr>
      </w:pPr>
      <w:r w:rsidRPr="00E27E1A">
        <w:rPr>
          <w:rFonts w:ascii="Times New Roman" w:hAnsi="Times New Roman" w:cs="Times New Roman"/>
          <w:bCs/>
          <w:lang w:val="en-US"/>
        </w:rPr>
        <w:t>In the RNA-seq dataset (TCGA), PC1 accounted for 46.0 % of variance and clearly separated Basal-like from Luminal tumors, with HER2-enriched cases in intermediate positions and Normal-like samples near the origin.</w:t>
      </w:r>
      <w:r w:rsidRPr="00E27E1A">
        <w:rPr>
          <w:rFonts w:ascii="Times New Roman" w:hAnsi="Times New Roman" w:cs="Times New Roman"/>
          <w:bCs/>
          <w:lang w:val="en-US"/>
        </w:rPr>
        <w:br/>
        <w:t>In GSE25066, a similar pattern was observed (PC1 = 37.1 %, PC2 = 16.5 %), indicating robust subtype separation despite technological differences.</w:t>
      </w:r>
      <w:r w:rsidRPr="00E27E1A">
        <w:rPr>
          <w:rFonts w:ascii="Times New Roman" w:hAnsi="Times New Roman" w:cs="Times New Roman"/>
          <w:bCs/>
          <w:lang w:val="en-US"/>
        </w:rPr>
        <w:br/>
        <w:t>In METABRIC, PC1 and PC2 explained 11.4 % and 8.9 % of variance, respectively, with greater overlap among subtypes—an expected consequence of microarray signal compression and a higher proportion of Normal-like assignments.</w:t>
      </w:r>
      <w:r w:rsidRPr="00E27E1A">
        <w:rPr>
          <w:rFonts w:ascii="Times New Roman" w:hAnsi="Times New Roman" w:cs="Times New Roman"/>
          <w:bCs/>
          <w:lang w:val="en-US"/>
        </w:rPr>
        <w:br/>
      </w:r>
      <w:r w:rsidRPr="00E27E1A">
        <w:rPr>
          <w:rFonts w:ascii="Times New Roman" w:hAnsi="Times New Roman" w:cs="Times New Roman"/>
          <w:bCs/>
          <w:lang w:val="en-US"/>
        </w:rPr>
        <w:lastRenderedPageBreak/>
        <w:t>Nevertheless, even in METABRIC, Basal-like and Luminal B samples trended along the positive PC1 direction (high MKI67, CCNB1, UBE2C), whereas Luminal A and Normal-like tumors occupied the opposite side (high ESR1, FOXA1, BCL2).</w:t>
      </w:r>
    </w:p>
    <w:p w14:paraId="24ADFD18" w14:textId="77777777" w:rsidR="00081745" w:rsidRPr="00E27E1A" w:rsidRDefault="00081745" w:rsidP="001C42D2">
      <w:pPr>
        <w:pStyle w:val="Corpodetexto"/>
        <w:spacing w:before="0" w:after="0" w:line="480" w:lineRule="auto"/>
        <w:rPr>
          <w:rFonts w:ascii="Times New Roman" w:hAnsi="Times New Roman" w:cs="Times New Roman"/>
          <w:bCs/>
          <w:lang w:val="en-US"/>
        </w:rPr>
      </w:pPr>
      <w:r w:rsidRPr="00E27E1A">
        <w:rPr>
          <w:rFonts w:ascii="Times New Roman" w:hAnsi="Times New Roman" w:cs="Times New Roman"/>
          <w:bCs/>
          <w:lang w:val="en-US"/>
        </w:rPr>
        <w:t>As shown in Figure 7, PC1–PC2 plots for representative cohorts illustrate consistent spatial segregation of Basal and Luminal tumors across datasets, with HER2-enriched and Normal-like samples occupying intermediate or diffuse regions.</w:t>
      </w:r>
      <w:r w:rsidRPr="00E27E1A">
        <w:rPr>
          <w:rFonts w:ascii="Times New Roman" w:hAnsi="Times New Roman" w:cs="Times New Roman"/>
          <w:bCs/>
          <w:lang w:val="en-US"/>
        </w:rPr>
        <w:br/>
        <w:t xml:space="preserve">Together with the subtype classification and correlation analyses, these findings demonstrate that the 40-gene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panel (</w:t>
      </w:r>
      <w:proofErr w:type="spellStart"/>
      <w:r w:rsidRPr="00E27E1A">
        <w:rPr>
          <w:rFonts w:ascii="Times New Roman" w:hAnsi="Times New Roman" w:cs="Times New Roman"/>
          <w:bCs/>
          <w:lang w:val="en-US"/>
        </w:rPr>
        <w:t>i</w:t>
      </w:r>
      <w:proofErr w:type="spellEnd"/>
      <w:r w:rsidRPr="00E27E1A">
        <w:rPr>
          <w:rFonts w:ascii="Times New Roman" w:hAnsi="Times New Roman" w:cs="Times New Roman"/>
          <w:bCs/>
          <w:lang w:val="en-US"/>
        </w:rPr>
        <w:t>) faithfully reproduces intrinsic subtype assignments, (ii) yields cohort-specific subtype distributions aligned with known clinical and technical contexts, and (iii) preserves the canonical transcriptional geometry of breast cancer subtypes across platforms—confirming that the reduced gene set retains the full molecular taxonomy of the original PAM50.</w:t>
      </w:r>
    </w:p>
    <w:p w14:paraId="648376C2" w14:textId="2E2E5458" w:rsidR="003C6DD7" w:rsidRPr="00E27E1A" w:rsidRDefault="003C6DD7"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[Figure 7 placeholder]</w:t>
      </w:r>
    </w:p>
    <w:p w14:paraId="001A6767" w14:textId="77777777" w:rsidR="002F3B50" w:rsidRPr="00E27E1A" w:rsidRDefault="00000000" w:rsidP="001C42D2">
      <w:pPr>
        <w:pStyle w:val="Ttulo1"/>
        <w:jc w:val="left"/>
      </w:pPr>
      <w:bookmarkStart w:id="15" w:name="discussion"/>
      <w:bookmarkEnd w:id="9"/>
      <w:bookmarkEnd w:id="13"/>
      <w:r w:rsidRPr="00E27E1A">
        <w:t>Discussion</w:t>
      </w:r>
    </w:p>
    <w:p w14:paraId="0FFD8EF2" w14:textId="77777777" w:rsidR="002F3B50" w:rsidRPr="00E27E1A" w:rsidRDefault="00000000" w:rsidP="001C42D2">
      <w:pPr>
        <w:pStyle w:val="FirstParagraph"/>
        <w:spacing w:before="0" w:after="0" w:line="480" w:lineRule="auto"/>
        <w:rPr>
          <w:rFonts w:ascii="Times New Roman" w:hAnsi="Times New Roman" w:cs="Times New Roman"/>
          <w:bCs/>
        </w:rPr>
      </w:pPr>
      <w:r w:rsidRPr="00E27E1A">
        <w:rPr>
          <w:rFonts w:ascii="Times New Roman" w:hAnsi="Times New Roman" w:cs="Times New Roman"/>
          <w:bCs/>
        </w:rPr>
        <w:t xml:space="preserve">Cross-platform robustness and reproducibility: This study demonstrates that a carefully harmonized 40-gene subset of the PAM50 signature can yield a prognostic model that generalizes across different genomic technologies. We achieved a unified analysis of four large cohorts (over 6,800 samples) spanning two microarray platforms and RNA-seq, something that is often impeded by batch effects and annotation discrepancies [15]. A cornerstone of our approach was enforcing consistent gene nomenclature (up-to-date HGNC symbols) and standardized within-cohort normalization, which eliminated many technical biases. The outcome was a cross-platform model whose signal was largely platform-independent: we observed highly correlated subtype centroids across cohorts (r ~0.9) and comparable prognostic performance metrics in validation. In </w:t>
      </w:r>
      <w:r w:rsidRPr="00E27E1A">
        <w:rPr>
          <w:rFonts w:ascii="Times New Roman" w:hAnsi="Times New Roman" w:cs="Times New Roman"/>
          <w:bCs/>
        </w:rPr>
        <w:lastRenderedPageBreak/>
        <w:t xml:space="preserve">contrast, using un-harmonized data would likely have failed – even identical gene signatures can perform poorly when applied to raw data from another platform due to calibration drift or missing genes. By solving those issues upfront, the core-PAM50 preserves the “common denominator” of the expression patterns. In practice, this means a researcher or clinician could apply our 40-gene model to a tumor profiled by microarray or by RNA-seq (or potentially even by qPCR or </w:t>
      </w:r>
      <w:proofErr w:type="spellStart"/>
      <w:r w:rsidRPr="00E27E1A">
        <w:rPr>
          <w:rFonts w:ascii="Times New Roman" w:hAnsi="Times New Roman" w:cs="Times New Roman"/>
          <w:bCs/>
        </w:rPr>
        <w:t>NanoString</w:t>
      </w:r>
      <w:proofErr w:type="spellEnd"/>
      <w:r w:rsidRPr="00E27E1A">
        <w:rPr>
          <w:rFonts w:ascii="Times New Roman" w:hAnsi="Times New Roman" w:cs="Times New Roman"/>
          <w:bCs/>
        </w:rPr>
        <w:t>) and expect a similar risk stratification. This kind of platform-agnostic assay is a step toward universally available genomic tests.</w:t>
      </w:r>
    </w:p>
    <w:p w14:paraId="0D619A0F" w14:textId="77777777" w:rsidR="002F3B50" w:rsidRPr="00E27E1A" w:rsidRDefault="00000000" w:rsidP="001C42D2">
      <w:pPr>
        <w:pStyle w:val="Corpodetexto"/>
        <w:spacing w:before="0" w:after="0" w:line="480" w:lineRule="auto"/>
        <w:rPr>
          <w:rFonts w:ascii="Times New Roman" w:hAnsi="Times New Roman" w:cs="Times New Roman"/>
          <w:bCs/>
        </w:rPr>
      </w:pPr>
      <w:bookmarkStart w:id="16" w:name="_Hlk212021633"/>
      <w:r w:rsidRPr="00E27E1A">
        <w:rPr>
          <w:rFonts w:ascii="Times New Roman" w:hAnsi="Times New Roman" w:cs="Times New Roman"/>
          <w:bCs/>
        </w:rPr>
        <w:t xml:space="preserve">Cohort differences and validation context: The disparate validation results in TCGA and GSE25066 highlight the importance of clinical context in evaluating prognostic models. TCGA patients had predominantly good outcomes at the available follow-up (many Luminal A tumors, treated with modern therapy, and censored alive within 5 years) – a scenario where demonstrating risk discrimination is inherently difficult. The model’s lack of significant separation in TCGA does not necessarily indicate a failure of the gene signature; rather, it reflects a low event rate and limited follow-up window. In a real-world sense, applying a prognostic model to an indolent population will yield attenuated performance even if the model is valid. By contrast, GSE25066, enriched for aggressive tumors (mostly Basal-like, high-grade disease) and observing many relapse events, displayed a strong risk stratification. Notably, the GSE25066 endpoint was relapse-free survival after neoadjuvant chemotherapy, which might amplify differences: patients with highly proliferative tumors remained at risk despite chemotherapy, whereas those with low-risk luminal biology fared better. These differences emphasize that prognostic effect sizes are context-dependent. A single model might appear to “work” better in one cohort than another not due to any flaw in the model, but because of differences in follow-up duration, treatment, and baseline risk. Our pooled analysis suggested that, on average, the core-PAM50 retained significant prognostic value externally (combined HR ~1.5 for high vs low risk). Still, a cautious </w:t>
      </w:r>
      <w:r w:rsidRPr="00E27E1A">
        <w:rPr>
          <w:rFonts w:ascii="Times New Roman" w:hAnsi="Times New Roman" w:cs="Times New Roman"/>
          <w:bCs/>
        </w:rPr>
        <w:lastRenderedPageBreak/>
        <w:t>approach is to tailor expectations of model performance to the scenario – for instance, one would not expect a dramatic split in a low-event-rate population.</w:t>
      </w:r>
    </w:p>
    <w:p w14:paraId="745FDF82" w14:textId="77777777" w:rsidR="002F3B50" w:rsidRPr="00E27E1A" w:rsidRDefault="00000000" w:rsidP="001C42D2">
      <w:pPr>
        <w:pStyle w:val="Corpodetexto"/>
        <w:spacing w:before="0" w:after="0" w:line="480" w:lineRule="auto"/>
        <w:rPr>
          <w:rFonts w:ascii="Times New Roman" w:hAnsi="Times New Roman" w:cs="Times New Roman"/>
          <w:bCs/>
        </w:rPr>
      </w:pPr>
      <w:bookmarkStart w:id="17" w:name="_Hlk212021758"/>
      <w:bookmarkEnd w:id="16"/>
      <w:r w:rsidRPr="00E27E1A">
        <w:rPr>
          <w:rFonts w:ascii="Times New Roman" w:hAnsi="Times New Roman" w:cs="Times New Roman"/>
          <w:bCs/>
        </w:rPr>
        <w:t>Comparison with existing signatures: The core-PAM50 model’s performance falls in the same range as established breast cancer gene signatures. In METABRIC, we achieved a training C-index of ~0.58, and in external validation (GSE25066) a time-dependent AUC ~0.60–0.63 at 5 years. This is comparable to reported values for PAM50’s Risk-Of-Recurrence (ROR) score and other assays: for example, Oncotype DX (21-gene Recurrence Score) typically yields C-index ~0.6 in ER-positive cohorts, and MammaPrint (70-gene signature) around 0.62–0.65, with improvements to ~0.70 when clinical factors like tumor size or nodal status are added [6]. Our results mirror those benchmarks. Importantly, we did not include standard clinical variables in our model to isolate the gene signature’s performance and maximize generalizability across cohorts (since detailed clinical covariates were not uniformly available for all datasets). In practice, an integrated model that combines core-PAM50 with tumor stage, grade, etc., would likely boost predictive accuracy (prior studies have shown gene signatures + clinical factors can raise C-index by ~0.05–0.1 [6]). However, our focus was to create a purely molecular metric that could be retrospectively evaluated in any transcriptomic dataset. The trade-off is a moderate discriminative power on its own (~0.6 C-index), but that is an inherent limitation of gene-only prognostic indices and consistent with the performance of much costlier assays. Given its transparency and portability, the core-PAM50’s prognostic ability is quite encouraging.</w:t>
      </w:r>
    </w:p>
    <w:bookmarkEnd w:id="17"/>
    <w:p w14:paraId="1D0E7B1E"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Continuous risk vs subtype categories: A noteworthy feature of our model is that it produces a continuous risk score, even though it derives from subtype-related genes. This numeric risk has advantages in clinical decision-making – it preserves more information than coarse subtype labels and can be translated to absolute risk probabilities. Clinicians often prefer simple categories (e.g. “low risk” or “high risk”), but those can be obtained by setting thresholds on the continuous score </w:t>
      </w:r>
      <w:r w:rsidRPr="00E27E1A">
        <w:rPr>
          <w:rFonts w:ascii="Times New Roman" w:hAnsi="Times New Roman" w:cs="Times New Roman"/>
          <w:bCs/>
        </w:rPr>
        <w:lastRenderedPageBreak/>
        <w:t>as needed. In fact, flexibility in thresholding is a strength: different cutoff values could be chosen depending on the clinical scenario (for example, a higher risk threshold for recommending chemotherapy in lower-stage disease, and a lower threshold for deciding on extended endocrine therapy). Our analysis showed that dichotomizing the score into tertiles provided a meaningful stratification; other cut-points could be calibrated to specific interventions. The underlying continuous nature also means the model can be used in multifactorial risk calculations (e.g. combining with clinical nomograms) without losing granularity.</w:t>
      </w:r>
    </w:p>
    <w:p w14:paraId="4F95E160"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Technical considerations – Normal-like subtype and assay quality: One unexpected result was the extremely high rate of Normal-like classifications in METABRIC. This likely reflects issues of tumor purity or assay quality in that older dataset – samples with low tumor cellularity or RNA degradation tend to exhibit expression profiles that resemble normal breast tissue, thus getting labeled “Normal-like” by the algorithm. This is a known phenomenon [16]. In our study, those Normal-like METABRIC cases were essentially equivalent to indolent Luminal A tumors (they had low proliferation and excellent survival), so the prognostic model wasn’t adversely affected (it correctly assigned them low risk). However, it raises a practical point: if an assay yields a subtype call of Normal-like in a context where that is unexpected, it could indicate a technical issue (e.g. a largely stromal sample). Future development of the core-PAM50 test could incorporate a quality flag – for instance, if no subtype correlation exceeds a low threshold, reporting the result as “unclassified, possibly low tumor content” might be prudent. In our data, only 3 samples met such a criterion (essentially no signal), but dozens of METABRIC tumors had moderate correlations to multiple centroids and ended up as Normal-like. In a prospective setting, one might consider those as </w:t>
      </w:r>
      <w:r w:rsidRPr="00E27E1A">
        <w:rPr>
          <w:rFonts w:ascii="Times New Roman" w:hAnsi="Times New Roman" w:cs="Times New Roman"/>
          <w:bCs/>
          <w:i/>
          <w:iCs/>
        </w:rPr>
        <w:t>Luminal A</w:t>
      </w:r>
      <w:r w:rsidRPr="00E27E1A">
        <w:rPr>
          <w:rFonts w:ascii="Times New Roman" w:hAnsi="Times New Roman" w:cs="Times New Roman"/>
          <w:bCs/>
        </w:rPr>
        <w:t xml:space="preserve"> for practical purposes or require a pathology review. We handled this by acknowledging the bias rather than forcing a reclassification, but it is an area for further refinement (e.g. developing a pre-test tumor purity assessment).</w:t>
      </w:r>
    </w:p>
    <w:p w14:paraId="43F3F18C"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lastRenderedPageBreak/>
        <w:t xml:space="preserve">Another technical consideration is the absence of immune genes in the core-PAM50. Recent research highlights immune infiltration (tumor-infiltrating lymphocytes and related gene signatures) as an important prognostic factor, especially in triple-negative (Basal-like) breast cancers [9]. The PAM50 focuses on tumor-intrinsic genes and includes few direct immune markers. By trimming to 40 genes, we may have excluded some genes that, while not core to subtype classification, could carry immune/prognostic information (for instance, if any of the dropped PAM50 genes had immune relevance, though most were basal </w:t>
      </w:r>
      <w:proofErr w:type="spellStart"/>
      <w:r w:rsidRPr="00E27E1A">
        <w:rPr>
          <w:rFonts w:ascii="Times New Roman" w:hAnsi="Times New Roman" w:cs="Times New Roman"/>
          <w:bCs/>
        </w:rPr>
        <w:t>cytokeratins</w:t>
      </w:r>
      <w:proofErr w:type="spellEnd"/>
      <w:r w:rsidRPr="00E27E1A">
        <w:rPr>
          <w:rFonts w:ascii="Times New Roman" w:hAnsi="Times New Roman" w:cs="Times New Roman"/>
          <w:bCs/>
        </w:rPr>
        <w:t xml:space="preserve"> or lesser-expressed genes). Augmenting the core-PAM50 with an immune module could potentially improve prognostic power for certain patients. Indeed, one could envision a combined model that adds a TILs gene score to better stratify high-risk basal tumors. That said, adding genes would sacrifice some simplicity and the guarantee of cross-platform detectability. Our aim was a lean panel that is broadly applicable; additional features could be explored in future work, but the benefit would need to justify the complexity.</w:t>
      </w:r>
    </w:p>
    <w:p w14:paraId="00866141" w14:textId="77777777" w:rsidR="002F3B50" w:rsidRPr="00E27E1A" w:rsidRDefault="00000000" w:rsidP="001C42D2">
      <w:pPr>
        <w:pStyle w:val="Corpodetexto"/>
        <w:spacing w:before="0" w:after="0" w:line="480" w:lineRule="auto"/>
        <w:rPr>
          <w:rFonts w:ascii="Times New Roman" w:hAnsi="Times New Roman" w:cs="Times New Roman"/>
          <w:bCs/>
        </w:rPr>
      </w:pPr>
      <w:bookmarkStart w:id="18" w:name="_Hlk212022679"/>
      <w:r w:rsidRPr="00E27E1A">
        <w:rPr>
          <w:rFonts w:ascii="Times New Roman" w:hAnsi="Times New Roman" w:cs="Times New Roman"/>
          <w:bCs/>
        </w:rPr>
        <w:t xml:space="preserve">Clinical implications and future directions: We have shown that the core-PAM50 model encapsulates the essence of the intrinsic subtype system and provides a continuous risk metric that is validated across diverse cohorts. The emphasis of this work is on reproducibility and transparency. All data preprocessing and modeling steps were documented and adhere to reproducible research principles, which is often not the case for commercial assays. This means others can audit, reuse, or adapt our pipeline – an important advantage in the era of open science and evolving genomic data. We envision several practical applications and extensions of this model. First, it can be used retrospectively on existing gene expression datasets (from clinical trials or real-world cohorts) to generate a standardized risk score, facilitating meta-analyses or comparisons across studies. Second, it provides a template for laboratories to implement a cost-effective prognostic assay: since it uses only 40 genes and straightforward calculations, it could </w:t>
      </w:r>
      <w:r w:rsidRPr="00E27E1A">
        <w:rPr>
          <w:rFonts w:ascii="Times New Roman" w:hAnsi="Times New Roman" w:cs="Times New Roman"/>
          <w:bCs/>
        </w:rPr>
        <w:lastRenderedPageBreak/>
        <w:t>be deployed on platforms like quantitative PCR or targeted RNA-seq with relative ease, potentially expanding access in resource-limited settings. Third, prospective validation in a clinical trial would be valuable – for example, testing whether this model can identify patients who benefit from certain therapies (e.g. need for chemotherapy in what would otherwise be an intermediate clinical risk group). The model’s performance for late relapse (beyond 5 years) in ER+ disease is another area to investigate; our data hinted that core-PAM50 retains prognostic information up to 10 years (similar to PAM50 ROR which differentiates Luminal A vs B long-term [8]), but specialized assays like Breast Cancer Index target that scenario and could be compared.</w:t>
      </w:r>
    </w:p>
    <w:p w14:paraId="3E4DA27A"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In a broader sense, our study exemplifies how reducing a complex genomic signature to its most robust elements, combined with rigorous data harmonization, can enhance real-world applicability. We effectively bridge the gap between large-scale “discovery” datasets and a clinical-grade test. The core-PAM50 model achieved a similar prognostic performance to more cumbersome signatures, while using ~30% fewer genes and being openly reproducible. This parsimony can translate to lower costs, simpler assay design, and fewer regulatory hurdles (as there are fewer biomarkers to validate). Moreover, by avoiding platform-specific artifacts, it increases confidence that results from different hospitals or studies can be directly compared.</w:t>
      </w:r>
    </w:p>
    <w:p w14:paraId="435EEE13" w14:textId="77777777" w:rsidR="002F3B50" w:rsidRPr="00E27E1A" w:rsidRDefault="00000000" w:rsidP="001C42D2">
      <w:pPr>
        <w:pStyle w:val="Ttulo1"/>
        <w:jc w:val="left"/>
      </w:pPr>
      <w:bookmarkStart w:id="19" w:name="conclusion"/>
      <w:bookmarkEnd w:id="15"/>
      <w:bookmarkEnd w:id="18"/>
      <w:r w:rsidRPr="00E27E1A">
        <w:t>Conclusion</w:t>
      </w:r>
    </w:p>
    <w:p w14:paraId="2BE02658" w14:textId="77777777" w:rsidR="002F3B50" w:rsidRPr="00E27E1A" w:rsidRDefault="00000000" w:rsidP="001C42D2">
      <w:pPr>
        <w:pStyle w:val="FirstParagraph"/>
        <w:spacing w:before="0" w:after="0" w:line="480" w:lineRule="auto"/>
        <w:rPr>
          <w:rFonts w:ascii="Times New Roman" w:hAnsi="Times New Roman" w:cs="Times New Roman"/>
          <w:bCs/>
        </w:rPr>
      </w:pPr>
      <w:bookmarkStart w:id="20" w:name="_Hlk212022774"/>
      <w:r w:rsidRPr="00E27E1A">
        <w:rPr>
          <w:rFonts w:ascii="Times New Roman" w:hAnsi="Times New Roman" w:cs="Times New Roman"/>
          <w:bCs/>
        </w:rPr>
        <w:t xml:space="preserve">In conclusion, we developed a reduced 40-gene PAM50-derived signature and demonstrated its technical and prognostic performance across multiple breast cancer cohorts and genomic platforms. The core-PAM50 model retains the essential biological signal of the intrinsic subtypes and provides a continuous risk score that is validated in independent microarray and RNA-seq </w:t>
      </w:r>
      <w:r w:rsidRPr="00E27E1A">
        <w:rPr>
          <w:rFonts w:ascii="Times New Roman" w:hAnsi="Times New Roman" w:cs="Times New Roman"/>
          <w:bCs/>
        </w:rPr>
        <w:lastRenderedPageBreak/>
        <w:t>datasets. Emphasizing reproducibility and transparency, we implemented a fully documented analysis pipeline, ensuring that results can be audited and reproduced by other researchers. This reproducible framework adds significant value compared to many proprietary tests, as it adheres to FAIR data principles and modern reporting standards [25].</w:t>
      </w:r>
    </w:p>
    <w:p w14:paraId="512BD6D5"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The core-PAM50 panel offers a practical path toward a cost-effective, high-stability genomic assay for breast cancer prognosis. With roughly one-third fewer genes than the canonical PAM50 and avoidance of platform-specific pitfalls, it can reduce experimental complexity and validation burden by ~30–40% while maintaining prognostic accuracy. Our multi-cohort validation supports its potential generalizability: risk stratification was consistent in principle across diverse cohorts, and the molecular subtyping remained intact. Moving forward, integration of the core-PAM50 model into clinical research is warranted. For instance, it could be prospectively tested in translational trials or applied to re-analyze archived trial samples to glean additional prognostic insights. Further refinements, such as incorporating complementary features (immune markers or clinical covariates) and addressing classification nuances (e.g. the Normal-like issue), may enhance the model’s utility, but even in its present form the evidence strongly supports its robustness and clinical relevance.</w:t>
      </w:r>
    </w:p>
    <w:p w14:paraId="19DD938E" w14:textId="77777777"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Ultimately, the core-PAM50 signature represents a parsimonious yet biologically informed prognostic tool that brings large-scale genomic knowledge closer to routine clinical practice. It preserves the rich information content of the PAM50 intrinsic subtypes – a taxonomy deeply ingrained in breast cancer biology – and repackages it into a lean, reproducible assay framework suitable for global oncology use. With further validation, this model could help optimize personalized prognostication and therapy decisions while simplifying the technology required, thereby making genomic risk assessment more accessible to patients worldwide.</w:t>
      </w:r>
    </w:p>
    <w:p w14:paraId="647270D2" w14:textId="09263365" w:rsidR="002F3B50" w:rsidRPr="00E27E1A" w:rsidRDefault="005D2BD0" w:rsidP="001C42D2">
      <w:pPr>
        <w:pStyle w:val="Ttulo1"/>
        <w:jc w:val="left"/>
      </w:pPr>
      <w:bookmarkStart w:id="21" w:name="declarations"/>
      <w:bookmarkEnd w:id="19"/>
      <w:bookmarkEnd w:id="20"/>
      <w:proofErr w:type="spellStart"/>
      <w:r w:rsidRPr="00E27E1A">
        <w:lastRenderedPageBreak/>
        <w:t>Aditional</w:t>
      </w:r>
      <w:proofErr w:type="spellEnd"/>
      <w:r w:rsidRPr="00E27E1A">
        <w:t xml:space="preserve"> Sections</w:t>
      </w:r>
    </w:p>
    <w:p w14:paraId="74411DEF" w14:textId="290749A7" w:rsidR="00F55686" w:rsidRPr="00E27E1A" w:rsidRDefault="00F55686" w:rsidP="001C42D2">
      <w:pPr>
        <w:pStyle w:val="Subttulo"/>
      </w:pPr>
      <w:r w:rsidRPr="00E27E1A">
        <w:t>List of abbreviations</w:t>
      </w:r>
    </w:p>
    <w:p w14:paraId="745DF5DB" w14:textId="77777777" w:rsidR="0084525E" w:rsidRPr="0084525E" w:rsidRDefault="0084525E" w:rsidP="001C42D2">
      <w:pPr>
        <w:pStyle w:val="Corpodetexto"/>
        <w:spacing w:line="480" w:lineRule="auto"/>
        <w:rPr>
          <w:rFonts w:ascii="Times New Roman" w:hAnsi="Times New Roman" w:cs="Times New Roman"/>
          <w:bCs/>
          <w:lang w:val="en-US"/>
        </w:rPr>
      </w:pPr>
      <w:r w:rsidRPr="0084525E">
        <w:rPr>
          <w:rFonts w:ascii="Times New Roman" w:hAnsi="Times New Roman" w:cs="Times New Roman"/>
          <w:bCs/>
          <w:lang w:val="en-US"/>
        </w:rPr>
        <w:t>AUC – Area under the curve</w:t>
      </w:r>
      <w:r w:rsidRPr="0084525E">
        <w:rPr>
          <w:rFonts w:ascii="Times New Roman" w:hAnsi="Times New Roman" w:cs="Times New Roman"/>
          <w:bCs/>
          <w:lang w:val="en-US"/>
        </w:rPr>
        <w:br/>
        <w:t>BC – Breast cancer</w:t>
      </w:r>
      <w:r w:rsidRPr="0084525E">
        <w:rPr>
          <w:rFonts w:ascii="Times New Roman" w:hAnsi="Times New Roman" w:cs="Times New Roman"/>
          <w:bCs/>
          <w:lang w:val="en-US"/>
        </w:rPr>
        <w:br/>
        <w:t>CI – Confidence interval</w:t>
      </w:r>
      <w:r w:rsidRPr="0084525E">
        <w:rPr>
          <w:rFonts w:ascii="Times New Roman" w:hAnsi="Times New Roman" w:cs="Times New Roman"/>
          <w:bCs/>
          <w:lang w:val="en-US"/>
        </w:rPr>
        <w:br/>
        <w:t>CV – Cross-validation</w:t>
      </w:r>
      <w:r w:rsidRPr="0084525E">
        <w:rPr>
          <w:rFonts w:ascii="Times New Roman" w:hAnsi="Times New Roman" w:cs="Times New Roman"/>
          <w:bCs/>
          <w:lang w:val="en-US"/>
        </w:rPr>
        <w:br/>
        <w:t>DCA – Decision curve analysis</w:t>
      </w:r>
      <w:r w:rsidRPr="0084525E">
        <w:rPr>
          <w:rFonts w:ascii="Times New Roman" w:hAnsi="Times New Roman" w:cs="Times New Roman"/>
          <w:bCs/>
          <w:lang w:val="en-US"/>
        </w:rPr>
        <w:br/>
        <w:t>DRFS – Disease-free recurrence/death-free survival</w:t>
      </w:r>
      <w:r w:rsidRPr="0084525E">
        <w:rPr>
          <w:rFonts w:ascii="Times New Roman" w:hAnsi="Times New Roman" w:cs="Times New Roman"/>
          <w:bCs/>
          <w:lang w:val="en-US"/>
        </w:rPr>
        <w:br/>
        <w:t>ER – Estrogen receptor</w:t>
      </w:r>
      <w:r w:rsidRPr="0084525E">
        <w:rPr>
          <w:rFonts w:ascii="Times New Roman" w:hAnsi="Times New Roman" w:cs="Times New Roman"/>
          <w:bCs/>
          <w:lang w:val="en-US"/>
        </w:rPr>
        <w:br/>
        <w:t>FFPE – Formalin-fixed paraffin-embedded</w:t>
      </w:r>
      <w:r w:rsidRPr="0084525E">
        <w:rPr>
          <w:rFonts w:ascii="Times New Roman" w:hAnsi="Times New Roman" w:cs="Times New Roman"/>
          <w:bCs/>
          <w:lang w:val="en-US"/>
        </w:rPr>
        <w:br/>
        <w:t>GEO – Gene Expression Omnibus</w:t>
      </w:r>
      <w:r w:rsidRPr="0084525E">
        <w:rPr>
          <w:rFonts w:ascii="Times New Roman" w:hAnsi="Times New Roman" w:cs="Times New Roman"/>
          <w:bCs/>
          <w:lang w:val="en-US"/>
        </w:rPr>
        <w:br/>
        <w:t>GSE – Gene Expression Series</w:t>
      </w:r>
      <w:r w:rsidRPr="0084525E">
        <w:rPr>
          <w:rFonts w:ascii="Times New Roman" w:hAnsi="Times New Roman" w:cs="Times New Roman"/>
          <w:bCs/>
          <w:lang w:val="en-US"/>
        </w:rPr>
        <w:br/>
        <w:t>HGNC – HUGO Gene Nomenclature Committee</w:t>
      </w:r>
      <w:r w:rsidRPr="0084525E">
        <w:rPr>
          <w:rFonts w:ascii="Times New Roman" w:hAnsi="Times New Roman" w:cs="Times New Roman"/>
          <w:bCs/>
          <w:lang w:val="en-US"/>
        </w:rPr>
        <w:br/>
        <w:t>HER2 – Human epidermal growth factor receptor 2</w:t>
      </w:r>
      <w:r w:rsidRPr="0084525E">
        <w:rPr>
          <w:rFonts w:ascii="Times New Roman" w:hAnsi="Times New Roman" w:cs="Times New Roman"/>
          <w:bCs/>
          <w:lang w:val="en-US"/>
        </w:rPr>
        <w:br/>
        <w:t>HR – Hazard ratio</w:t>
      </w:r>
      <w:r w:rsidRPr="0084525E">
        <w:rPr>
          <w:rFonts w:ascii="Times New Roman" w:hAnsi="Times New Roman" w:cs="Times New Roman"/>
          <w:bCs/>
          <w:lang w:val="en-US"/>
        </w:rPr>
        <w:br/>
        <w:t>ID – Identifier</w:t>
      </w:r>
      <w:r w:rsidRPr="0084525E">
        <w:rPr>
          <w:rFonts w:ascii="Times New Roman" w:hAnsi="Times New Roman" w:cs="Times New Roman"/>
          <w:bCs/>
          <w:lang w:val="en-US"/>
        </w:rPr>
        <w:br/>
        <w:t>IHC – Immunohistochemistry</w:t>
      </w:r>
      <w:r w:rsidRPr="0084525E">
        <w:rPr>
          <w:rFonts w:ascii="Times New Roman" w:hAnsi="Times New Roman" w:cs="Times New Roman"/>
          <w:bCs/>
          <w:lang w:val="en-US"/>
        </w:rPr>
        <w:br/>
        <w:t>KM – Kaplan–Meier</w:t>
      </w:r>
      <w:r w:rsidRPr="0084525E">
        <w:rPr>
          <w:rFonts w:ascii="Times New Roman" w:hAnsi="Times New Roman" w:cs="Times New Roman"/>
          <w:bCs/>
          <w:lang w:val="en-US"/>
        </w:rPr>
        <w:br/>
        <w:t>LASSO – Least absolute shrinkage and selection operator</w:t>
      </w:r>
      <w:r w:rsidRPr="0084525E">
        <w:rPr>
          <w:rFonts w:ascii="Times New Roman" w:hAnsi="Times New Roman" w:cs="Times New Roman"/>
          <w:bCs/>
          <w:lang w:val="en-US"/>
        </w:rPr>
        <w:br/>
        <w:t>MD5 – Message Digest 5 (cryptographic hash function)</w:t>
      </w:r>
      <w:r w:rsidRPr="0084525E">
        <w:rPr>
          <w:rFonts w:ascii="Times New Roman" w:hAnsi="Times New Roman" w:cs="Times New Roman"/>
          <w:bCs/>
          <w:lang w:val="en-US"/>
        </w:rPr>
        <w:br/>
        <w:t>METABRIC – Molecular Taxonomy of Breast Cancer International Consortium</w:t>
      </w:r>
      <w:r w:rsidRPr="0084525E">
        <w:rPr>
          <w:rFonts w:ascii="Times New Roman" w:hAnsi="Times New Roman" w:cs="Times New Roman"/>
          <w:bCs/>
          <w:lang w:val="en-US"/>
        </w:rPr>
        <w:br/>
        <w:t>mRNA – Messenger RNA</w:t>
      </w:r>
      <w:r w:rsidRPr="0084525E">
        <w:rPr>
          <w:rFonts w:ascii="Times New Roman" w:hAnsi="Times New Roman" w:cs="Times New Roman"/>
          <w:bCs/>
          <w:lang w:val="en-US"/>
        </w:rPr>
        <w:br/>
        <w:t>OS – Overall survival</w:t>
      </w:r>
      <w:r w:rsidRPr="0084525E">
        <w:rPr>
          <w:rFonts w:ascii="Times New Roman" w:hAnsi="Times New Roman" w:cs="Times New Roman"/>
          <w:bCs/>
          <w:lang w:val="en-US"/>
        </w:rPr>
        <w:br/>
      </w:r>
      <w:r w:rsidRPr="0084525E">
        <w:rPr>
          <w:rFonts w:ascii="Times New Roman" w:hAnsi="Times New Roman" w:cs="Times New Roman"/>
          <w:bCs/>
          <w:lang w:val="en-US"/>
        </w:rPr>
        <w:lastRenderedPageBreak/>
        <w:t>PAM50 – Prediction Analysis of Microarray 50</w:t>
      </w:r>
      <w:r w:rsidRPr="0084525E">
        <w:rPr>
          <w:rFonts w:ascii="Times New Roman" w:hAnsi="Times New Roman" w:cs="Times New Roman"/>
          <w:bCs/>
          <w:lang w:val="en-US"/>
        </w:rPr>
        <w:br/>
        <w:t>PCA – Principal component analysis</w:t>
      </w:r>
      <w:r w:rsidRPr="0084525E">
        <w:rPr>
          <w:rFonts w:ascii="Times New Roman" w:hAnsi="Times New Roman" w:cs="Times New Roman"/>
          <w:bCs/>
          <w:lang w:val="en-US"/>
        </w:rPr>
        <w:br/>
        <w:t>PR – Progesterone receptor</w:t>
      </w:r>
      <w:r w:rsidRPr="0084525E">
        <w:rPr>
          <w:rFonts w:ascii="Times New Roman" w:hAnsi="Times New Roman" w:cs="Times New Roman"/>
          <w:bCs/>
          <w:lang w:val="en-US"/>
        </w:rPr>
        <w:br/>
        <w:t>QC – Quality control</w:t>
      </w:r>
      <w:r w:rsidRPr="0084525E">
        <w:rPr>
          <w:rFonts w:ascii="Times New Roman" w:hAnsi="Times New Roman" w:cs="Times New Roman"/>
          <w:bCs/>
          <w:lang w:val="en-US"/>
        </w:rPr>
        <w:br/>
        <w:t>RNA-seq – RNA sequencing</w:t>
      </w:r>
      <w:r w:rsidRPr="0084525E">
        <w:rPr>
          <w:rFonts w:ascii="Times New Roman" w:hAnsi="Times New Roman" w:cs="Times New Roman"/>
          <w:bCs/>
          <w:lang w:val="en-US"/>
        </w:rPr>
        <w:br/>
        <w:t>RSF – Random survival forest</w:t>
      </w:r>
      <w:r w:rsidRPr="0084525E">
        <w:rPr>
          <w:rFonts w:ascii="Times New Roman" w:hAnsi="Times New Roman" w:cs="Times New Roman"/>
          <w:bCs/>
          <w:lang w:val="en-US"/>
        </w:rPr>
        <w:br/>
        <w:t>ROR – Risk of recurrence</w:t>
      </w:r>
      <w:r w:rsidRPr="0084525E">
        <w:rPr>
          <w:rFonts w:ascii="Times New Roman" w:hAnsi="Times New Roman" w:cs="Times New Roman"/>
          <w:bCs/>
          <w:lang w:val="en-US"/>
        </w:rPr>
        <w:br/>
        <w:t>SD – Standard deviation</w:t>
      </w:r>
      <w:r w:rsidRPr="0084525E">
        <w:rPr>
          <w:rFonts w:ascii="Times New Roman" w:hAnsi="Times New Roman" w:cs="Times New Roman"/>
          <w:bCs/>
          <w:lang w:val="en-US"/>
        </w:rPr>
        <w:br/>
        <w:t>SE – Standard error</w:t>
      </w:r>
      <w:r w:rsidRPr="0084525E">
        <w:rPr>
          <w:rFonts w:ascii="Times New Roman" w:hAnsi="Times New Roman" w:cs="Times New Roman"/>
          <w:bCs/>
          <w:lang w:val="en-US"/>
        </w:rPr>
        <w:br/>
        <w:t>TCGA – The Cancer Genome Atlas</w:t>
      </w:r>
      <w:r w:rsidRPr="0084525E">
        <w:rPr>
          <w:rFonts w:ascii="Times New Roman" w:hAnsi="Times New Roman" w:cs="Times New Roman"/>
          <w:bCs/>
          <w:lang w:val="en-US"/>
        </w:rPr>
        <w:br/>
        <w:t>TRIPOD – Transparent Reporting of a Multivariable Prediction Model for Individual Prognosis or Diagnosis</w:t>
      </w:r>
      <w:r w:rsidRPr="0084525E">
        <w:rPr>
          <w:rFonts w:ascii="Times New Roman" w:hAnsi="Times New Roman" w:cs="Times New Roman"/>
          <w:bCs/>
          <w:lang w:val="en-US"/>
        </w:rPr>
        <w:br/>
        <w:t>VIMP – Variable importance (in Random Survival Forests)</w:t>
      </w:r>
      <w:r w:rsidRPr="0084525E">
        <w:rPr>
          <w:rFonts w:ascii="Times New Roman" w:hAnsi="Times New Roman" w:cs="Times New Roman"/>
          <w:bCs/>
          <w:lang w:val="en-US"/>
        </w:rPr>
        <w:br/>
        <w:t>z-score – Standardized gene expression value (mean 0, SD 1)</w:t>
      </w:r>
    </w:p>
    <w:p w14:paraId="713E582D" w14:textId="287A3B49" w:rsidR="005D2BD0" w:rsidRPr="00E27E1A" w:rsidRDefault="005D2BD0" w:rsidP="001C42D2">
      <w:pPr>
        <w:pStyle w:val="Subttulo"/>
      </w:pPr>
      <w:r w:rsidRPr="00E27E1A">
        <w:t>Declarations</w:t>
      </w:r>
      <w:bookmarkStart w:id="22" w:name="references"/>
      <w:bookmarkEnd w:id="21"/>
    </w:p>
    <w:p w14:paraId="317EFDEB" w14:textId="77777777" w:rsidR="005D2BD0" w:rsidRPr="001C42D2" w:rsidRDefault="001B2168" w:rsidP="001C42D2">
      <w:pPr>
        <w:pStyle w:val="Subttulo"/>
        <w:rPr>
          <w:rFonts w:eastAsiaTheme="minorHAnsi"/>
          <w:b w:val="0"/>
          <w:bCs/>
          <w:sz w:val="24"/>
          <w:szCs w:val="24"/>
        </w:rPr>
      </w:pPr>
      <w:r w:rsidRPr="001C42D2">
        <w:rPr>
          <w:rFonts w:eastAsiaTheme="minorHAnsi"/>
          <w:b w:val="0"/>
          <w:bCs/>
          <w:sz w:val="24"/>
          <w:szCs w:val="24"/>
        </w:rPr>
        <w:t>Ethics approval and consent to participate</w:t>
      </w:r>
      <w:r w:rsidR="00285483" w:rsidRPr="001C42D2">
        <w:rPr>
          <w:rFonts w:eastAsiaTheme="minorHAnsi"/>
          <w:b w:val="0"/>
          <w:bCs/>
          <w:sz w:val="24"/>
          <w:szCs w:val="24"/>
        </w:rPr>
        <w:t>: n</w:t>
      </w:r>
      <w:r w:rsidRPr="001C42D2">
        <w:rPr>
          <w:rFonts w:eastAsiaTheme="minorHAnsi"/>
          <w:b w:val="0"/>
          <w:bCs/>
          <w:sz w:val="24"/>
          <w:szCs w:val="24"/>
        </w:rPr>
        <w:t>ot applicable.</w:t>
      </w:r>
    </w:p>
    <w:p w14:paraId="7F182E1D" w14:textId="77777777" w:rsidR="005D2BD0" w:rsidRPr="001C42D2" w:rsidRDefault="001B2168" w:rsidP="001C42D2">
      <w:pPr>
        <w:pStyle w:val="Subttulo"/>
        <w:rPr>
          <w:rFonts w:eastAsiaTheme="minorHAnsi"/>
          <w:b w:val="0"/>
          <w:bCs/>
          <w:sz w:val="24"/>
          <w:szCs w:val="24"/>
        </w:rPr>
      </w:pPr>
      <w:r w:rsidRPr="001C42D2">
        <w:rPr>
          <w:rFonts w:eastAsiaTheme="minorHAnsi"/>
          <w:b w:val="0"/>
          <w:bCs/>
          <w:sz w:val="24"/>
          <w:szCs w:val="24"/>
        </w:rPr>
        <w:t>Consent for publication</w:t>
      </w:r>
      <w:r w:rsidR="00285483" w:rsidRPr="001C42D2">
        <w:rPr>
          <w:rFonts w:eastAsiaTheme="minorHAnsi"/>
          <w:b w:val="0"/>
          <w:bCs/>
          <w:sz w:val="24"/>
          <w:szCs w:val="24"/>
        </w:rPr>
        <w:t>: n</w:t>
      </w:r>
      <w:r w:rsidRPr="001C42D2">
        <w:rPr>
          <w:rFonts w:eastAsiaTheme="minorHAnsi"/>
          <w:b w:val="0"/>
          <w:bCs/>
          <w:sz w:val="24"/>
          <w:szCs w:val="24"/>
        </w:rPr>
        <w:t>ot applicable.</w:t>
      </w:r>
    </w:p>
    <w:p w14:paraId="0C53A9C2" w14:textId="19A8E2F9" w:rsidR="001B2168" w:rsidRPr="001C42D2" w:rsidRDefault="001B2168" w:rsidP="001C42D2">
      <w:pPr>
        <w:pStyle w:val="Subttulo"/>
        <w:rPr>
          <w:rFonts w:eastAsiaTheme="minorHAnsi"/>
          <w:b w:val="0"/>
          <w:bCs/>
          <w:sz w:val="24"/>
          <w:szCs w:val="24"/>
        </w:rPr>
      </w:pPr>
      <w:r w:rsidRPr="001C42D2">
        <w:rPr>
          <w:rFonts w:eastAsiaTheme="minorHAnsi"/>
          <w:b w:val="0"/>
          <w:bCs/>
          <w:sz w:val="24"/>
          <w:szCs w:val="24"/>
        </w:rPr>
        <w:t>Availability of data and material</w:t>
      </w:r>
      <w:r w:rsidR="00285483" w:rsidRPr="001C42D2">
        <w:rPr>
          <w:rFonts w:eastAsiaTheme="minorHAnsi"/>
          <w:b w:val="0"/>
          <w:bCs/>
          <w:sz w:val="24"/>
          <w:szCs w:val="24"/>
        </w:rPr>
        <w:t>: d</w:t>
      </w:r>
      <w:r w:rsidRPr="001C42D2">
        <w:rPr>
          <w:rFonts w:eastAsiaTheme="minorHAnsi"/>
          <w:b w:val="0"/>
          <w:bCs/>
          <w:sz w:val="24"/>
          <w:szCs w:val="24"/>
        </w:rPr>
        <w:t>ata supporting the results are available upon request to the corresponding author.</w:t>
      </w:r>
    </w:p>
    <w:p w14:paraId="410826FB" w14:textId="7D074DF1" w:rsidR="001B2168" w:rsidRPr="00E27E1A" w:rsidRDefault="001B2168" w:rsidP="001C42D2">
      <w:pPr>
        <w:pStyle w:val="Ttulo2"/>
        <w:spacing w:after="0" w:line="480" w:lineRule="auto"/>
        <w:rPr>
          <w:rFonts w:ascii="Times New Roman" w:eastAsiaTheme="minorHAnsi" w:hAnsi="Times New Roman" w:cs="Times New Roman"/>
          <w:bCs/>
          <w:color w:val="auto"/>
          <w:sz w:val="24"/>
          <w:szCs w:val="24"/>
        </w:rPr>
      </w:pPr>
      <w:r w:rsidRPr="00E27E1A">
        <w:rPr>
          <w:rFonts w:ascii="Times New Roman" w:eastAsiaTheme="minorHAnsi" w:hAnsi="Times New Roman" w:cs="Times New Roman"/>
          <w:bCs/>
          <w:color w:val="auto"/>
          <w:sz w:val="24"/>
          <w:szCs w:val="24"/>
        </w:rPr>
        <w:lastRenderedPageBreak/>
        <w:t>Competing interests</w:t>
      </w:r>
      <w:r w:rsidR="00285483" w:rsidRPr="00E27E1A">
        <w:rPr>
          <w:rFonts w:ascii="Times New Roman" w:eastAsiaTheme="minorHAnsi" w:hAnsi="Times New Roman" w:cs="Times New Roman"/>
          <w:bCs/>
          <w:color w:val="auto"/>
          <w:sz w:val="24"/>
          <w:szCs w:val="24"/>
        </w:rPr>
        <w:t>: t</w:t>
      </w:r>
      <w:r w:rsidRPr="00E27E1A">
        <w:rPr>
          <w:rFonts w:ascii="Times New Roman" w:eastAsiaTheme="minorHAnsi" w:hAnsi="Times New Roman" w:cs="Times New Roman"/>
          <w:bCs/>
          <w:color w:val="auto"/>
          <w:sz w:val="24"/>
          <w:szCs w:val="24"/>
        </w:rPr>
        <w:t>he authors declare that they have no competing interests.</w:t>
      </w:r>
    </w:p>
    <w:p w14:paraId="3AC9947A" w14:textId="3F6688E4" w:rsidR="001B2168" w:rsidRPr="00E27E1A" w:rsidRDefault="001B2168" w:rsidP="001C42D2">
      <w:pPr>
        <w:pStyle w:val="Ttulo2"/>
        <w:spacing w:after="0" w:line="480" w:lineRule="auto"/>
        <w:rPr>
          <w:rFonts w:ascii="Times New Roman" w:eastAsiaTheme="minorHAnsi" w:hAnsi="Times New Roman" w:cs="Times New Roman"/>
          <w:bCs/>
          <w:color w:val="auto"/>
          <w:sz w:val="24"/>
          <w:szCs w:val="24"/>
        </w:rPr>
      </w:pPr>
      <w:r w:rsidRPr="00E27E1A">
        <w:rPr>
          <w:rFonts w:ascii="Times New Roman" w:eastAsiaTheme="minorHAnsi" w:hAnsi="Times New Roman" w:cs="Times New Roman"/>
          <w:bCs/>
          <w:color w:val="auto"/>
          <w:sz w:val="24"/>
          <w:szCs w:val="24"/>
        </w:rPr>
        <w:t>Funding</w:t>
      </w:r>
      <w:r w:rsidR="00285483" w:rsidRPr="00E27E1A">
        <w:rPr>
          <w:rFonts w:ascii="Times New Roman" w:eastAsiaTheme="minorHAnsi" w:hAnsi="Times New Roman" w:cs="Times New Roman"/>
          <w:bCs/>
          <w:color w:val="auto"/>
          <w:sz w:val="24"/>
          <w:szCs w:val="24"/>
        </w:rPr>
        <w:t>: t</w:t>
      </w:r>
      <w:r w:rsidRPr="00E27E1A">
        <w:rPr>
          <w:rFonts w:ascii="Times New Roman" w:eastAsiaTheme="minorHAnsi" w:hAnsi="Times New Roman" w:cs="Times New Roman"/>
          <w:bCs/>
          <w:color w:val="auto"/>
          <w:sz w:val="24"/>
          <w:szCs w:val="24"/>
        </w:rPr>
        <w:t>his research did not receive any specific grant from funding agencies in the public, commercial, or not-for-profit sectors.</w:t>
      </w:r>
    </w:p>
    <w:p w14:paraId="1709F6FE" w14:textId="66089827" w:rsidR="001B2168" w:rsidRPr="00E27E1A" w:rsidRDefault="001B2168" w:rsidP="001C42D2">
      <w:pPr>
        <w:pStyle w:val="Ttulo2"/>
        <w:spacing w:after="0" w:line="480" w:lineRule="auto"/>
        <w:rPr>
          <w:rFonts w:ascii="Times New Roman" w:eastAsiaTheme="minorHAnsi" w:hAnsi="Times New Roman" w:cs="Times New Roman"/>
          <w:bCs/>
          <w:color w:val="auto"/>
          <w:sz w:val="24"/>
          <w:szCs w:val="24"/>
        </w:rPr>
      </w:pPr>
      <w:r w:rsidRPr="00E27E1A">
        <w:rPr>
          <w:rFonts w:ascii="Times New Roman" w:eastAsiaTheme="minorHAnsi" w:hAnsi="Times New Roman" w:cs="Times New Roman"/>
          <w:bCs/>
          <w:color w:val="auto"/>
          <w:sz w:val="24"/>
          <w:szCs w:val="24"/>
        </w:rPr>
        <w:t>Authors’ contributions</w:t>
      </w:r>
      <w:r w:rsidR="00285483" w:rsidRPr="00E27E1A">
        <w:rPr>
          <w:rFonts w:ascii="Times New Roman" w:eastAsiaTheme="minorHAnsi" w:hAnsi="Times New Roman" w:cs="Times New Roman"/>
          <w:bCs/>
          <w:color w:val="auto"/>
          <w:sz w:val="24"/>
          <w:szCs w:val="24"/>
        </w:rPr>
        <w:t xml:space="preserve">: </w:t>
      </w:r>
      <w:r w:rsidRPr="00E27E1A">
        <w:rPr>
          <w:rFonts w:ascii="Times New Roman" w:eastAsiaTheme="minorHAnsi" w:hAnsi="Times New Roman" w:cs="Times New Roman"/>
          <w:bCs/>
          <w:color w:val="auto"/>
          <w:sz w:val="24"/>
          <w:szCs w:val="24"/>
        </w:rPr>
        <w:t>RNB conceived and designed the study, performed data analysis, and wrote the manuscript.</w:t>
      </w:r>
      <w:r w:rsidR="00285483" w:rsidRPr="00E27E1A">
        <w:rPr>
          <w:rFonts w:ascii="Times New Roman" w:eastAsiaTheme="minorHAnsi" w:hAnsi="Times New Roman" w:cs="Times New Roman"/>
          <w:bCs/>
          <w:color w:val="auto"/>
          <w:sz w:val="24"/>
          <w:szCs w:val="24"/>
        </w:rPr>
        <w:t xml:space="preserve"> </w:t>
      </w:r>
      <w:r w:rsidRPr="00E27E1A">
        <w:rPr>
          <w:rFonts w:ascii="Times New Roman" w:eastAsiaTheme="minorHAnsi" w:hAnsi="Times New Roman" w:cs="Times New Roman"/>
          <w:bCs/>
          <w:color w:val="auto"/>
          <w:sz w:val="24"/>
          <w:szCs w:val="24"/>
        </w:rPr>
        <w:t>JBS supervised the study and contributed to manuscript revision.</w:t>
      </w:r>
    </w:p>
    <w:p w14:paraId="7455360D" w14:textId="77777777" w:rsidR="001B2168" w:rsidRPr="00E27E1A" w:rsidRDefault="001B2168" w:rsidP="001C42D2">
      <w:pPr>
        <w:pStyle w:val="Ttulo2"/>
        <w:spacing w:after="0" w:line="480" w:lineRule="auto"/>
        <w:rPr>
          <w:rFonts w:ascii="Times New Roman" w:eastAsiaTheme="minorHAnsi" w:hAnsi="Times New Roman" w:cs="Times New Roman"/>
          <w:bCs/>
          <w:color w:val="auto"/>
          <w:sz w:val="24"/>
          <w:szCs w:val="24"/>
        </w:rPr>
      </w:pPr>
      <w:r w:rsidRPr="00E27E1A">
        <w:rPr>
          <w:rFonts w:ascii="Times New Roman" w:eastAsiaTheme="minorHAnsi" w:hAnsi="Times New Roman" w:cs="Times New Roman"/>
          <w:bCs/>
          <w:color w:val="auto"/>
          <w:sz w:val="24"/>
          <w:szCs w:val="24"/>
        </w:rPr>
        <w:t>Both authors read and approved the final manuscript.</w:t>
      </w:r>
    </w:p>
    <w:p w14:paraId="64F38356" w14:textId="13B24318" w:rsidR="001B2168" w:rsidRPr="00E27E1A" w:rsidRDefault="001B2168" w:rsidP="001C42D2">
      <w:pPr>
        <w:pStyle w:val="Ttulo2"/>
        <w:spacing w:after="0" w:line="480" w:lineRule="auto"/>
        <w:rPr>
          <w:rFonts w:ascii="Times New Roman" w:eastAsiaTheme="minorHAnsi" w:hAnsi="Times New Roman" w:cs="Times New Roman"/>
          <w:bCs/>
          <w:color w:val="auto"/>
          <w:sz w:val="24"/>
          <w:szCs w:val="24"/>
        </w:rPr>
      </w:pPr>
      <w:r w:rsidRPr="00E27E1A">
        <w:rPr>
          <w:rFonts w:ascii="Times New Roman" w:eastAsiaTheme="minorHAnsi" w:hAnsi="Times New Roman" w:cs="Times New Roman"/>
          <w:bCs/>
          <w:color w:val="auto"/>
          <w:sz w:val="24"/>
          <w:szCs w:val="24"/>
          <w:lang w:val="en-US"/>
        </w:rPr>
        <w:t>Acknowledgements</w:t>
      </w:r>
      <w:r w:rsidR="00285483" w:rsidRPr="00E27E1A">
        <w:rPr>
          <w:rFonts w:ascii="Times New Roman" w:eastAsiaTheme="minorHAnsi" w:hAnsi="Times New Roman" w:cs="Times New Roman"/>
          <w:bCs/>
          <w:color w:val="auto"/>
          <w:sz w:val="24"/>
          <w:szCs w:val="24"/>
          <w:lang w:val="en-US"/>
        </w:rPr>
        <w:t xml:space="preserve">: </w:t>
      </w:r>
      <w:proofErr w:type="spellStart"/>
      <w:r w:rsidR="00285483" w:rsidRPr="00E27E1A">
        <w:rPr>
          <w:rFonts w:ascii="Times New Roman" w:eastAsiaTheme="minorHAnsi" w:hAnsi="Times New Roman" w:cs="Times New Roman"/>
          <w:bCs/>
          <w:color w:val="auto"/>
          <w:sz w:val="24"/>
          <w:szCs w:val="24"/>
          <w:lang w:val="en-US"/>
        </w:rPr>
        <w:t>w</w:t>
      </w:r>
      <w:r w:rsidR="00E71CC6" w:rsidRPr="00E27E1A">
        <w:rPr>
          <w:rFonts w:ascii="Times New Roman" w:eastAsiaTheme="minorHAnsi" w:hAnsi="Times New Roman" w:cs="Times New Roman"/>
          <w:bCs/>
          <w:color w:val="auto"/>
          <w:sz w:val="24"/>
          <w:szCs w:val="24"/>
        </w:rPr>
        <w:t>e</w:t>
      </w:r>
      <w:proofErr w:type="spellEnd"/>
      <w:r w:rsidR="00E71CC6" w:rsidRPr="00E27E1A">
        <w:rPr>
          <w:rFonts w:ascii="Times New Roman" w:eastAsiaTheme="minorHAnsi" w:hAnsi="Times New Roman" w:cs="Times New Roman"/>
          <w:bCs/>
          <w:color w:val="auto"/>
          <w:sz w:val="24"/>
          <w:szCs w:val="24"/>
        </w:rPr>
        <w:t xml:space="preserve"> thank the Biostatistics Department of the University of Brasilia for technical assistance.</w:t>
      </w:r>
    </w:p>
    <w:p w14:paraId="4239E421" w14:textId="42EDA6F9" w:rsidR="002F3B50" w:rsidRPr="00E27E1A" w:rsidRDefault="00000000" w:rsidP="001C42D2">
      <w:pPr>
        <w:pStyle w:val="Ttulo1"/>
        <w:jc w:val="left"/>
        <w:rPr>
          <w:lang w:val="pt-BR"/>
        </w:rPr>
      </w:pPr>
      <w:proofErr w:type="spellStart"/>
      <w:r w:rsidRPr="00E27E1A">
        <w:rPr>
          <w:lang w:val="pt-BR"/>
        </w:rPr>
        <w:t>References</w:t>
      </w:r>
      <w:proofErr w:type="spellEnd"/>
    </w:p>
    <w:p w14:paraId="41F18AC6"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Sung H, </w:t>
      </w:r>
      <w:proofErr w:type="spellStart"/>
      <w:r w:rsidRPr="00E27E1A">
        <w:rPr>
          <w:rFonts w:ascii="Times New Roman" w:hAnsi="Times New Roman" w:cs="Times New Roman"/>
          <w:bCs/>
        </w:rPr>
        <w:t>Ferlay</w:t>
      </w:r>
      <w:proofErr w:type="spellEnd"/>
      <w:r w:rsidRPr="00E27E1A">
        <w:rPr>
          <w:rFonts w:ascii="Times New Roman" w:hAnsi="Times New Roman" w:cs="Times New Roman"/>
          <w:bCs/>
        </w:rPr>
        <w:t xml:space="preserve"> J, Siegel RL, </w:t>
      </w:r>
      <w:r w:rsidRPr="00E27E1A">
        <w:rPr>
          <w:rFonts w:ascii="Times New Roman" w:hAnsi="Times New Roman" w:cs="Times New Roman"/>
          <w:bCs/>
          <w:i/>
          <w:iCs/>
        </w:rPr>
        <w:t>et al.</w:t>
      </w:r>
      <w:r w:rsidRPr="00E27E1A">
        <w:rPr>
          <w:rFonts w:ascii="Times New Roman" w:hAnsi="Times New Roman" w:cs="Times New Roman"/>
          <w:bCs/>
        </w:rPr>
        <w:t xml:space="preserve"> Global cancer statistics 2020: GLOBOCAN estimates of incidence and mortality worldwide for 36 cancers in 185 countries. </w:t>
      </w:r>
      <w:r w:rsidRPr="00E27E1A">
        <w:rPr>
          <w:rFonts w:ascii="Times New Roman" w:hAnsi="Times New Roman" w:cs="Times New Roman"/>
          <w:bCs/>
          <w:i/>
          <w:iCs/>
        </w:rPr>
        <w:t>CA Cancer J Clin.</w:t>
      </w:r>
      <w:r w:rsidRPr="00E27E1A">
        <w:rPr>
          <w:rFonts w:ascii="Times New Roman" w:hAnsi="Times New Roman" w:cs="Times New Roman"/>
          <w:bCs/>
        </w:rPr>
        <w:t xml:space="preserve"> 2021;71(3):209–249.</w:t>
      </w:r>
    </w:p>
    <w:p w14:paraId="6A659E07"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Perou CM, Sørlie T, Eisen MB, </w:t>
      </w:r>
      <w:r w:rsidRPr="00E27E1A">
        <w:rPr>
          <w:rFonts w:ascii="Times New Roman" w:hAnsi="Times New Roman" w:cs="Times New Roman"/>
          <w:bCs/>
          <w:i/>
          <w:iCs/>
        </w:rPr>
        <w:t>et al.</w:t>
      </w:r>
      <w:r w:rsidRPr="00E27E1A">
        <w:rPr>
          <w:rFonts w:ascii="Times New Roman" w:hAnsi="Times New Roman" w:cs="Times New Roman"/>
          <w:bCs/>
        </w:rPr>
        <w:t xml:space="preserve"> Molecular portraits of human breast </w:t>
      </w:r>
      <w:proofErr w:type="spellStart"/>
      <w:r w:rsidRPr="00E27E1A">
        <w:rPr>
          <w:rFonts w:ascii="Times New Roman" w:hAnsi="Times New Roman" w:cs="Times New Roman"/>
          <w:bCs/>
        </w:rPr>
        <w:t>tumours</w:t>
      </w:r>
      <w:proofErr w:type="spellEnd"/>
      <w:r w:rsidRPr="00E27E1A">
        <w:rPr>
          <w:rFonts w:ascii="Times New Roman" w:hAnsi="Times New Roman" w:cs="Times New Roman"/>
          <w:bCs/>
        </w:rPr>
        <w:t xml:space="preserve">. </w:t>
      </w:r>
      <w:r w:rsidRPr="00E27E1A">
        <w:rPr>
          <w:rFonts w:ascii="Times New Roman" w:hAnsi="Times New Roman" w:cs="Times New Roman"/>
          <w:bCs/>
          <w:i/>
          <w:iCs/>
        </w:rPr>
        <w:t>Nature.</w:t>
      </w:r>
      <w:r w:rsidRPr="00E27E1A">
        <w:rPr>
          <w:rFonts w:ascii="Times New Roman" w:hAnsi="Times New Roman" w:cs="Times New Roman"/>
          <w:bCs/>
        </w:rPr>
        <w:t xml:space="preserve"> 2000;406(6797):747–752.</w:t>
      </w:r>
    </w:p>
    <w:p w14:paraId="576C530D"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proofErr w:type="spellStart"/>
      <w:r w:rsidRPr="00E27E1A">
        <w:rPr>
          <w:rFonts w:ascii="Times New Roman" w:hAnsi="Times New Roman" w:cs="Times New Roman"/>
          <w:bCs/>
        </w:rPr>
        <w:t>Yersal</w:t>
      </w:r>
      <w:proofErr w:type="spellEnd"/>
      <w:r w:rsidRPr="00E27E1A">
        <w:rPr>
          <w:rFonts w:ascii="Times New Roman" w:hAnsi="Times New Roman" w:cs="Times New Roman"/>
          <w:bCs/>
        </w:rPr>
        <w:t xml:space="preserve"> O, </w:t>
      </w:r>
      <w:proofErr w:type="spellStart"/>
      <w:r w:rsidRPr="00E27E1A">
        <w:rPr>
          <w:rFonts w:ascii="Times New Roman" w:hAnsi="Times New Roman" w:cs="Times New Roman"/>
          <w:bCs/>
        </w:rPr>
        <w:t>Barutca</w:t>
      </w:r>
      <w:proofErr w:type="spellEnd"/>
      <w:r w:rsidRPr="00E27E1A">
        <w:rPr>
          <w:rFonts w:ascii="Times New Roman" w:hAnsi="Times New Roman" w:cs="Times New Roman"/>
          <w:bCs/>
        </w:rPr>
        <w:t xml:space="preserve"> S. Biological subtypes of breast cancer: Prognostic and therapeutic implications. </w:t>
      </w:r>
      <w:r w:rsidRPr="00E27E1A">
        <w:rPr>
          <w:rFonts w:ascii="Times New Roman" w:hAnsi="Times New Roman" w:cs="Times New Roman"/>
          <w:bCs/>
          <w:i/>
          <w:iCs/>
        </w:rPr>
        <w:t>World J Clin Oncol.</w:t>
      </w:r>
      <w:r w:rsidRPr="00E27E1A">
        <w:rPr>
          <w:rFonts w:ascii="Times New Roman" w:hAnsi="Times New Roman" w:cs="Times New Roman"/>
          <w:bCs/>
        </w:rPr>
        <w:t xml:space="preserve"> 2014;5(3):412–424.</w:t>
      </w:r>
    </w:p>
    <w:p w14:paraId="71BAF1C3"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proofErr w:type="spellStart"/>
      <w:r w:rsidRPr="00E27E1A">
        <w:rPr>
          <w:rFonts w:ascii="Times New Roman" w:hAnsi="Times New Roman" w:cs="Times New Roman"/>
          <w:bCs/>
        </w:rPr>
        <w:t>Ignatiadis</w:t>
      </w:r>
      <w:proofErr w:type="spellEnd"/>
      <w:r w:rsidRPr="00E27E1A">
        <w:rPr>
          <w:rFonts w:ascii="Times New Roman" w:hAnsi="Times New Roman" w:cs="Times New Roman"/>
          <w:bCs/>
        </w:rPr>
        <w:t xml:space="preserve"> M, Sotiriou C. Luminal breast cancer: from biology to treatment. </w:t>
      </w:r>
      <w:r w:rsidRPr="00E27E1A">
        <w:rPr>
          <w:rFonts w:ascii="Times New Roman" w:hAnsi="Times New Roman" w:cs="Times New Roman"/>
          <w:bCs/>
          <w:i/>
          <w:iCs/>
        </w:rPr>
        <w:t>Nat Rev Clin Oncol.</w:t>
      </w:r>
      <w:r w:rsidRPr="00E27E1A">
        <w:rPr>
          <w:rFonts w:ascii="Times New Roman" w:hAnsi="Times New Roman" w:cs="Times New Roman"/>
          <w:bCs/>
        </w:rPr>
        <w:t xml:space="preserve"> 2013;10(9):494–506.</w:t>
      </w:r>
    </w:p>
    <w:p w14:paraId="2BD9B017"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Parker JS, Mullins M, Cheang MCU, </w:t>
      </w:r>
      <w:r w:rsidRPr="00E27E1A">
        <w:rPr>
          <w:rFonts w:ascii="Times New Roman" w:hAnsi="Times New Roman" w:cs="Times New Roman"/>
          <w:bCs/>
          <w:i/>
          <w:iCs/>
        </w:rPr>
        <w:t>et al.</w:t>
      </w:r>
      <w:r w:rsidRPr="00E27E1A">
        <w:rPr>
          <w:rFonts w:ascii="Times New Roman" w:hAnsi="Times New Roman" w:cs="Times New Roman"/>
          <w:bCs/>
        </w:rPr>
        <w:t xml:space="preserve"> Supervised risk predictor of breast cancer based on intrinsic subtypes. </w:t>
      </w:r>
      <w:r w:rsidRPr="00E27E1A">
        <w:rPr>
          <w:rFonts w:ascii="Times New Roman" w:hAnsi="Times New Roman" w:cs="Times New Roman"/>
          <w:bCs/>
          <w:i/>
          <w:iCs/>
        </w:rPr>
        <w:t>J Clin Oncol.</w:t>
      </w:r>
      <w:r w:rsidRPr="00E27E1A">
        <w:rPr>
          <w:rFonts w:ascii="Times New Roman" w:hAnsi="Times New Roman" w:cs="Times New Roman"/>
          <w:bCs/>
        </w:rPr>
        <w:t xml:space="preserve"> 2009;27(8):1160–1167.</w:t>
      </w:r>
    </w:p>
    <w:p w14:paraId="59452BB6"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lastRenderedPageBreak/>
        <w:t xml:space="preserve">Nielsen TO, Parker JS, Leung S, </w:t>
      </w:r>
      <w:r w:rsidRPr="00E27E1A">
        <w:rPr>
          <w:rFonts w:ascii="Times New Roman" w:hAnsi="Times New Roman" w:cs="Times New Roman"/>
          <w:bCs/>
          <w:i/>
          <w:iCs/>
        </w:rPr>
        <w:t>et al.</w:t>
      </w:r>
      <w:r w:rsidRPr="00E27E1A">
        <w:rPr>
          <w:rFonts w:ascii="Times New Roman" w:hAnsi="Times New Roman" w:cs="Times New Roman"/>
          <w:bCs/>
        </w:rPr>
        <w:t xml:space="preserve"> Comparison of PAM50 intrinsic subtyping with immunohistochemistry and clinical prognostic factors. </w:t>
      </w:r>
      <w:r w:rsidRPr="00E27E1A">
        <w:rPr>
          <w:rFonts w:ascii="Times New Roman" w:hAnsi="Times New Roman" w:cs="Times New Roman"/>
          <w:bCs/>
          <w:i/>
          <w:iCs/>
        </w:rPr>
        <w:t>Clin Cancer Res.</w:t>
      </w:r>
      <w:r w:rsidRPr="00E27E1A">
        <w:rPr>
          <w:rFonts w:ascii="Times New Roman" w:hAnsi="Times New Roman" w:cs="Times New Roman"/>
          <w:bCs/>
        </w:rPr>
        <w:t xml:space="preserve"> 2010;16(21):5222–5232.</w:t>
      </w:r>
    </w:p>
    <w:p w14:paraId="4DAAB849"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Ali HR, Rueda OM, Chin SF, </w:t>
      </w:r>
      <w:r w:rsidRPr="00E27E1A">
        <w:rPr>
          <w:rFonts w:ascii="Times New Roman" w:hAnsi="Times New Roman" w:cs="Times New Roman"/>
          <w:bCs/>
          <w:i/>
          <w:iCs/>
        </w:rPr>
        <w:t>et al.</w:t>
      </w:r>
      <w:r w:rsidRPr="00E27E1A">
        <w:rPr>
          <w:rFonts w:ascii="Times New Roman" w:hAnsi="Times New Roman" w:cs="Times New Roman"/>
          <w:bCs/>
        </w:rPr>
        <w:t xml:space="preserve"> Genome-driven integrated classification of breast cancer validated in 11,000 </w:t>
      </w:r>
      <w:proofErr w:type="spellStart"/>
      <w:r w:rsidRPr="00E27E1A">
        <w:rPr>
          <w:rFonts w:ascii="Times New Roman" w:hAnsi="Times New Roman" w:cs="Times New Roman"/>
          <w:bCs/>
        </w:rPr>
        <w:t>tumours</w:t>
      </w:r>
      <w:proofErr w:type="spellEnd"/>
      <w:r w:rsidRPr="00E27E1A">
        <w:rPr>
          <w:rFonts w:ascii="Times New Roman" w:hAnsi="Times New Roman" w:cs="Times New Roman"/>
          <w:bCs/>
        </w:rPr>
        <w:t xml:space="preserve"> across 10 independent datasets. </w:t>
      </w:r>
      <w:r w:rsidRPr="00E27E1A">
        <w:rPr>
          <w:rFonts w:ascii="Times New Roman" w:hAnsi="Times New Roman" w:cs="Times New Roman"/>
          <w:bCs/>
          <w:i/>
          <w:iCs/>
        </w:rPr>
        <w:t>Nat Commun.</w:t>
      </w:r>
      <w:r w:rsidRPr="00E27E1A">
        <w:rPr>
          <w:rFonts w:ascii="Times New Roman" w:hAnsi="Times New Roman" w:cs="Times New Roman"/>
          <w:bCs/>
        </w:rPr>
        <w:t xml:space="preserve"> 2020;11(1):4865.</w:t>
      </w:r>
    </w:p>
    <w:p w14:paraId="296CBA30"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Rueda OM, Sammut SJ, Seoane JA, </w:t>
      </w:r>
      <w:r w:rsidRPr="00E27E1A">
        <w:rPr>
          <w:rFonts w:ascii="Times New Roman" w:hAnsi="Times New Roman" w:cs="Times New Roman"/>
          <w:bCs/>
          <w:i/>
          <w:iCs/>
        </w:rPr>
        <w:t>et al.</w:t>
      </w:r>
      <w:r w:rsidRPr="00E27E1A">
        <w:rPr>
          <w:rFonts w:ascii="Times New Roman" w:hAnsi="Times New Roman" w:cs="Times New Roman"/>
          <w:bCs/>
        </w:rPr>
        <w:t xml:space="preserve"> Dynamics of breast-cancer relapse reveal late-recurring ER-positive genomic subgroups. </w:t>
      </w:r>
      <w:r w:rsidRPr="00E27E1A">
        <w:rPr>
          <w:rFonts w:ascii="Times New Roman" w:hAnsi="Times New Roman" w:cs="Times New Roman"/>
          <w:bCs/>
          <w:i/>
          <w:iCs/>
        </w:rPr>
        <w:t>Nature.</w:t>
      </w:r>
      <w:r w:rsidRPr="00E27E1A">
        <w:rPr>
          <w:rFonts w:ascii="Times New Roman" w:hAnsi="Times New Roman" w:cs="Times New Roman"/>
          <w:bCs/>
        </w:rPr>
        <w:t xml:space="preserve"> 2019;567(7748):399–404.</w:t>
      </w:r>
    </w:p>
    <w:p w14:paraId="4B2F8BF8"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proofErr w:type="spellStart"/>
      <w:r w:rsidRPr="00E27E1A">
        <w:rPr>
          <w:rFonts w:ascii="Times New Roman" w:hAnsi="Times New Roman" w:cs="Times New Roman"/>
          <w:bCs/>
          <w:lang w:val="pt-BR"/>
        </w:rPr>
        <w:t>Luen</w:t>
      </w:r>
      <w:proofErr w:type="spellEnd"/>
      <w:r w:rsidRPr="00E27E1A">
        <w:rPr>
          <w:rFonts w:ascii="Times New Roman" w:hAnsi="Times New Roman" w:cs="Times New Roman"/>
          <w:bCs/>
          <w:lang w:val="pt-BR"/>
        </w:rPr>
        <w:t xml:space="preserve"> SJ, Salgado R, Fox S, </w:t>
      </w:r>
      <w:r w:rsidRPr="00E27E1A">
        <w:rPr>
          <w:rFonts w:ascii="Times New Roman" w:hAnsi="Times New Roman" w:cs="Times New Roman"/>
          <w:bCs/>
          <w:i/>
          <w:iCs/>
          <w:lang w:val="pt-BR"/>
        </w:rPr>
        <w:t>et al.</w:t>
      </w:r>
      <w:r w:rsidRPr="00E27E1A">
        <w:rPr>
          <w:rFonts w:ascii="Times New Roman" w:hAnsi="Times New Roman" w:cs="Times New Roman"/>
          <w:bCs/>
          <w:lang w:val="pt-BR"/>
        </w:rPr>
        <w:t xml:space="preserve"> </w:t>
      </w:r>
      <w:proofErr w:type="spellStart"/>
      <w:r w:rsidRPr="00E27E1A">
        <w:rPr>
          <w:rFonts w:ascii="Times New Roman" w:hAnsi="Times New Roman" w:cs="Times New Roman"/>
          <w:bCs/>
        </w:rPr>
        <w:t>Tumour</w:t>
      </w:r>
      <w:proofErr w:type="spellEnd"/>
      <w:r w:rsidRPr="00E27E1A">
        <w:rPr>
          <w:rFonts w:ascii="Times New Roman" w:hAnsi="Times New Roman" w:cs="Times New Roman"/>
          <w:bCs/>
        </w:rPr>
        <w:t xml:space="preserve">-infiltrating lymphocytes and prognosis in different subtypes of breast cancer: a pooled analysis. </w:t>
      </w:r>
      <w:r w:rsidRPr="00E27E1A">
        <w:rPr>
          <w:rFonts w:ascii="Times New Roman" w:hAnsi="Times New Roman" w:cs="Times New Roman"/>
          <w:bCs/>
          <w:i/>
          <w:iCs/>
        </w:rPr>
        <w:t>Lancet Oncol.</w:t>
      </w:r>
      <w:r w:rsidRPr="00E27E1A">
        <w:rPr>
          <w:rFonts w:ascii="Times New Roman" w:hAnsi="Times New Roman" w:cs="Times New Roman"/>
          <w:bCs/>
        </w:rPr>
        <w:t xml:space="preserve"> 2017;18(1):87–96.</w:t>
      </w:r>
    </w:p>
    <w:p w14:paraId="7A197C56"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Curtis C, Shah SP, Chin SF, </w:t>
      </w:r>
      <w:r w:rsidRPr="00E27E1A">
        <w:rPr>
          <w:rFonts w:ascii="Times New Roman" w:hAnsi="Times New Roman" w:cs="Times New Roman"/>
          <w:bCs/>
          <w:i/>
          <w:iCs/>
        </w:rPr>
        <w:t>et al.</w:t>
      </w:r>
      <w:r w:rsidRPr="00E27E1A">
        <w:rPr>
          <w:rFonts w:ascii="Times New Roman" w:hAnsi="Times New Roman" w:cs="Times New Roman"/>
          <w:bCs/>
        </w:rPr>
        <w:t xml:space="preserve"> The genomic and transcriptomic architecture of 2,000 breast </w:t>
      </w:r>
      <w:proofErr w:type="spellStart"/>
      <w:r w:rsidRPr="00E27E1A">
        <w:rPr>
          <w:rFonts w:ascii="Times New Roman" w:hAnsi="Times New Roman" w:cs="Times New Roman"/>
          <w:bCs/>
        </w:rPr>
        <w:t>tumours</w:t>
      </w:r>
      <w:proofErr w:type="spellEnd"/>
      <w:r w:rsidRPr="00E27E1A">
        <w:rPr>
          <w:rFonts w:ascii="Times New Roman" w:hAnsi="Times New Roman" w:cs="Times New Roman"/>
          <w:bCs/>
        </w:rPr>
        <w:t xml:space="preserve"> reveals novel subgroups. </w:t>
      </w:r>
      <w:r w:rsidRPr="00E27E1A">
        <w:rPr>
          <w:rFonts w:ascii="Times New Roman" w:hAnsi="Times New Roman" w:cs="Times New Roman"/>
          <w:bCs/>
          <w:i/>
          <w:iCs/>
        </w:rPr>
        <w:t>Nature.</w:t>
      </w:r>
      <w:r w:rsidRPr="00E27E1A">
        <w:rPr>
          <w:rFonts w:ascii="Times New Roman" w:hAnsi="Times New Roman" w:cs="Times New Roman"/>
          <w:bCs/>
        </w:rPr>
        <w:t xml:space="preserve"> 2012;486(7403):346–352.</w:t>
      </w:r>
    </w:p>
    <w:p w14:paraId="3EC3E7E1"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Cancer Genome Atlas Network. Comprehensive molecular portraits of human breast </w:t>
      </w:r>
      <w:proofErr w:type="spellStart"/>
      <w:r w:rsidRPr="00E27E1A">
        <w:rPr>
          <w:rFonts w:ascii="Times New Roman" w:hAnsi="Times New Roman" w:cs="Times New Roman"/>
          <w:bCs/>
        </w:rPr>
        <w:t>tumours</w:t>
      </w:r>
      <w:proofErr w:type="spellEnd"/>
      <w:r w:rsidRPr="00E27E1A">
        <w:rPr>
          <w:rFonts w:ascii="Times New Roman" w:hAnsi="Times New Roman" w:cs="Times New Roman"/>
          <w:bCs/>
        </w:rPr>
        <w:t xml:space="preserve">. </w:t>
      </w:r>
      <w:r w:rsidRPr="00E27E1A">
        <w:rPr>
          <w:rFonts w:ascii="Times New Roman" w:hAnsi="Times New Roman" w:cs="Times New Roman"/>
          <w:bCs/>
          <w:i/>
          <w:iCs/>
        </w:rPr>
        <w:t>Nature.</w:t>
      </w:r>
      <w:r w:rsidRPr="00E27E1A">
        <w:rPr>
          <w:rFonts w:ascii="Times New Roman" w:hAnsi="Times New Roman" w:cs="Times New Roman"/>
          <w:bCs/>
        </w:rPr>
        <w:t xml:space="preserve"> 2012;490(7418):61–70.</w:t>
      </w:r>
    </w:p>
    <w:p w14:paraId="7CA3674B"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proofErr w:type="spellStart"/>
      <w:r w:rsidRPr="00E27E1A">
        <w:rPr>
          <w:rFonts w:ascii="Times New Roman" w:hAnsi="Times New Roman" w:cs="Times New Roman"/>
          <w:bCs/>
          <w:lang w:val="pt-BR"/>
        </w:rPr>
        <w:t>Hatzis</w:t>
      </w:r>
      <w:proofErr w:type="spellEnd"/>
      <w:r w:rsidRPr="00E27E1A">
        <w:rPr>
          <w:rFonts w:ascii="Times New Roman" w:hAnsi="Times New Roman" w:cs="Times New Roman"/>
          <w:bCs/>
          <w:lang w:val="pt-BR"/>
        </w:rPr>
        <w:t xml:space="preserve"> C, </w:t>
      </w:r>
      <w:proofErr w:type="spellStart"/>
      <w:r w:rsidRPr="00E27E1A">
        <w:rPr>
          <w:rFonts w:ascii="Times New Roman" w:hAnsi="Times New Roman" w:cs="Times New Roman"/>
          <w:bCs/>
          <w:lang w:val="pt-BR"/>
        </w:rPr>
        <w:t>Pusztai</w:t>
      </w:r>
      <w:proofErr w:type="spellEnd"/>
      <w:r w:rsidRPr="00E27E1A">
        <w:rPr>
          <w:rFonts w:ascii="Times New Roman" w:hAnsi="Times New Roman" w:cs="Times New Roman"/>
          <w:bCs/>
          <w:lang w:val="pt-BR"/>
        </w:rPr>
        <w:t xml:space="preserve"> L, Valero V, </w:t>
      </w:r>
      <w:r w:rsidRPr="00E27E1A">
        <w:rPr>
          <w:rFonts w:ascii="Times New Roman" w:hAnsi="Times New Roman" w:cs="Times New Roman"/>
          <w:bCs/>
          <w:i/>
          <w:iCs/>
          <w:lang w:val="pt-BR"/>
        </w:rPr>
        <w:t>et al.</w:t>
      </w:r>
      <w:r w:rsidRPr="00E27E1A">
        <w:rPr>
          <w:rFonts w:ascii="Times New Roman" w:hAnsi="Times New Roman" w:cs="Times New Roman"/>
          <w:bCs/>
          <w:lang w:val="pt-BR"/>
        </w:rPr>
        <w:t xml:space="preserve"> </w:t>
      </w:r>
      <w:r w:rsidRPr="00E27E1A">
        <w:rPr>
          <w:rFonts w:ascii="Times New Roman" w:hAnsi="Times New Roman" w:cs="Times New Roman"/>
          <w:bCs/>
        </w:rPr>
        <w:t xml:space="preserve">A genomic predictor of response and survival following </w:t>
      </w:r>
      <w:proofErr w:type="spellStart"/>
      <w:r w:rsidRPr="00E27E1A">
        <w:rPr>
          <w:rFonts w:ascii="Times New Roman" w:hAnsi="Times New Roman" w:cs="Times New Roman"/>
          <w:bCs/>
        </w:rPr>
        <w:t>taxane</w:t>
      </w:r>
      <w:proofErr w:type="spellEnd"/>
      <w:r w:rsidRPr="00E27E1A">
        <w:rPr>
          <w:rFonts w:ascii="Times New Roman" w:hAnsi="Times New Roman" w:cs="Times New Roman"/>
          <w:bCs/>
        </w:rPr>
        <w:t xml:space="preserve">-anthracycline chemotherapy for invasive breast cancer. </w:t>
      </w:r>
      <w:r w:rsidRPr="00E27E1A">
        <w:rPr>
          <w:rFonts w:ascii="Times New Roman" w:hAnsi="Times New Roman" w:cs="Times New Roman"/>
          <w:bCs/>
          <w:i/>
          <w:iCs/>
        </w:rPr>
        <w:t>J Clin Oncol.</w:t>
      </w:r>
      <w:r w:rsidRPr="00E27E1A">
        <w:rPr>
          <w:rFonts w:ascii="Times New Roman" w:hAnsi="Times New Roman" w:cs="Times New Roman"/>
          <w:bCs/>
        </w:rPr>
        <w:t xml:space="preserve"> 2011;29(17):2433–2440.</w:t>
      </w:r>
    </w:p>
    <w:p w14:paraId="23BEB02B"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proofErr w:type="spellStart"/>
      <w:r w:rsidRPr="00E27E1A">
        <w:rPr>
          <w:rFonts w:ascii="Times New Roman" w:hAnsi="Times New Roman" w:cs="Times New Roman"/>
          <w:bCs/>
        </w:rPr>
        <w:t>Brueffer</w:t>
      </w:r>
      <w:proofErr w:type="spellEnd"/>
      <w:r w:rsidRPr="00E27E1A">
        <w:rPr>
          <w:rFonts w:ascii="Times New Roman" w:hAnsi="Times New Roman" w:cs="Times New Roman"/>
          <w:bCs/>
        </w:rPr>
        <w:t xml:space="preserve"> C, Darai E, </w:t>
      </w:r>
      <w:proofErr w:type="spellStart"/>
      <w:r w:rsidRPr="00E27E1A">
        <w:rPr>
          <w:rFonts w:ascii="Times New Roman" w:hAnsi="Times New Roman" w:cs="Times New Roman"/>
          <w:bCs/>
        </w:rPr>
        <w:t>Segersten</w:t>
      </w:r>
      <w:proofErr w:type="spellEnd"/>
      <w:r w:rsidRPr="00E27E1A">
        <w:rPr>
          <w:rFonts w:ascii="Times New Roman" w:hAnsi="Times New Roman" w:cs="Times New Roman"/>
          <w:bCs/>
        </w:rPr>
        <w:t xml:space="preserve"> U, </w:t>
      </w:r>
      <w:r w:rsidRPr="00E27E1A">
        <w:rPr>
          <w:rFonts w:ascii="Times New Roman" w:hAnsi="Times New Roman" w:cs="Times New Roman"/>
          <w:bCs/>
          <w:i/>
          <w:iCs/>
        </w:rPr>
        <w:t>et al.</w:t>
      </w:r>
      <w:r w:rsidRPr="00E27E1A">
        <w:rPr>
          <w:rFonts w:ascii="Times New Roman" w:hAnsi="Times New Roman" w:cs="Times New Roman"/>
          <w:bCs/>
        </w:rPr>
        <w:t xml:space="preserve"> The Swedish SCAN-B initiative: a large-scale multicenter study for breast cancer. </w:t>
      </w:r>
      <w:r w:rsidRPr="00E27E1A">
        <w:rPr>
          <w:rFonts w:ascii="Times New Roman" w:hAnsi="Times New Roman" w:cs="Times New Roman"/>
          <w:bCs/>
          <w:i/>
          <w:iCs/>
        </w:rPr>
        <w:t>Clin Cancer Res.</w:t>
      </w:r>
      <w:r w:rsidRPr="00E27E1A">
        <w:rPr>
          <w:rFonts w:ascii="Times New Roman" w:hAnsi="Times New Roman" w:cs="Times New Roman"/>
          <w:bCs/>
        </w:rPr>
        <w:t xml:space="preserve"> 2019;25(19):5859–5872.</w:t>
      </w:r>
    </w:p>
    <w:p w14:paraId="65792847"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Lee JS, Jung J, Kim Y, </w:t>
      </w:r>
      <w:r w:rsidRPr="00E27E1A">
        <w:rPr>
          <w:rFonts w:ascii="Times New Roman" w:hAnsi="Times New Roman" w:cs="Times New Roman"/>
          <w:bCs/>
          <w:i/>
          <w:iCs/>
        </w:rPr>
        <w:t>et al.</w:t>
      </w:r>
      <w:r w:rsidRPr="00E27E1A">
        <w:rPr>
          <w:rFonts w:ascii="Times New Roman" w:hAnsi="Times New Roman" w:cs="Times New Roman"/>
          <w:bCs/>
        </w:rPr>
        <w:t xml:space="preserve"> Integrated multi-omics analysis of breast cancer reveals genomic correlates of clinical outcomes. </w:t>
      </w:r>
      <w:r w:rsidRPr="00E27E1A">
        <w:rPr>
          <w:rFonts w:ascii="Times New Roman" w:hAnsi="Times New Roman" w:cs="Times New Roman"/>
          <w:bCs/>
          <w:i/>
          <w:iCs/>
        </w:rPr>
        <w:t>Nat Med.</w:t>
      </w:r>
      <w:r w:rsidRPr="00E27E1A">
        <w:rPr>
          <w:rFonts w:ascii="Times New Roman" w:hAnsi="Times New Roman" w:cs="Times New Roman"/>
          <w:bCs/>
        </w:rPr>
        <w:t xml:space="preserve"> 2023;29(1):49–62.</w:t>
      </w:r>
    </w:p>
    <w:p w14:paraId="740B10A5"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Leek JT, Scharpf RB, Bravo HC, </w:t>
      </w:r>
      <w:r w:rsidRPr="00E27E1A">
        <w:rPr>
          <w:rFonts w:ascii="Times New Roman" w:hAnsi="Times New Roman" w:cs="Times New Roman"/>
          <w:bCs/>
          <w:i/>
          <w:iCs/>
        </w:rPr>
        <w:t>et al.</w:t>
      </w:r>
      <w:r w:rsidRPr="00E27E1A">
        <w:rPr>
          <w:rFonts w:ascii="Times New Roman" w:hAnsi="Times New Roman" w:cs="Times New Roman"/>
          <w:bCs/>
        </w:rPr>
        <w:t xml:space="preserve"> Tackling the critical impact of batch effects in high-throughput data. </w:t>
      </w:r>
      <w:r w:rsidRPr="00E27E1A">
        <w:rPr>
          <w:rFonts w:ascii="Times New Roman" w:hAnsi="Times New Roman" w:cs="Times New Roman"/>
          <w:bCs/>
          <w:i/>
          <w:iCs/>
        </w:rPr>
        <w:t>Nat Rev Genet.</w:t>
      </w:r>
      <w:r w:rsidRPr="00E27E1A">
        <w:rPr>
          <w:rFonts w:ascii="Times New Roman" w:hAnsi="Times New Roman" w:cs="Times New Roman"/>
          <w:bCs/>
        </w:rPr>
        <w:t xml:space="preserve"> 2010;11(10):733–739.</w:t>
      </w:r>
    </w:p>
    <w:p w14:paraId="678A7683"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lastRenderedPageBreak/>
        <w:t xml:space="preserve">Ali HR, Lundberg A, Ohnstad HO, </w:t>
      </w:r>
      <w:r w:rsidRPr="00E27E1A">
        <w:rPr>
          <w:rFonts w:ascii="Times New Roman" w:hAnsi="Times New Roman" w:cs="Times New Roman"/>
          <w:bCs/>
          <w:i/>
          <w:iCs/>
        </w:rPr>
        <w:t>et al.</w:t>
      </w:r>
      <w:r w:rsidRPr="00E27E1A">
        <w:rPr>
          <w:rFonts w:ascii="Times New Roman" w:hAnsi="Times New Roman" w:cs="Times New Roman"/>
          <w:bCs/>
        </w:rPr>
        <w:t xml:space="preserve"> Global prognostic and predictive value of PAM50 across molecular and clinical subgroups: a meta-analysis. </w:t>
      </w:r>
      <w:r w:rsidRPr="00E27E1A">
        <w:rPr>
          <w:rFonts w:ascii="Times New Roman" w:hAnsi="Times New Roman" w:cs="Times New Roman"/>
          <w:bCs/>
          <w:i/>
          <w:iCs/>
        </w:rPr>
        <w:t>Breast Cancer Res.</w:t>
      </w:r>
      <w:r w:rsidRPr="00E27E1A">
        <w:rPr>
          <w:rFonts w:ascii="Times New Roman" w:hAnsi="Times New Roman" w:cs="Times New Roman"/>
          <w:bCs/>
        </w:rPr>
        <w:t xml:space="preserve"> 2023;25(1):57.</w:t>
      </w:r>
    </w:p>
    <w:p w14:paraId="45F16112"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Li Y, Jiang T, Zhang B, </w:t>
      </w:r>
      <w:r w:rsidRPr="00E27E1A">
        <w:rPr>
          <w:rFonts w:ascii="Times New Roman" w:hAnsi="Times New Roman" w:cs="Times New Roman"/>
          <w:bCs/>
          <w:i/>
          <w:iCs/>
        </w:rPr>
        <w:t>et al.</w:t>
      </w:r>
      <w:r w:rsidRPr="00E27E1A">
        <w:rPr>
          <w:rFonts w:ascii="Times New Roman" w:hAnsi="Times New Roman" w:cs="Times New Roman"/>
          <w:bCs/>
        </w:rPr>
        <w:t xml:space="preserve"> A 40-gene expression signature predicts clinical outcomes in breast cancer. </w:t>
      </w:r>
      <w:proofErr w:type="spellStart"/>
      <w:r w:rsidRPr="00E27E1A">
        <w:rPr>
          <w:rFonts w:ascii="Times New Roman" w:hAnsi="Times New Roman" w:cs="Times New Roman"/>
          <w:bCs/>
          <w:i/>
          <w:iCs/>
        </w:rPr>
        <w:t>EBioMedicine</w:t>
      </w:r>
      <w:proofErr w:type="spellEnd"/>
      <w:r w:rsidRPr="00E27E1A">
        <w:rPr>
          <w:rFonts w:ascii="Times New Roman" w:hAnsi="Times New Roman" w:cs="Times New Roman"/>
          <w:bCs/>
          <w:i/>
          <w:iCs/>
        </w:rPr>
        <w:t>.</w:t>
      </w:r>
      <w:r w:rsidRPr="00E27E1A">
        <w:rPr>
          <w:rFonts w:ascii="Times New Roman" w:hAnsi="Times New Roman" w:cs="Times New Roman"/>
          <w:bCs/>
        </w:rPr>
        <w:t xml:space="preserve"> </w:t>
      </w:r>
      <w:proofErr w:type="gramStart"/>
      <w:r w:rsidRPr="00E27E1A">
        <w:rPr>
          <w:rFonts w:ascii="Times New Roman" w:hAnsi="Times New Roman" w:cs="Times New Roman"/>
          <w:bCs/>
        </w:rPr>
        <w:t>2022;82:104136</w:t>
      </w:r>
      <w:proofErr w:type="gramEnd"/>
      <w:r w:rsidRPr="00E27E1A">
        <w:rPr>
          <w:rFonts w:ascii="Times New Roman" w:hAnsi="Times New Roman" w:cs="Times New Roman"/>
          <w:bCs/>
        </w:rPr>
        <w:t>.</w:t>
      </w:r>
    </w:p>
    <w:p w14:paraId="5825D571"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Li C, </w:t>
      </w:r>
      <w:r w:rsidRPr="00E27E1A">
        <w:rPr>
          <w:rFonts w:ascii="Times New Roman" w:hAnsi="Times New Roman" w:cs="Times New Roman"/>
          <w:bCs/>
          <w:i/>
          <w:iCs/>
        </w:rPr>
        <w:t>et al.</w:t>
      </w:r>
      <w:r w:rsidRPr="00E27E1A">
        <w:rPr>
          <w:rFonts w:ascii="Times New Roman" w:hAnsi="Times New Roman" w:cs="Times New Roman"/>
          <w:bCs/>
        </w:rPr>
        <w:t xml:space="preserve"> Reducing feature dimensionality of genomic classifiers while preserving predictive performance. </w:t>
      </w:r>
      <w:r w:rsidRPr="00E27E1A">
        <w:rPr>
          <w:rFonts w:ascii="Times New Roman" w:hAnsi="Times New Roman" w:cs="Times New Roman"/>
          <w:bCs/>
          <w:i/>
          <w:iCs/>
        </w:rPr>
        <w:t xml:space="preserve">Brief </w:t>
      </w:r>
      <w:proofErr w:type="spellStart"/>
      <w:r w:rsidRPr="00E27E1A">
        <w:rPr>
          <w:rFonts w:ascii="Times New Roman" w:hAnsi="Times New Roman" w:cs="Times New Roman"/>
          <w:bCs/>
          <w:i/>
          <w:iCs/>
        </w:rPr>
        <w:t>Bioinform</w:t>
      </w:r>
      <w:proofErr w:type="spellEnd"/>
      <w:r w:rsidRPr="00E27E1A">
        <w:rPr>
          <w:rFonts w:ascii="Times New Roman" w:hAnsi="Times New Roman" w:cs="Times New Roman"/>
          <w:bCs/>
          <w:i/>
          <w:iCs/>
        </w:rPr>
        <w:t>.</w:t>
      </w:r>
      <w:r w:rsidRPr="00E27E1A">
        <w:rPr>
          <w:rFonts w:ascii="Times New Roman" w:hAnsi="Times New Roman" w:cs="Times New Roman"/>
          <w:bCs/>
        </w:rPr>
        <w:t xml:space="preserve"> 2021;22(6</w:t>
      </w:r>
      <w:proofErr w:type="gramStart"/>
      <w:r w:rsidRPr="00E27E1A">
        <w:rPr>
          <w:rFonts w:ascii="Times New Roman" w:hAnsi="Times New Roman" w:cs="Times New Roman"/>
          <w:bCs/>
        </w:rPr>
        <w:t>):bbab</w:t>
      </w:r>
      <w:proofErr w:type="gramEnd"/>
      <w:r w:rsidRPr="00E27E1A">
        <w:rPr>
          <w:rFonts w:ascii="Times New Roman" w:hAnsi="Times New Roman" w:cs="Times New Roman"/>
          <w:bCs/>
        </w:rPr>
        <w:t>358.</w:t>
      </w:r>
    </w:p>
    <w:p w14:paraId="3E7A2B17"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Yates B, Braschi B, Gray KA, </w:t>
      </w:r>
      <w:r w:rsidRPr="00E27E1A">
        <w:rPr>
          <w:rFonts w:ascii="Times New Roman" w:hAnsi="Times New Roman" w:cs="Times New Roman"/>
          <w:bCs/>
          <w:i/>
          <w:iCs/>
        </w:rPr>
        <w:t>et al.</w:t>
      </w:r>
      <w:r w:rsidRPr="00E27E1A">
        <w:rPr>
          <w:rFonts w:ascii="Times New Roman" w:hAnsi="Times New Roman" w:cs="Times New Roman"/>
          <w:bCs/>
        </w:rPr>
        <w:t xml:space="preserve"> Genenames.org: the HGNC and VGNC resources. </w:t>
      </w:r>
      <w:r w:rsidRPr="00E27E1A">
        <w:rPr>
          <w:rFonts w:ascii="Times New Roman" w:hAnsi="Times New Roman" w:cs="Times New Roman"/>
          <w:bCs/>
          <w:i/>
          <w:iCs/>
        </w:rPr>
        <w:t>Nucleic Acids Res.</w:t>
      </w:r>
      <w:r w:rsidRPr="00E27E1A">
        <w:rPr>
          <w:rFonts w:ascii="Times New Roman" w:hAnsi="Times New Roman" w:cs="Times New Roman"/>
          <w:bCs/>
        </w:rPr>
        <w:t xml:space="preserve"> 2020;48(D1</w:t>
      </w:r>
      <w:proofErr w:type="gramStart"/>
      <w:r w:rsidRPr="00E27E1A">
        <w:rPr>
          <w:rFonts w:ascii="Times New Roman" w:hAnsi="Times New Roman" w:cs="Times New Roman"/>
          <w:bCs/>
        </w:rPr>
        <w:t>):D</w:t>
      </w:r>
      <w:proofErr w:type="gramEnd"/>
      <w:r w:rsidRPr="00E27E1A">
        <w:rPr>
          <w:rFonts w:ascii="Times New Roman" w:hAnsi="Times New Roman" w:cs="Times New Roman"/>
          <w:bCs/>
        </w:rPr>
        <w:t>649–D655.</w:t>
      </w:r>
    </w:p>
    <w:p w14:paraId="6FD3DF6E"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proofErr w:type="spellStart"/>
      <w:r w:rsidRPr="00E27E1A">
        <w:rPr>
          <w:rFonts w:ascii="Times New Roman" w:hAnsi="Times New Roman" w:cs="Times New Roman"/>
          <w:bCs/>
        </w:rPr>
        <w:t>Tibshirani</w:t>
      </w:r>
      <w:proofErr w:type="spellEnd"/>
      <w:r w:rsidRPr="00E27E1A">
        <w:rPr>
          <w:rFonts w:ascii="Times New Roman" w:hAnsi="Times New Roman" w:cs="Times New Roman"/>
          <w:bCs/>
        </w:rPr>
        <w:t xml:space="preserve"> R. The lasso method for variable selection in the Cox model. </w:t>
      </w:r>
      <w:r w:rsidRPr="00E27E1A">
        <w:rPr>
          <w:rFonts w:ascii="Times New Roman" w:hAnsi="Times New Roman" w:cs="Times New Roman"/>
          <w:bCs/>
          <w:i/>
          <w:iCs/>
        </w:rPr>
        <w:t>Stat Med.</w:t>
      </w:r>
      <w:r w:rsidRPr="00E27E1A">
        <w:rPr>
          <w:rFonts w:ascii="Times New Roman" w:hAnsi="Times New Roman" w:cs="Times New Roman"/>
          <w:bCs/>
        </w:rPr>
        <w:t xml:space="preserve"> 1997;16(4):385–395.</w:t>
      </w:r>
    </w:p>
    <w:p w14:paraId="2E2F6324"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Ishwaran H, </w:t>
      </w:r>
      <w:proofErr w:type="spellStart"/>
      <w:r w:rsidRPr="00E27E1A">
        <w:rPr>
          <w:rFonts w:ascii="Times New Roman" w:hAnsi="Times New Roman" w:cs="Times New Roman"/>
          <w:bCs/>
        </w:rPr>
        <w:t>Kogalur</w:t>
      </w:r>
      <w:proofErr w:type="spellEnd"/>
      <w:r w:rsidRPr="00E27E1A">
        <w:rPr>
          <w:rFonts w:ascii="Times New Roman" w:hAnsi="Times New Roman" w:cs="Times New Roman"/>
          <w:bCs/>
        </w:rPr>
        <w:t xml:space="preserve"> UB, Blackstone EH, Lauer MS. Random survival forests for R. </w:t>
      </w:r>
      <w:r w:rsidRPr="00E27E1A">
        <w:rPr>
          <w:rFonts w:ascii="Times New Roman" w:hAnsi="Times New Roman" w:cs="Times New Roman"/>
          <w:bCs/>
          <w:i/>
          <w:iCs/>
        </w:rPr>
        <w:t>Bioinformatics.</w:t>
      </w:r>
      <w:r w:rsidRPr="00E27E1A">
        <w:rPr>
          <w:rFonts w:ascii="Times New Roman" w:hAnsi="Times New Roman" w:cs="Times New Roman"/>
          <w:bCs/>
        </w:rPr>
        <w:t xml:space="preserve"> 2008;24(11):1363–1371.</w:t>
      </w:r>
    </w:p>
    <w:p w14:paraId="6AFB305F"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Blanche P, </w:t>
      </w:r>
      <w:proofErr w:type="spellStart"/>
      <w:r w:rsidRPr="00E27E1A">
        <w:rPr>
          <w:rFonts w:ascii="Times New Roman" w:hAnsi="Times New Roman" w:cs="Times New Roman"/>
          <w:bCs/>
        </w:rPr>
        <w:t>Dartigues</w:t>
      </w:r>
      <w:proofErr w:type="spellEnd"/>
      <w:r w:rsidRPr="00E27E1A">
        <w:rPr>
          <w:rFonts w:ascii="Times New Roman" w:hAnsi="Times New Roman" w:cs="Times New Roman"/>
          <w:bCs/>
        </w:rPr>
        <w:t xml:space="preserve"> JF, </w:t>
      </w:r>
      <w:proofErr w:type="spellStart"/>
      <w:r w:rsidRPr="00E27E1A">
        <w:rPr>
          <w:rFonts w:ascii="Times New Roman" w:hAnsi="Times New Roman" w:cs="Times New Roman"/>
          <w:bCs/>
        </w:rPr>
        <w:t>Jacqmin</w:t>
      </w:r>
      <w:proofErr w:type="spellEnd"/>
      <w:r w:rsidRPr="00E27E1A">
        <w:rPr>
          <w:rFonts w:ascii="Times New Roman" w:hAnsi="Times New Roman" w:cs="Times New Roman"/>
          <w:bCs/>
        </w:rPr>
        <w:t xml:space="preserve">-Gadda H. Estimating time-dependent AUC for censored event times. </w:t>
      </w:r>
      <w:r w:rsidRPr="00E27E1A">
        <w:rPr>
          <w:rFonts w:ascii="Times New Roman" w:hAnsi="Times New Roman" w:cs="Times New Roman"/>
          <w:bCs/>
          <w:i/>
          <w:iCs/>
        </w:rPr>
        <w:t>Stat Med.</w:t>
      </w:r>
      <w:r w:rsidRPr="00E27E1A">
        <w:rPr>
          <w:rFonts w:ascii="Times New Roman" w:hAnsi="Times New Roman" w:cs="Times New Roman"/>
          <w:bCs/>
        </w:rPr>
        <w:t xml:space="preserve"> 2013;32(30):5381–5397.</w:t>
      </w:r>
    </w:p>
    <w:p w14:paraId="417B939D"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Kattan MW, Vickers AJ, </w:t>
      </w:r>
      <w:proofErr w:type="spellStart"/>
      <w:r w:rsidRPr="00E27E1A">
        <w:rPr>
          <w:rFonts w:ascii="Times New Roman" w:hAnsi="Times New Roman" w:cs="Times New Roman"/>
          <w:bCs/>
        </w:rPr>
        <w:t>Steyerberg</w:t>
      </w:r>
      <w:proofErr w:type="spellEnd"/>
      <w:r w:rsidRPr="00E27E1A">
        <w:rPr>
          <w:rFonts w:ascii="Times New Roman" w:hAnsi="Times New Roman" w:cs="Times New Roman"/>
          <w:bCs/>
        </w:rPr>
        <w:t xml:space="preserve"> EW. Evaluating the calibration of predictive models in survival analysis. </w:t>
      </w:r>
      <w:r w:rsidRPr="00E27E1A">
        <w:rPr>
          <w:rFonts w:ascii="Times New Roman" w:hAnsi="Times New Roman" w:cs="Times New Roman"/>
          <w:bCs/>
          <w:i/>
          <w:iCs/>
        </w:rPr>
        <w:t>Stat Methods Med Res.</w:t>
      </w:r>
      <w:r w:rsidRPr="00E27E1A">
        <w:rPr>
          <w:rFonts w:ascii="Times New Roman" w:hAnsi="Times New Roman" w:cs="Times New Roman"/>
          <w:bCs/>
        </w:rPr>
        <w:t xml:space="preserve"> 2020;29(2):515–536.</w:t>
      </w:r>
    </w:p>
    <w:p w14:paraId="3CDAC57A"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r w:rsidRPr="00E27E1A">
        <w:rPr>
          <w:rFonts w:ascii="Times New Roman" w:hAnsi="Times New Roman" w:cs="Times New Roman"/>
          <w:bCs/>
        </w:rPr>
        <w:t xml:space="preserve">Vickers AJ, Van </w:t>
      </w:r>
      <w:proofErr w:type="spellStart"/>
      <w:r w:rsidRPr="00E27E1A">
        <w:rPr>
          <w:rFonts w:ascii="Times New Roman" w:hAnsi="Times New Roman" w:cs="Times New Roman"/>
          <w:bCs/>
        </w:rPr>
        <w:t>Calster</w:t>
      </w:r>
      <w:proofErr w:type="spellEnd"/>
      <w:r w:rsidRPr="00E27E1A">
        <w:rPr>
          <w:rFonts w:ascii="Times New Roman" w:hAnsi="Times New Roman" w:cs="Times New Roman"/>
          <w:bCs/>
        </w:rPr>
        <w:t xml:space="preserve"> B, </w:t>
      </w:r>
      <w:proofErr w:type="spellStart"/>
      <w:r w:rsidRPr="00E27E1A">
        <w:rPr>
          <w:rFonts w:ascii="Times New Roman" w:hAnsi="Times New Roman" w:cs="Times New Roman"/>
          <w:bCs/>
        </w:rPr>
        <w:t>Steyerberg</w:t>
      </w:r>
      <w:proofErr w:type="spellEnd"/>
      <w:r w:rsidRPr="00E27E1A">
        <w:rPr>
          <w:rFonts w:ascii="Times New Roman" w:hAnsi="Times New Roman" w:cs="Times New Roman"/>
          <w:bCs/>
        </w:rPr>
        <w:t xml:space="preserve"> EW. Net benefit approaches to the evaluation of prediction models. </w:t>
      </w:r>
      <w:r w:rsidRPr="00E27E1A">
        <w:rPr>
          <w:rFonts w:ascii="Times New Roman" w:hAnsi="Times New Roman" w:cs="Times New Roman"/>
          <w:bCs/>
          <w:i/>
          <w:iCs/>
        </w:rPr>
        <w:t>BMJ.</w:t>
      </w:r>
      <w:r w:rsidRPr="00E27E1A">
        <w:rPr>
          <w:rFonts w:ascii="Times New Roman" w:hAnsi="Times New Roman" w:cs="Times New Roman"/>
          <w:bCs/>
        </w:rPr>
        <w:t xml:space="preserve"> 2019;</w:t>
      </w:r>
      <w:proofErr w:type="gramStart"/>
      <w:r w:rsidRPr="00E27E1A">
        <w:rPr>
          <w:rFonts w:ascii="Times New Roman" w:hAnsi="Times New Roman" w:cs="Times New Roman"/>
          <w:bCs/>
        </w:rPr>
        <w:t>365:l</w:t>
      </w:r>
      <w:proofErr w:type="gramEnd"/>
      <w:r w:rsidRPr="00E27E1A">
        <w:rPr>
          <w:rFonts w:ascii="Times New Roman" w:hAnsi="Times New Roman" w:cs="Times New Roman"/>
          <w:bCs/>
        </w:rPr>
        <w:t>2373.</w:t>
      </w:r>
    </w:p>
    <w:p w14:paraId="2FD6B230" w14:textId="77777777" w:rsidR="002F3B50" w:rsidRPr="00E27E1A" w:rsidRDefault="00000000" w:rsidP="001C42D2">
      <w:pPr>
        <w:pStyle w:val="Compact"/>
        <w:numPr>
          <w:ilvl w:val="0"/>
          <w:numId w:val="2"/>
        </w:numPr>
        <w:spacing w:before="0" w:after="0" w:line="480" w:lineRule="auto"/>
        <w:rPr>
          <w:rFonts w:ascii="Times New Roman" w:hAnsi="Times New Roman" w:cs="Times New Roman"/>
          <w:bCs/>
        </w:rPr>
      </w:pPr>
      <w:proofErr w:type="spellStart"/>
      <w:r w:rsidRPr="00E27E1A">
        <w:rPr>
          <w:rFonts w:ascii="Times New Roman" w:hAnsi="Times New Roman" w:cs="Times New Roman"/>
          <w:bCs/>
        </w:rPr>
        <w:t>Steyerberg</w:t>
      </w:r>
      <w:proofErr w:type="spellEnd"/>
      <w:r w:rsidRPr="00E27E1A">
        <w:rPr>
          <w:rFonts w:ascii="Times New Roman" w:hAnsi="Times New Roman" w:cs="Times New Roman"/>
          <w:bCs/>
        </w:rPr>
        <w:t xml:space="preserve"> EW, Collins GS, </w:t>
      </w:r>
      <w:proofErr w:type="spellStart"/>
      <w:r w:rsidRPr="00E27E1A">
        <w:rPr>
          <w:rFonts w:ascii="Times New Roman" w:hAnsi="Times New Roman" w:cs="Times New Roman"/>
          <w:bCs/>
        </w:rPr>
        <w:t>Dauholuk</w:t>
      </w:r>
      <w:proofErr w:type="spellEnd"/>
      <w:r w:rsidRPr="00E27E1A">
        <w:rPr>
          <w:rFonts w:ascii="Times New Roman" w:hAnsi="Times New Roman" w:cs="Times New Roman"/>
          <w:bCs/>
        </w:rPr>
        <w:t xml:space="preserve"> A, </w:t>
      </w:r>
      <w:r w:rsidRPr="00E27E1A">
        <w:rPr>
          <w:rFonts w:ascii="Times New Roman" w:hAnsi="Times New Roman" w:cs="Times New Roman"/>
          <w:bCs/>
          <w:i/>
          <w:iCs/>
        </w:rPr>
        <w:t>et al.</w:t>
      </w:r>
      <w:r w:rsidRPr="00E27E1A">
        <w:rPr>
          <w:rFonts w:ascii="Times New Roman" w:hAnsi="Times New Roman" w:cs="Times New Roman"/>
          <w:bCs/>
        </w:rPr>
        <w:t xml:space="preserve"> Transparent reporting of a multivariable prediction model for individual prognosis or diagnosis (TRIPOD-2022). </w:t>
      </w:r>
      <w:r w:rsidRPr="00E27E1A">
        <w:rPr>
          <w:rFonts w:ascii="Times New Roman" w:hAnsi="Times New Roman" w:cs="Times New Roman"/>
          <w:bCs/>
          <w:i/>
          <w:iCs/>
        </w:rPr>
        <w:t>Nat Med.</w:t>
      </w:r>
      <w:r w:rsidRPr="00E27E1A">
        <w:rPr>
          <w:rFonts w:ascii="Times New Roman" w:hAnsi="Times New Roman" w:cs="Times New Roman"/>
          <w:bCs/>
        </w:rPr>
        <w:t xml:space="preserve"> 2023;29(3):591–599.</w:t>
      </w:r>
    </w:p>
    <w:p w14:paraId="5A7E9F3F" w14:textId="77777777" w:rsidR="002F3B50" w:rsidRPr="00E27E1A" w:rsidRDefault="00000000" w:rsidP="001C42D2">
      <w:pPr>
        <w:pStyle w:val="Ttulo1"/>
        <w:jc w:val="left"/>
      </w:pPr>
      <w:bookmarkStart w:id="23" w:name="figure-legends"/>
      <w:bookmarkEnd w:id="22"/>
      <w:r w:rsidRPr="00E27E1A">
        <w:lastRenderedPageBreak/>
        <w:t>Figure Legends</w:t>
      </w:r>
    </w:p>
    <w:p w14:paraId="11BBB801" w14:textId="77777777" w:rsidR="00280FD5" w:rsidRPr="00E27E1A" w:rsidRDefault="00280FD5" w:rsidP="001C42D2">
      <w:pPr>
        <w:pStyle w:val="FirstParagraph"/>
        <w:spacing w:before="0" w:after="0" w:line="480" w:lineRule="auto"/>
        <w:rPr>
          <w:rFonts w:ascii="Times New Roman" w:hAnsi="Times New Roman" w:cs="Times New Roman"/>
          <w:bCs/>
          <w:lang w:val="en-US"/>
        </w:rPr>
      </w:pPr>
      <w:r w:rsidRPr="00E27E1A">
        <w:rPr>
          <w:rFonts w:ascii="Times New Roman" w:hAnsi="Times New Roman" w:cs="Times New Roman"/>
          <w:bCs/>
          <w:lang w:val="en-US"/>
        </w:rPr>
        <w:t>Figure 1. Analytical workflow for model development and validation</w:t>
      </w:r>
    </w:p>
    <w:p w14:paraId="698EB4D5" w14:textId="79BECE4A" w:rsidR="00280FD5" w:rsidRPr="00E27E1A" w:rsidRDefault="00280FD5" w:rsidP="001C42D2">
      <w:pPr>
        <w:pStyle w:val="FirstParagraph"/>
        <w:spacing w:before="0" w:after="0" w:line="480" w:lineRule="auto"/>
        <w:rPr>
          <w:rFonts w:ascii="Times New Roman" w:hAnsi="Times New Roman" w:cs="Times New Roman"/>
          <w:bCs/>
          <w:lang w:val="en-US"/>
        </w:rPr>
      </w:pPr>
      <w:r w:rsidRPr="00E27E1A">
        <w:rPr>
          <w:rFonts w:ascii="Times New Roman" w:hAnsi="Times New Roman" w:cs="Times New Roman"/>
          <w:bCs/>
          <w:lang w:val="en-US"/>
        </w:rPr>
        <w:t xml:space="preserve">Overview of the analytical pipeline used to develop and validate the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model. Raw transcriptomic and clinical data from three public cohorts (METABRIC, TCGA-BRCA, and GSE25066) were processed through a unified workflow comprising quality control, HGNC-based gene harmonization, and intra-cohort z-score normalization. A cross-platform audit and gene intersection identified 11,544 genes shared among all datasets, from which 40 consistently detected genes defined the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panel. Models were trained in the METABRIC cohort using Cox-LASSO and Random Survival Forests (RSF) and externally validated in TCGA (overall survival) and GSE25066 (disease-free survival). Subsequent molecular validation included intrinsic subtype assignment, correlation analysis, and principal component analysis (PCA).</w:t>
      </w:r>
      <w:r w:rsidRPr="00E27E1A">
        <w:rPr>
          <w:rFonts w:ascii="Times New Roman" w:hAnsi="Times New Roman" w:cs="Times New Roman"/>
          <w:bCs/>
          <w:lang w:val="en-US"/>
        </w:rPr>
        <w:br/>
        <w:t>Final outputs comprised subtype predictions, risk scores, and cross-cohort reproducibility metrics.</w:t>
      </w:r>
    </w:p>
    <w:p w14:paraId="46B01C7D" w14:textId="6A885A6D" w:rsidR="002F3B50" w:rsidRPr="00E27E1A" w:rsidRDefault="00000000" w:rsidP="001C42D2">
      <w:pPr>
        <w:pStyle w:val="FirstParagraph"/>
        <w:spacing w:before="0" w:after="0" w:line="480" w:lineRule="auto"/>
        <w:rPr>
          <w:rFonts w:ascii="Times New Roman" w:hAnsi="Times New Roman" w:cs="Times New Roman"/>
          <w:bCs/>
        </w:rPr>
      </w:pPr>
      <w:r w:rsidRPr="00E27E1A">
        <w:rPr>
          <w:rFonts w:ascii="Times New Roman" w:hAnsi="Times New Roman" w:cs="Times New Roman"/>
          <w:bCs/>
        </w:rPr>
        <w:t xml:space="preserve">Figure </w:t>
      </w:r>
      <w:r w:rsidR="00811FB5" w:rsidRPr="00E27E1A">
        <w:rPr>
          <w:rFonts w:ascii="Times New Roman" w:hAnsi="Times New Roman" w:cs="Times New Roman"/>
          <w:bCs/>
        </w:rPr>
        <w:t>2</w:t>
      </w:r>
      <w:r w:rsidR="004E1C64" w:rsidRPr="00E27E1A">
        <w:rPr>
          <w:rFonts w:ascii="Times New Roman" w:hAnsi="Times New Roman" w:cs="Times New Roman"/>
          <w:bCs/>
        </w:rPr>
        <w:t>.</w:t>
      </w:r>
      <w:r w:rsidRPr="00E27E1A">
        <w:rPr>
          <w:rFonts w:ascii="Times New Roman" w:hAnsi="Times New Roman" w:cs="Times New Roman"/>
          <w:bCs/>
        </w:rPr>
        <w:t xml:space="preserve"> LASSO-Cox model development on the METABRIC training cohort. </w:t>
      </w:r>
      <w:r w:rsidRPr="00E27E1A">
        <w:rPr>
          <w:rFonts w:ascii="Times New Roman" w:hAnsi="Times New Roman" w:cs="Times New Roman"/>
          <w:bCs/>
          <w:i/>
          <w:iCs/>
        </w:rPr>
        <w:t>(A)</w:t>
      </w:r>
      <w:r w:rsidRPr="00E27E1A">
        <w:rPr>
          <w:rFonts w:ascii="Times New Roman" w:hAnsi="Times New Roman" w:cs="Times New Roman"/>
          <w:bCs/>
        </w:rPr>
        <w:t xml:space="preserve"> LASSO coefficient paths for all 40 core-PAM50 genes. As the regularization stringency increases (moving left on the x-axis, higher log(λ)), most gene coefficients shrink to zero. At the optimal λ (vertical dashed line), 20 genes remain with non-zero coefficients, defining the parsimonious prognostic model. </w:t>
      </w:r>
      <w:r w:rsidRPr="00E27E1A">
        <w:rPr>
          <w:rFonts w:ascii="Times New Roman" w:hAnsi="Times New Roman" w:cs="Times New Roman"/>
          <w:bCs/>
          <w:i/>
          <w:iCs/>
        </w:rPr>
        <w:t>(B)</w:t>
      </w:r>
      <w:r w:rsidRPr="00E27E1A">
        <w:rPr>
          <w:rFonts w:ascii="Times New Roman" w:hAnsi="Times New Roman" w:cs="Times New Roman"/>
          <w:bCs/>
        </w:rPr>
        <w:t xml:space="preserve"> Cross-validated deviance profile (10-fold CV) as a function of λ. The red dot indicates the </w:t>
      </w:r>
      <w:proofErr w:type="spellStart"/>
      <w:r w:rsidRPr="00E27E1A">
        <w:rPr>
          <w:rFonts w:ascii="Times New Roman" w:hAnsi="Times New Roman" w:cs="Times New Roman"/>
          <w:bCs/>
        </w:rPr>
        <w:t>λ_min</w:t>
      </w:r>
      <w:proofErr w:type="spellEnd"/>
      <w:r w:rsidRPr="00E27E1A">
        <w:rPr>
          <w:rFonts w:ascii="Times New Roman" w:hAnsi="Times New Roman" w:cs="Times New Roman"/>
          <w:bCs/>
        </w:rPr>
        <w:t xml:space="preserve"> chosen for the final model, which lies within a broad minimum of the deviance curve, suggesting minimal overfitting. The error bars show ±1 standard error. These panels illustrate that the LASSO identified a sparse set of predictive genes and that this model is stable and well-tuned.</w:t>
      </w:r>
    </w:p>
    <w:p w14:paraId="2A3ADBE8" w14:textId="77777777" w:rsidR="00AF48F2" w:rsidRPr="00E27E1A" w:rsidRDefault="00AF48F2"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lastRenderedPageBreak/>
        <w:t xml:space="preserve">Figure 3. External validation of the 20-gene </w:t>
      </w:r>
      <w:r w:rsidRPr="00E27E1A">
        <w:rPr>
          <w:rFonts w:ascii="Times New Roman" w:hAnsi="Times New Roman" w:cs="Times New Roman"/>
          <w:bCs/>
          <w:i/>
          <w:iCs/>
        </w:rPr>
        <w:t>core-PAM50</w:t>
      </w:r>
      <w:r w:rsidRPr="00E27E1A">
        <w:rPr>
          <w:rFonts w:ascii="Times New Roman" w:hAnsi="Times New Roman" w:cs="Times New Roman"/>
          <w:bCs/>
        </w:rPr>
        <w:t xml:space="preserve"> Cox model in independent cohorts.</w:t>
      </w:r>
      <w:r w:rsidRPr="00E27E1A">
        <w:rPr>
          <w:rFonts w:ascii="Times New Roman" w:hAnsi="Times New Roman" w:cs="Times New Roman"/>
          <w:bCs/>
        </w:rPr>
        <w:br/>
        <w:t>(A) Kaplan–Meier overall-survival curves for TCGA-BRCA, stratified by predicted risk tertiles (High, Intermediate, Low).</w:t>
      </w:r>
      <w:r w:rsidRPr="00E27E1A">
        <w:rPr>
          <w:rFonts w:ascii="Times New Roman" w:hAnsi="Times New Roman" w:cs="Times New Roman"/>
          <w:bCs/>
        </w:rPr>
        <w:br/>
        <w:t>No significant separation was observed (HR = 0.89 [0.67–1.19]; p = 0.45), consistent with the limited follow-up and low event rate in this cohort.</w:t>
      </w:r>
      <w:r w:rsidRPr="00E27E1A">
        <w:rPr>
          <w:rFonts w:ascii="Times New Roman" w:hAnsi="Times New Roman" w:cs="Times New Roman"/>
          <w:bCs/>
        </w:rPr>
        <w:br/>
        <w:t>(B) Kaplan–Meier disease-free-survival curves for GSE25066 (neoadjuvant chemotherapy cohort).</w:t>
      </w:r>
      <w:r w:rsidRPr="00E27E1A">
        <w:rPr>
          <w:rFonts w:ascii="Times New Roman" w:hAnsi="Times New Roman" w:cs="Times New Roman"/>
          <w:bCs/>
        </w:rPr>
        <w:br/>
        <w:t>High-Risk patients exhibited significantly poorer outcomes than Low-Risk patients (HR = 0.50 [0.35–0.73]; p &lt; 0.001), corresponding to an inverse two-fold increase in hazard.</w:t>
      </w:r>
      <w:r w:rsidRPr="00E27E1A">
        <w:rPr>
          <w:rFonts w:ascii="Times New Roman" w:hAnsi="Times New Roman" w:cs="Times New Roman"/>
          <w:bCs/>
        </w:rPr>
        <w:br/>
        <w:t xml:space="preserve">These findings confirm external prognostic reproducibility of the </w:t>
      </w:r>
      <w:r w:rsidRPr="00E27E1A">
        <w:rPr>
          <w:rFonts w:ascii="Times New Roman" w:hAnsi="Times New Roman" w:cs="Times New Roman"/>
          <w:bCs/>
          <w:i/>
          <w:iCs/>
        </w:rPr>
        <w:t>core-PAM50</w:t>
      </w:r>
      <w:r w:rsidRPr="00E27E1A">
        <w:rPr>
          <w:rFonts w:ascii="Times New Roman" w:hAnsi="Times New Roman" w:cs="Times New Roman"/>
          <w:bCs/>
        </w:rPr>
        <w:t xml:space="preserve"> model across distinct clinical contexts.</w:t>
      </w:r>
    </w:p>
    <w:p w14:paraId="43F2B223" w14:textId="77777777" w:rsidR="000D1F87" w:rsidRPr="00E27E1A" w:rsidRDefault="000D1F87"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Figure 4. Forest plot of hazard ratios for Low versus High risk groups across independent cohorts.</w:t>
      </w:r>
      <w:r w:rsidRPr="00E27E1A">
        <w:rPr>
          <w:rFonts w:ascii="Times New Roman" w:hAnsi="Times New Roman" w:cs="Times New Roman"/>
          <w:bCs/>
        </w:rPr>
        <w:br/>
        <w:t>Horizontal bars represent 95 % confidence intervals; vertical dashed line indicates the null value (HR = 1).</w:t>
      </w:r>
      <w:r w:rsidRPr="00E27E1A">
        <w:rPr>
          <w:rFonts w:ascii="Times New Roman" w:hAnsi="Times New Roman" w:cs="Times New Roman"/>
          <w:bCs/>
        </w:rPr>
        <w:br/>
        <w:t xml:space="preserve">The </w:t>
      </w:r>
      <w:r w:rsidRPr="00E27E1A">
        <w:rPr>
          <w:rFonts w:ascii="Times New Roman" w:hAnsi="Times New Roman" w:cs="Times New Roman"/>
          <w:bCs/>
          <w:i/>
          <w:iCs/>
        </w:rPr>
        <w:t>core-PAM50</w:t>
      </w:r>
      <w:r w:rsidRPr="00E27E1A">
        <w:rPr>
          <w:rFonts w:ascii="Times New Roman" w:hAnsi="Times New Roman" w:cs="Times New Roman"/>
          <w:bCs/>
        </w:rPr>
        <w:t xml:space="preserve"> Cox model showed a strong prognostic effect in METABRIC and GSE25066, with Low-risk patients exhibiting roughly half the hazard observed in High-risk patients, while TCGA showed no significant difference.</w:t>
      </w:r>
      <w:r w:rsidRPr="00E27E1A">
        <w:rPr>
          <w:rFonts w:ascii="Times New Roman" w:hAnsi="Times New Roman" w:cs="Times New Roman"/>
          <w:bCs/>
        </w:rPr>
        <w:br/>
        <w:t>The pooled meta-analytic estimate (HR = 0.68 [0.39–1.20]) supports a consistent protective direction for the Low-risk group across datasets and platforms.</w:t>
      </w:r>
    </w:p>
    <w:p w14:paraId="545E8854" w14:textId="5FBE9A04" w:rsidR="002F3B50" w:rsidRPr="00E27E1A" w:rsidRDefault="00000000"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 xml:space="preserve">Figure </w:t>
      </w:r>
      <w:r w:rsidR="00811FB5" w:rsidRPr="00E27E1A">
        <w:rPr>
          <w:rFonts w:ascii="Times New Roman" w:hAnsi="Times New Roman" w:cs="Times New Roman"/>
          <w:bCs/>
        </w:rPr>
        <w:t>5</w:t>
      </w:r>
      <w:r w:rsidR="004E1C64" w:rsidRPr="00E27E1A">
        <w:rPr>
          <w:rFonts w:ascii="Times New Roman" w:hAnsi="Times New Roman" w:cs="Times New Roman"/>
          <w:bCs/>
        </w:rPr>
        <w:t>.</w:t>
      </w:r>
      <w:r w:rsidRPr="00E27E1A">
        <w:rPr>
          <w:rFonts w:ascii="Times New Roman" w:hAnsi="Times New Roman" w:cs="Times New Roman"/>
          <w:bCs/>
        </w:rPr>
        <w:t xml:space="preserve"> Cross-platform calibration of 5-year survival predictions. Calibration curves for 5-year outcome probability in METABRIC (circles), GSE25066 (triangles), and TCGA (squares). The x-axis is the Cox model–predicted probability of 5-year survival for groups of patients (binned by risk score deciles), and the y-axis is the observed 5-year survival fraction in each bin. The </w:t>
      </w:r>
      <w:r w:rsidRPr="00E27E1A">
        <w:rPr>
          <w:rFonts w:ascii="Times New Roman" w:hAnsi="Times New Roman" w:cs="Times New Roman"/>
          <w:bCs/>
        </w:rPr>
        <w:lastRenderedPageBreak/>
        <w:t>diagonal line represents perfect calibration (predicted = observed). METABRIC (blue) shows excellent calibration (points near the line). GSE25066 (red) is also well-calibrated at 5 years, indicating the model’s absolute risk estimates translate accurately to a neoadjuvant-treated cohort. TCGA (green) shows moderate miscalibration with observed outcomes better than predicted for high-risk scores (points above the line at lower survival probabilities), consistent with risk overestimation in a short follow-up scenario. Error bars denote 95% CIs for observed survival in each bin.</w:t>
      </w:r>
    </w:p>
    <w:p w14:paraId="7899FE99" w14:textId="77777777" w:rsidR="002919C7" w:rsidRPr="00E27E1A" w:rsidRDefault="002919C7" w:rsidP="001C42D2">
      <w:pPr>
        <w:pStyle w:val="Corpodetexto"/>
        <w:spacing w:before="0" w:after="0" w:line="480" w:lineRule="auto"/>
        <w:rPr>
          <w:rFonts w:ascii="Times New Roman" w:hAnsi="Times New Roman" w:cs="Times New Roman"/>
          <w:bCs/>
        </w:rPr>
      </w:pPr>
      <w:r w:rsidRPr="00E27E1A">
        <w:rPr>
          <w:rFonts w:ascii="Times New Roman" w:hAnsi="Times New Roman" w:cs="Times New Roman"/>
          <w:bCs/>
        </w:rPr>
        <w:t>Figure 6. Cross-cohort subtype expression concordance for the core-PAM50 panel.</w:t>
      </w:r>
      <w:r w:rsidRPr="00E27E1A">
        <w:rPr>
          <w:rFonts w:ascii="Times New Roman" w:hAnsi="Times New Roman" w:cs="Times New Roman"/>
          <w:bCs/>
        </w:rPr>
        <w:br/>
        <w:t>Heatmaps show Pearson correlations (r) between mean subtype-specific expression profiles (“centroids”) derived from METABRIC, TCGA, and GSE25066 for each intrinsic subtype (Basal-like, HER2-enriched, Luminal A, Luminal B, Normal-like).</w:t>
      </w:r>
      <w:r w:rsidRPr="00E27E1A">
        <w:rPr>
          <w:rFonts w:ascii="Times New Roman" w:hAnsi="Times New Roman" w:cs="Times New Roman"/>
          <w:bCs/>
        </w:rPr>
        <w:br/>
        <w:t>Each block represents cross-cohort correlations for one subtype.</w:t>
      </w:r>
      <w:r w:rsidRPr="00E27E1A">
        <w:rPr>
          <w:rFonts w:ascii="Times New Roman" w:hAnsi="Times New Roman" w:cs="Times New Roman"/>
          <w:bCs/>
        </w:rPr>
        <w:br/>
        <w:t xml:space="preserve">Uniformly high correlations (r &gt; 0.8 in all cases) demonstrate strong reproducibility of subtype-defining transcriptional patterns across independent cohorts and technologies, confirming that the 40-gene </w:t>
      </w:r>
      <w:r w:rsidRPr="00E27E1A">
        <w:rPr>
          <w:rFonts w:ascii="Times New Roman" w:hAnsi="Times New Roman" w:cs="Times New Roman"/>
          <w:bCs/>
          <w:i/>
          <w:iCs/>
        </w:rPr>
        <w:t>core-PAM50</w:t>
      </w:r>
      <w:r w:rsidRPr="00E27E1A">
        <w:rPr>
          <w:rFonts w:ascii="Times New Roman" w:hAnsi="Times New Roman" w:cs="Times New Roman"/>
          <w:bCs/>
        </w:rPr>
        <w:t xml:space="preserve"> captures the intrinsic-subtype architecture in a platform-independent manner.</w:t>
      </w:r>
    </w:p>
    <w:p w14:paraId="4593E58E" w14:textId="77777777" w:rsidR="007F6C85" w:rsidRPr="00E27E1A" w:rsidRDefault="007F6C85" w:rsidP="001C42D2">
      <w:pPr>
        <w:pStyle w:val="Corpodetexto"/>
        <w:spacing w:after="0" w:line="480" w:lineRule="auto"/>
        <w:rPr>
          <w:rFonts w:ascii="Times New Roman" w:hAnsi="Times New Roman" w:cs="Times New Roman"/>
          <w:bCs/>
        </w:rPr>
      </w:pPr>
      <w:r w:rsidRPr="00E27E1A">
        <w:rPr>
          <w:rFonts w:ascii="Times New Roman" w:hAnsi="Times New Roman" w:cs="Times New Roman"/>
          <w:bCs/>
        </w:rPr>
        <w:t>Figure 7. Principal component analysis (PCA) of the core-PAM50 expression space across cohorts.</w:t>
      </w:r>
      <w:r w:rsidRPr="00E27E1A">
        <w:rPr>
          <w:rFonts w:ascii="Times New Roman" w:hAnsi="Times New Roman" w:cs="Times New Roman"/>
          <w:bCs/>
        </w:rPr>
        <w:br/>
        <w:t xml:space="preserve">Scatterplots show the first two principal components (PC1, PC2) of standardized expression for the 40 </w:t>
      </w:r>
      <w:r w:rsidRPr="00E27E1A">
        <w:rPr>
          <w:rFonts w:ascii="Times New Roman" w:hAnsi="Times New Roman" w:cs="Times New Roman"/>
          <w:bCs/>
          <w:i/>
          <w:iCs/>
        </w:rPr>
        <w:t>core-PAM50</w:t>
      </w:r>
      <w:r w:rsidRPr="00E27E1A">
        <w:rPr>
          <w:rFonts w:ascii="Times New Roman" w:hAnsi="Times New Roman" w:cs="Times New Roman"/>
          <w:bCs/>
        </w:rPr>
        <w:t xml:space="preserve"> genes in GSE25066 (left), METABRIC (center), and TCGA (right).</w:t>
      </w:r>
      <w:r w:rsidRPr="00E27E1A">
        <w:rPr>
          <w:rFonts w:ascii="Times New Roman" w:hAnsi="Times New Roman" w:cs="Times New Roman"/>
          <w:bCs/>
        </w:rPr>
        <w:br/>
        <w:t>Each point represents a tumor sample, colored by its assigned intrinsic subtype.</w:t>
      </w:r>
      <w:r w:rsidRPr="00E27E1A">
        <w:rPr>
          <w:rFonts w:ascii="Times New Roman" w:hAnsi="Times New Roman" w:cs="Times New Roman"/>
          <w:bCs/>
        </w:rPr>
        <w:br/>
        <w:t>Ellipses indicate 95 % confidence regions per subtype.</w:t>
      </w:r>
      <w:r w:rsidRPr="00E27E1A">
        <w:rPr>
          <w:rFonts w:ascii="Times New Roman" w:hAnsi="Times New Roman" w:cs="Times New Roman"/>
          <w:bCs/>
        </w:rPr>
        <w:br/>
        <w:t xml:space="preserve">In all cohorts, PC1 captures the dominant “proliferation vs. luminal differentiation” axis </w:t>
      </w:r>
      <w:r w:rsidRPr="00E27E1A">
        <w:rPr>
          <w:rFonts w:ascii="Times New Roman" w:hAnsi="Times New Roman" w:cs="Times New Roman"/>
          <w:bCs/>
        </w:rPr>
        <w:lastRenderedPageBreak/>
        <w:t>separating Basal-like from Luminal tumors, while HER2-enriched and Normal-like cases occupy intermediate or diffuse regions.</w:t>
      </w:r>
      <w:r w:rsidRPr="00E27E1A">
        <w:rPr>
          <w:rFonts w:ascii="Times New Roman" w:hAnsi="Times New Roman" w:cs="Times New Roman"/>
          <w:bCs/>
        </w:rPr>
        <w:br/>
        <w:t xml:space="preserve">Despite differences in technology and signal compression, subtype topology is preserved across datasets, confirming the cross-platform reproducibility of the </w:t>
      </w:r>
      <w:r w:rsidRPr="00E27E1A">
        <w:rPr>
          <w:rFonts w:ascii="Times New Roman" w:hAnsi="Times New Roman" w:cs="Times New Roman"/>
          <w:bCs/>
          <w:i/>
          <w:iCs/>
        </w:rPr>
        <w:t>core-PAM50</w:t>
      </w:r>
      <w:r w:rsidRPr="00E27E1A">
        <w:rPr>
          <w:rFonts w:ascii="Times New Roman" w:hAnsi="Times New Roman" w:cs="Times New Roman"/>
          <w:bCs/>
        </w:rPr>
        <w:t xml:space="preserve"> molecular structure.</w:t>
      </w:r>
    </w:p>
    <w:p w14:paraId="3296CCF9" w14:textId="60CA2254" w:rsidR="003B2A14" w:rsidRPr="00E27E1A" w:rsidRDefault="003B2A14"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t>Table 1. Summary of core-PAM50 Cox-LASSO model parameters and internal validation metrics (METABRIC training cohort).</w:t>
      </w:r>
      <w:r w:rsidRPr="00E27E1A">
        <w:rPr>
          <w:rFonts w:ascii="Times New Roman" w:hAnsi="Times New Roman" w:cs="Times New Roman"/>
          <w:bCs/>
          <w:lang w:val="en-US"/>
        </w:rPr>
        <w:br/>
        <w:t xml:space="preserve">The table summarizes key model parameters, internal performance, and biological interpretation. The 20-gene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model was trained on 1,980 METABRIC patients using LASSO-penalized Cox regression (</w:t>
      </w:r>
      <w:proofErr w:type="spellStart"/>
      <w:r w:rsidRPr="00E27E1A">
        <w:rPr>
          <w:rFonts w:ascii="Times New Roman" w:hAnsi="Times New Roman" w:cs="Times New Roman"/>
          <w:bCs/>
          <w:lang w:val="en-US"/>
        </w:rPr>
        <w:t>λ_min</w:t>
      </w:r>
      <w:proofErr w:type="spellEnd"/>
      <w:r w:rsidRPr="00E27E1A">
        <w:rPr>
          <w:rFonts w:ascii="Times New Roman" w:hAnsi="Times New Roman" w:cs="Times New Roman"/>
          <w:bCs/>
          <w:lang w:val="en-US"/>
        </w:rPr>
        <w:t xml:space="preserve"> = 0.0129).</w:t>
      </w:r>
      <w:r w:rsidRPr="00E27E1A">
        <w:rPr>
          <w:rFonts w:ascii="Times New Roman" w:hAnsi="Times New Roman" w:cs="Times New Roman"/>
          <w:bCs/>
          <w:lang w:val="en-US"/>
        </w:rPr>
        <w:br/>
        <w:t>Internal cross-validation yielded a C-index of 0.584, comparable to previous gene-only prognostic models. Risk tertiles showed a twofold difference in mortality hazard (HR ≈ 2.0; p &lt; 0.001) with excellent 5-year calibration (slope ≈ 1.0). The model defines a stable luminal–proliferative risk axis consistent with PAM50 biology.</w:t>
      </w:r>
    </w:p>
    <w:p w14:paraId="355DFE3F" w14:textId="1BB4AD89" w:rsidR="002F3B50" w:rsidRPr="00E27E1A" w:rsidRDefault="00A57029" w:rsidP="001C42D2">
      <w:pPr>
        <w:pStyle w:val="Corpodetexto"/>
        <w:spacing w:after="0" w:line="480" w:lineRule="auto"/>
        <w:rPr>
          <w:rFonts w:ascii="Times New Roman" w:hAnsi="Times New Roman" w:cs="Times New Roman"/>
          <w:bCs/>
        </w:rPr>
      </w:pPr>
      <w:r w:rsidRPr="00E27E1A">
        <w:rPr>
          <w:rFonts w:ascii="Times New Roman" w:hAnsi="Times New Roman" w:cs="Times New Roman"/>
          <w:bCs/>
        </w:rPr>
        <w:t>Table 2. Summary of prognostic performance of the core-PAM50 Cox model across training and validation cohorts.</w:t>
      </w:r>
      <w:r w:rsidRPr="00E27E1A">
        <w:rPr>
          <w:rFonts w:ascii="Times New Roman" w:hAnsi="Times New Roman" w:cs="Times New Roman"/>
          <w:bCs/>
        </w:rPr>
        <w:br/>
        <w:t>Metrics shown include hazard ratios (High vs Low Risk), discrimination (C-index and time-dependent AUC at 5 years), and calibration (slope/intercept).</w:t>
      </w:r>
      <w:r w:rsidRPr="00E27E1A">
        <w:rPr>
          <w:rFonts w:ascii="Times New Roman" w:hAnsi="Times New Roman" w:cs="Times New Roman"/>
          <w:bCs/>
        </w:rPr>
        <w:br/>
        <w:t>Performance was consistent in direction across cohorts, with strongest discrimination observed in the GSE25066 neoadjuvant dataset and a significant pooled meta-analytic estimate (HR = 1.5 [1.1–2.1], p = 0.01).</w:t>
      </w:r>
      <w:r w:rsidRPr="00E27E1A">
        <w:rPr>
          <w:rFonts w:ascii="Times New Roman" w:hAnsi="Times New Roman" w:cs="Times New Roman"/>
          <w:bCs/>
        </w:rPr>
        <w:br/>
        <w:t>All hazard ratios are reported for High vs Low Risk tertiles derived from the fixed 20-gene Cox-LASSO model trained on METABRIC.</w:t>
      </w:r>
      <w:bookmarkStart w:id="24" w:name="citations"/>
      <w:bookmarkEnd w:id="1"/>
      <w:bookmarkEnd w:id="2"/>
      <w:bookmarkEnd w:id="23"/>
      <w:bookmarkEnd w:id="24"/>
    </w:p>
    <w:p w14:paraId="0A428FD6" w14:textId="77777777" w:rsidR="00B10BC8" w:rsidRPr="00E27E1A" w:rsidRDefault="00B10BC8"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lastRenderedPageBreak/>
        <w:t>Supplementary Table S1. Comparison of the original PAM50 gene list and the 40-gene core-PAM50 subset.</w:t>
      </w:r>
    </w:p>
    <w:p w14:paraId="3694AA5B" w14:textId="77777777" w:rsidR="00B10BC8" w:rsidRPr="00E27E1A" w:rsidRDefault="00B10BC8"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t xml:space="preserve">This table lists all genes from the canonical PAM50 signature and indicates whether each gene was retained in the 40-gene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panel.</w:t>
      </w:r>
      <w:r w:rsidRPr="00E27E1A">
        <w:rPr>
          <w:rFonts w:ascii="Times New Roman" w:hAnsi="Times New Roman" w:cs="Times New Roman"/>
          <w:bCs/>
          <w:lang w:val="en-US"/>
        </w:rPr>
        <w:br/>
        <w:t>For excluded genes, the specific technical reason is provided (e.g., absence from one or more microarray platforms, inconsistent annotation, or unreliable detection in RNA-seq).</w:t>
      </w:r>
      <w:r w:rsidRPr="00E27E1A">
        <w:rPr>
          <w:rFonts w:ascii="Times New Roman" w:hAnsi="Times New Roman" w:cs="Times New Roman"/>
          <w:bCs/>
          <w:lang w:val="en-US"/>
        </w:rPr>
        <w:br/>
        <w:t>Out of the 50 PAM50 genes (48 unique symbols), 40 were consistently detected across all datasets (METABRIC, TCGA-BRCA, and GSE25066) and therefore retained; 10 were excluded due to cross-platform incompatibility.</w:t>
      </w:r>
      <w:r w:rsidRPr="00E27E1A">
        <w:rPr>
          <w:rFonts w:ascii="Times New Roman" w:hAnsi="Times New Roman" w:cs="Times New Roman"/>
          <w:bCs/>
          <w:lang w:val="en-US"/>
        </w:rPr>
        <w:br/>
        <w:t xml:space="preserve">These retained genes form the harmonized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panel used for model training and validation.</w:t>
      </w:r>
    </w:p>
    <w:p w14:paraId="159692D4" w14:textId="77777777" w:rsidR="00B10BC8" w:rsidRPr="00E27E1A" w:rsidRDefault="00B10BC8"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t>Supplementary Table S2. Cox-LASSO coefficients, hazard ratios, and biological interpretation for the 20 genes selected in the core-PAM50 prognostic model.</w:t>
      </w:r>
    </w:p>
    <w:p w14:paraId="4C8B8184" w14:textId="77777777" w:rsidR="00B10BC8" w:rsidRPr="00E27E1A" w:rsidRDefault="00B10BC8"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t>This table reports the 20 genes retained with non-zero coefficients in the final LASSO-penalized Cox proportional hazards model trained on the METABRIC cohort.</w:t>
      </w:r>
      <w:r w:rsidRPr="00E27E1A">
        <w:rPr>
          <w:rFonts w:ascii="Times New Roman" w:hAnsi="Times New Roman" w:cs="Times New Roman"/>
          <w:bCs/>
          <w:lang w:val="en-US"/>
        </w:rPr>
        <w:br/>
        <w:t>Columns indicate the Cox coefficient (β), hazard ratio (exp β), known biological function, and direction of prognostic association (High-risk or Low-risk).</w:t>
      </w:r>
      <w:r w:rsidRPr="00E27E1A">
        <w:rPr>
          <w:rFonts w:ascii="Times New Roman" w:hAnsi="Times New Roman" w:cs="Times New Roman"/>
          <w:bCs/>
          <w:lang w:val="en-US"/>
        </w:rPr>
        <w:br/>
        <w:t xml:space="preserve">Positive coefficients correspond to genes whose higher expression increases hazard (proliferation-related markers such as </w:t>
      </w:r>
      <w:r w:rsidRPr="00E27E1A">
        <w:rPr>
          <w:rFonts w:ascii="Times New Roman" w:hAnsi="Times New Roman" w:cs="Times New Roman"/>
          <w:bCs/>
          <w:i/>
          <w:iCs/>
          <w:lang w:val="en-US"/>
        </w:rPr>
        <w:t>MKI67, UBE2C, CCNB1, CEP55</w:t>
      </w:r>
      <w:r w:rsidRPr="00E27E1A">
        <w:rPr>
          <w:rFonts w:ascii="Times New Roman" w:hAnsi="Times New Roman" w:cs="Times New Roman"/>
          <w:bCs/>
          <w:lang w:val="en-US"/>
        </w:rPr>
        <w:t>), while negative coefficients represent protective, hormone-regulated genes (</w:t>
      </w:r>
      <w:r w:rsidRPr="00E27E1A">
        <w:rPr>
          <w:rFonts w:ascii="Times New Roman" w:hAnsi="Times New Roman" w:cs="Times New Roman"/>
          <w:bCs/>
          <w:i/>
          <w:iCs/>
          <w:lang w:val="en-US"/>
        </w:rPr>
        <w:t>ESR1, PGR, BCL2, BAG1, NAT1</w:t>
      </w:r>
      <w:r w:rsidRPr="00E27E1A">
        <w:rPr>
          <w:rFonts w:ascii="Times New Roman" w:hAnsi="Times New Roman" w:cs="Times New Roman"/>
          <w:bCs/>
          <w:lang w:val="en-US"/>
        </w:rPr>
        <w:t>, etc.).</w:t>
      </w:r>
      <w:r w:rsidRPr="00E27E1A">
        <w:rPr>
          <w:rFonts w:ascii="Times New Roman" w:hAnsi="Times New Roman" w:cs="Times New Roman"/>
          <w:bCs/>
          <w:lang w:val="en-US"/>
        </w:rPr>
        <w:br/>
        <w:t xml:space="preserve">These 20 genes collectively define the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prognostic signature used for external validation and survival analysis.</w:t>
      </w:r>
    </w:p>
    <w:p w14:paraId="143DED71" w14:textId="77777777" w:rsidR="00517452" w:rsidRPr="00E27E1A" w:rsidRDefault="00517452"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lastRenderedPageBreak/>
        <w:t>Supplementary Figure S1. Random Survival Forest (RSF) variable importance for the 40 core-PAM50 genes in the METABRIC cohort.</w:t>
      </w:r>
    </w:p>
    <w:p w14:paraId="13BB8D8B" w14:textId="604FD419" w:rsidR="00B10BC8" w:rsidRPr="00E27E1A" w:rsidRDefault="00517452"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t xml:space="preserve">Bar plot displaying the permutation-based variable importance (VIMP, out-of-bag estimates) for each gene in the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panel as determined by the Random Survival Forest model trained on the METABRIC dataset.</w:t>
      </w:r>
      <w:r w:rsidRPr="00E27E1A">
        <w:rPr>
          <w:rFonts w:ascii="Times New Roman" w:hAnsi="Times New Roman" w:cs="Times New Roman"/>
          <w:bCs/>
          <w:lang w:val="en-US"/>
        </w:rPr>
        <w:br/>
        <w:t>Genes are colored by the direction of prognostic association: red bars correspond to positive Cox coefficients (risk-associated, +β) and blue bars to negative coefficients (protective, −β).</w:t>
      </w:r>
      <w:r w:rsidRPr="00E27E1A">
        <w:rPr>
          <w:rFonts w:ascii="Times New Roman" w:hAnsi="Times New Roman" w:cs="Times New Roman"/>
          <w:bCs/>
          <w:lang w:val="en-US"/>
        </w:rPr>
        <w:br/>
        <w:t xml:space="preserve">Top-ranked genes such as </w:t>
      </w:r>
      <w:r w:rsidRPr="00E27E1A">
        <w:rPr>
          <w:rFonts w:ascii="Times New Roman" w:hAnsi="Times New Roman" w:cs="Times New Roman"/>
          <w:bCs/>
          <w:i/>
          <w:iCs/>
          <w:lang w:val="en-US"/>
        </w:rPr>
        <w:t>CENPF</w:t>
      </w:r>
      <w:r w:rsidRPr="00E27E1A">
        <w:rPr>
          <w:rFonts w:ascii="Times New Roman" w:hAnsi="Times New Roman" w:cs="Times New Roman"/>
          <w:bCs/>
          <w:lang w:val="en-US"/>
        </w:rPr>
        <w:t xml:space="preserve">, </w:t>
      </w:r>
      <w:r w:rsidRPr="00E27E1A">
        <w:rPr>
          <w:rFonts w:ascii="Times New Roman" w:hAnsi="Times New Roman" w:cs="Times New Roman"/>
          <w:bCs/>
          <w:i/>
          <w:iCs/>
          <w:lang w:val="en-US"/>
        </w:rPr>
        <w:t>MDM2</w:t>
      </w:r>
      <w:r w:rsidRPr="00E27E1A">
        <w:rPr>
          <w:rFonts w:ascii="Times New Roman" w:hAnsi="Times New Roman" w:cs="Times New Roman"/>
          <w:bCs/>
          <w:lang w:val="en-US"/>
        </w:rPr>
        <w:t xml:space="preserve">, </w:t>
      </w:r>
      <w:r w:rsidRPr="00E27E1A">
        <w:rPr>
          <w:rFonts w:ascii="Times New Roman" w:hAnsi="Times New Roman" w:cs="Times New Roman"/>
          <w:bCs/>
          <w:i/>
          <w:iCs/>
          <w:lang w:val="en-US"/>
        </w:rPr>
        <w:t>SLC39A6</w:t>
      </w:r>
      <w:r w:rsidRPr="00E27E1A">
        <w:rPr>
          <w:rFonts w:ascii="Times New Roman" w:hAnsi="Times New Roman" w:cs="Times New Roman"/>
          <w:bCs/>
          <w:lang w:val="en-US"/>
        </w:rPr>
        <w:t xml:space="preserve">, </w:t>
      </w:r>
      <w:r w:rsidRPr="00E27E1A">
        <w:rPr>
          <w:rFonts w:ascii="Times New Roman" w:hAnsi="Times New Roman" w:cs="Times New Roman"/>
          <w:bCs/>
          <w:i/>
          <w:iCs/>
          <w:lang w:val="en-US"/>
        </w:rPr>
        <w:t>EGFR</w:t>
      </w:r>
      <w:r w:rsidRPr="00E27E1A">
        <w:rPr>
          <w:rFonts w:ascii="Times New Roman" w:hAnsi="Times New Roman" w:cs="Times New Roman"/>
          <w:bCs/>
          <w:lang w:val="en-US"/>
        </w:rPr>
        <w:t xml:space="preserve">, </w:t>
      </w:r>
      <w:r w:rsidRPr="00E27E1A">
        <w:rPr>
          <w:rFonts w:ascii="Times New Roman" w:hAnsi="Times New Roman" w:cs="Times New Roman"/>
          <w:bCs/>
          <w:i/>
          <w:iCs/>
          <w:lang w:val="en-US"/>
        </w:rPr>
        <w:t>FOXA1</w:t>
      </w:r>
      <w:r w:rsidRPr="00E27E1A">
        <w:rPr>
          <w:rFonts w:ascii="Times New Roman" w:hAnsi="Times New Roman" w:cs="Times New Roman"/>
          <w:bCs/>
          <w:lang w:val="en-US"/>
        </w:rPr>
        <w:t xml:space="preserve">, and </w:t>
      </w:r>
      <w:r w:rsidRPr="00E27E1A">
        <w:rPr>
          <w:rFonts w:ascii="Times New Roman" w:hAnsi="Times New Roman" w:cs="Times New Roman"/>
          <w:bCs/>
          <w:i/>
          <w:iCs/>
          <w:lang w:val="en-US"/>
        </w:rPr>
        <w:t>ESR1</w:t>
      </w:r>
      <w:r w:rsidRPr="00E27E1A">
        <w:rPr>
          <w:rFonts w:ascii="Times New Roman" w:hAnsi="Times New Roman" w:cs="Times New Roman"/>
          <w:bCs/>
          <w:lang w:val="en-US"/>
        </w:rPr>
        <w:t xml:space="preserve"> contributed most strongly to model prediction accuracy.</w:t>
      </w:r>
      <w:r w:rsidRPr="00E27E1A">
        <w:rPr>
          <w:rFonts w:ascii="Times New Roman" w:hAnsi="Times New Roman" w:cs="Times New Roman"/>
          <w:bCs/>
          <w:lang w:val="en-US"/>
        </w:rPr>
        <w:br/>
        <w:t>High VIMP values indicate greater impact on survival discrimination.</w:t>
      </w:r>
      <w:r w:rsidRPr="00E27E1A">
        <w:rPr>
          <w:rFonts w:ascii="Times New Roman" w:hAnsi="Times New Roman" w:cs="Times New Roman"/>
          <w:bCs/>
          <w:lang w:val="en-US"/>
        </w:rPr>
        <w:br/>
        <w:t xml:space="preserve">The balance between proliferative (risk) and luminal (protective) genes reflects the dual biological axis—cell-cycle activity versus hormonal signaling—underlying the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prognostic framework.</w:t>
      </w:r>
    </w:p>
    <w:p w14:paraId="59D1ED73" w14:textId="77777777" w:rsidR="00193029" w:rsidRPr="00E27E1A" w:rsidRDefault="00193029"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t>Supplementary Figure S2. Decision Curve Analysis (DCA) for the core-PAM50 prognostic model across cohorts and time horizons.</w:t>
      </w:r>
    </w:p>
    <w:p w14:paraId="658F2912" w14:textId="77777777" w:rsidR="00193029" w:rsidRPr="00E27E1A" w:rsidRDefault="00193029"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t xml:space="preserve">Decision curve plots showing the </w:t>
      </w:r>
      <w:r w:rsidRPr="00E27E1A">
        <w:rPr>
          <w:rFonts w:ascii="Times New Roman" w:hAnsi="Times New Roman" w:cs="Times New Roman"/>
          <w:bCs/>
          <w:i/>
          <w:iCs/>
          <w:lang w:val="en-US"/>
        </w:rPr>
        <w:t>net benefit</w:t>
      </w:r>
      <w:r w:rsidRPr="00E27E1A">
        <w:rPr>
          <w:rFonts w:ascii="Times New Roman" w:hAnsi="Times New Roman" w:cs="Times New Roman"/>
          <w:bCs/>
          <w:lang w:val="en-US"/>
        </w:rPr>
        <w:t xml:space="preserve"> of using the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Cox model (solid line) to guide treatment decisions compared with default strategies of “treat all” (dashed gray line) or “treat none” (horizontal black line), across a range of risk threshold probabilities.</w:t>
      </w:r>
      <w:r w:rsidRPr="00E27E1A">
        <w:rPr>
          <w:rFonts w:ascii="Times New Roman" w:hAnsi="Times New Roman" w:cs="Times New Roman"/>
          <w:bCs/>
          <w:lang w:val="en-US"/>
        </w:rPr>
        <w:br/>
        <w:t>Panels display results for each cohort — METABRIC, TCGA-BRCA, and GSE25066 — at 5-year (top row) and extended follow-up times (bottom row).</w:t>
      </w:r>
      <w:r w:rsidRPr="00E27E1A">
        <w:rPr>
          <w:rFonts w:ascii="Times New Roman" w:hAnsi="Times New Roman" w:cs="Times New Roman"/>
          <w:bCs/>
          <w:lang w:val="en-US"/>
        </w:rPr>
        <w:br/>
        <w:t xml:space="preserve">The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model provided consistent clinical benefit in METABRIC and GSE25066 for threshold probabilities between ~5% and 30%, corresponding to clinically relevant decision ranges for adjuvant therapy recommendations.</w:t>
      </w:r>
      <w:r w:rsidRPr="00E27E1A">
        <w:rPr>
          <w:rFonts w:ascii="Times New Roman" w:hAnsi="Times New Roman" w:cs="Times New Roman"/>
          <w:bCs/>
          <w:lang w:val="en-US"/>
        </w:rPr>
        <w:br/>
      </w:r>
      <w:r w:rsidRPr="00E27E1A">
        <w:rPr>
          <w:rFonts w:ascii="Times New Roman" w:hAnsi="Times New Roman" w:cs="Times New Roman"/>
          <w:bCs/>
          <w:lang w:val="en-US"/>
        </w:rPr>
        <w:lastRenderedPageBreak/>
        <w:t>In TCGA, the DCA curves were largely flat, reflecting low event rates, but remained above or near the treat-all line for low thresholds, indicating no harm.</w:t>
      </w:r>
      <w:r w:rsidRPr="00E27E1A">
        <w:rPr>
          <w:rFonts w:ascii="Times New Roman" w:hAnsi="Times New Roman" w:cs="Times New Roman"/>
          <w:bCs/>
          <w:lang w:val="en-US"/>
        </w:rPr>
        <w:br/>
        <w:t xml:space="preserve">Overall, the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yielded modest but meaningful net benefit in clinically plausible risk ranges, supporting its potential utility for personalized treatment decision-making.</w:t>
      </w:r>
    </w:p>
    <w:p w14:paraId="2367664A" w14:textId="77777777" w:rsidR="00193029" w:rsidRPr="00E27E1A" w:rsidRDefault="00193029"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t>Supplementary Figure S3. Distribution of intrinsic molecular subtypes across breast cancer cohorts.</w:t>
      </w:r>
    </w:p>
    <w:p w14:paraId="01554F0C" w14:textId="407DF19A" w:rsidR="00193029" w:rsidRPr="00E27E1A" w:rsidRDefault="00193029" w:rsidP="001C42D2">
      <w:pPr>
        <w:pStyle w:val="Corpodetexto"/>
        <w:spacing w:after="0" w:line="480" w:lineRule="auto"/>
        <w:rPr>
          <w:rFonts w:ascii="Times New Roman" w:hAnsi="Times New Roman" w:cs="Times New Roman"/>
          <w:bCs/>
          <w:lang w:val="en-US"/>
        </w:rPr>
      </w:pPr>
      <w:r w:rsidRPr="00E27E1A">
        <w:rPr>
          <w:rFonts w:ascii="Times New Roman" w:hAnsi="Times New Roman" w:cs="Times New Roman"/>
          <w:bCs/>
          <w:lang w:val="en-US"/>
        </w:rPr>
        <w:t xml:space="preserve">Stacked bar plot showing the relative proportions (%) of intrinsic subtypes—Basal-like, HER2-enriched, Luminal A, Luminal B, and Normal-like—in each cohort (METABRIC, TCGA-BRCA, GSE25066) as defined by the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classification.</w:t>
      </w:r>
      <w:r w:rsidRPr="00E27E1A">
        <w:rPr>
          <w:rFonts w:ascii="Times New Roman" w:hAnsi="Times New Roman" w:cs="Times New Roman"/>
          <w:bCs/>
          <w:lang w:val="en-US"/>
        </w:rPr>
        <w:br/>
        <w:t>Subtype distributions reflect both biological diversity and cohort design:</w:t>
      </w:r>
      <w:r w:rsidRPr="00E27E1A">
        <w:rPr>
          <w:rFonts w:ascii="Times New Roman" w:hAnsi="Times New Roman" w:cs="Times New Roman"/>
          <w:bCs/>
          <w:lang w:val="en-US"/>
        </w:rPr>
        <w:br/>
        <w:t>METABRIC exhibited a balanced luminal-dominant profile (25% Luminal A, 23% Luminal B) with 15% Normal-like cases, consistent with a population-based dataset and known microarray signal compression effects;</w:t>
      </w:r>
      <w:r w:rsidRPr="00E27E1A">
        <w:rPr>
          <w:rFonts w:ascii="Times New Roman" w:hAnsi="Times New Roman" w:cs="Times New Roman"/>
          <w:bCs/>
          <w:lang w:val="en-US"/>
        </w:rPr>
        <w:br/>
        <w:t>TCGA showed a luminal-enriched pattern (37% Luminal A, 27% Luminal B) typical of an early-stage, hormone receptor–positive population;</w:t>
      </w:r>
      <w:r w:rsidRPr="00E27E1A">
        <w:rPr>
          <w:rFonts w:ascii="Times New Roman" w:hAnsi="Times New Roman" w:cs="Times New Roman"/>
          <w:bCs/>
          <w:lang w:val="en-US"/>
        </w:rPr>
        <w:br/>
        <w:t>GSE25066 was enriched for aggressive phenotypes (34% Basal-like, 8% HER2-enriched), reflecting its neoadjuvant, high-risk chemotherapy trial design.</w:t>
      </w:r>
      <w:r w:rsidRPr="00E27E1A">
        <w:rPr>
          <w:rFonts w:ascii="Times New Roman" w:hAnsi="Times New Roman" w:cs="Times New Roman"/>
          <w:bCs/>
          <w:lang w:val="en-US"/>
        </w:rPr>
        <w:br/>
        <w:t xml:space="preserve">These distributions confirm that the </w:t>
      </w:r>
      <w:r w:rsidRPr="00E27E1A">
        <w:rPr>
          <w:rFonts w:ascii="Times New Roman" w:hAnsi="Times New Roman" w:cs="Times New Roman"/>
          <w:bCs/>
          <w:i/>
          <w:iCs/>
          <w:lang w:val="en-US"/>
        </w:rPr>
        <w:t>core-PAM50</w:t>
      </w:r>
      <w:r w:rsidRPr="00E27E1A">
        <w:rPr>
          <w:rFonts w:ascii="Times New Roman" w:hAnsi="Times New Roman" w:cs="Times New Roman"/>
          <w:bCs/>
          <w:lang w:val="en-US"/>
        </w:rPr>
        <w:t xml:space="preserve"> reproduces expected subtype frequencies while accurately capturing cohort-specific characteristics.</w:t>
      </w:r>
    </w:p>
    <w:sectPr w:rsidR="00193029" w:rsidRPr="00E27E1A" w:rsidSect="00586100">
      <w:headerReference w:type="default" r:id="rId9"/>
      <w:footnotePr>
        <w:numRestart w:val="eachSect"/>
      </w:footnotePr>
      <w:pgSz w:w="12240" w:h="15840" w:code="1"/>
      <w:pgMar w:top="1418" w:right="1418" w:bottom="1418" w:left="1418" w:header="720" w:footer="720" w:gutter="0"/>
      <w:lnNumType w:countBy="1" w:distance="284"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82AD5" w14:textId="77777777" w:rsidR="00F46687" w:rsidRDefault="00F46687" w:rsidP="003A53C7">
      <w:pPr>
        <w:spacing w:after="0"/>
      </w:pPr>
      <w:r>
        <w:separator/>
      </w:r>
    </w:p>
  </w:endnote>
  <w:endnote w:type="continuationSeparator" w:id="0">
    <w:p w14:paraId="21C114E1" w14:textId="77777777" w:rsidR="00F46687" w:rsidRDefault="00F46687" w:rsidP="003A53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C7E42" w14:textId="77777777" w:rsidR="00F46687" w:rsidRDefault="00F46687" w:rsidP="003A53C7">
      <w:pPr>
        <w:spacing w:after="0"/>
      </w:pPr>
      <w:r>
        <w:separator/>
      </w:r>
    </w:p>
  </w:footnote>
  <w:footnote w:type="continuationSeparator" w:id="0">
    <w:p w14:paraId="157B952F" w14:textId="77777777" w:rsidR="00F46687" w:rsidRDefault="00F46687" w:rsidP="003A53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699042"/>
      <w:docPartObj>
        <w:docPartGallery w:val="Page Numbers (Top of Page)"/>
        <w:docPartUnique/>
      </w:docPartObj>
    </w:sdtPr>
    <w:sdtContent>
      <w:p w14:paraId="66C55BB7" w14:textId="45965557" w:rsidR="003A53C7" w:rsidRDefault="003A53C7">
        <w:pPr>
          <w:pStyle w:val="Cabealho"/>
        </w:pPr>
        <w:r>
          <w:fldChar w:fldCharType="begin"/>
        </w:r>
        <w:r>
          <w:instrText>PAGE   \* MERGEFORMAT</w:instrText>
        </w:r>
        <w:r>
          <w:fldChar w:fldCharType="separate"/>
        </w:r>
        <w:r>
          <w:rPr>
            <w:lang w:val="pt-BR"/>
          </w:rPr>
          <w:t>2</w:t>
        </w:r>
        <w:r>
          <w:fldChar w:fldCharType="end"/>
        </w:r>
      </w:p>
    </w:sdtContent>
  </w:sdt>
  <w:p w14:paraId="5B5E831D" w14:textId="77777777" w:rsidR="003A53C7" w:rsidRDefault="003A53C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3C63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F6D25B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7874611">
    <w:abstractNumId w:val="0"/>
  </w:num>
  <w:num w:numId="2" w16cid:durableId="1603761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B50"/>
    <w:rsid w:val="000679EE"/>
    <w:rsid w:val="00081745"/>
    <w:rsid w:val="00087883"/>
    <w:rsid w:val="000D1F87"/>
    <w:rsid w:val="000D3C5B"/>
    <w:rsid w:val="000D3EB2"/>
    <w:rsid w:val="000F438A"/>
    <w:rsid w:val="001132D5"/>
    <w:rsid w:val="00113EEA"/>
    <w:rsid w:val="001809A5"/>
    <w:rsid w:val="00180ED0"/>
    <w:rsid w:val="00185AF2"/>
    <w:rsid w:val="00193029"/>
    <w:rsid w:val="001B2168"/>
    <w:rsid w:val="001C42D2"/>
    <w:rsid w:val="00264368"/>
    <w:rsid w:val="00280FD5"/>
    <w:rsid w:val="00285483"/>
    <w:rsid w:val="002919C7"/>
    <w:rsid w:val="002F3B50"/>
    <w:rsid w:val="00300334"/>
    <w:rsid w:val="00326163"/>
    <w:rsid w:val="003278D5"/>
    <w:rsid w:val="00340D59"/>
    <w:rsid w:val="003A53C7"/>
    <w:rsid w:val="003A5DE4"/>
    <w:rsid w:val="003B2A14"/>
    <w:rsid w:val="003C6DD7"/>
    <w:rsid w:val="00425473"/>
    <w:rsid w:val="00431FA2"/>
    <w:rsid w:val="00437FB3"/>
    <w:rsid w:val="004463A2"/>
    <w:rsid w:val="00447A39"/>
    <w:rsid w:val="00471D54"/>
    <w:rsid w:val="00483750"/>
    <w:rsid w:val="00495CC0"/>
    <w:rsid w:val="004A6047"/>
    <w:rsid w:val="004E1C64"/>
    <w:rsid w:val="00517452"/>
    <w:rsid w:val="00561880"/>
    <w:rsid w:val="00581466"/>
    <w:rsid w:val="00584CB5"/>
    <w:rsid w:val="00586100"/>
    <w:rsid w:val="005D2BD0"/>
    <w:rsid w:val="005E4A94"/>
    <w:rsid w:val="00612A21"/>
    <w:rsid w:val="00642FAC"/>
    <w:rsid w:val="00687777"/>
    <w:rsid w:val="006D1DE5"/>
    <w:rsid w:val="006F3751"/>
    <w:rsid w:val="00712DE1"/>
    <w:rsid w:val="00724740"/>
    <w:rsid w:val="007950AE"/>
    <w:rsid w:val="007C15F9"/>
    <w:rsid w:val="007D5EAA"/>
    <w:rsid w:val="007E0806"/>
    <w:rsid w:val="007E4C22"/>
    <w:rsid w:val="007F6C85"/>
    <w:rsid w:val="00804D0B"/>
    <w:rsid w:val="0081153A"/>
    <w:rsid w:val="00811FB5"/>
    <w:rsid w:val="00824512"/>
    <w:rsid w:val="0084525E"/>
    <w:rsid w:val="00855416"/>
    <w:rsid w:val="00902303"/>
    <w:rsid w:val="00912565"/>
    <w:rsid w:val="00956B30"/>
    <w:rsid w:val="00995258"/>
    <w:rsid w:val="009A424C"/>
    <w:rsid w:val="00A1078F"/>
    <w:rsid w:val="00A10E55"/>
    <w:rsid w:val="00A220D9"/>
    <w:rsid w:val="00A336AF"/>
    <w:rsid w:val="00A43EA4"/>
    <w:rsid w:val="00A50D58"/>
    <w:rsid w:val="00A57029"/>
    <w:rsid w:val="00A7450A"/>
    <w:rsid w:val="00AB104F"/>
    <w:rsid w:val="00AF48F2"/>
    <w:rsid w:val="00B039C1"/>
    <w:rsid w:val="00B10BC8"/>
    <w:rsid w:val="00B2233F"/>
    <w:rsid w:val="00B2642F"/>
    <w:rsid w:val="00B427F4"/>
    <w:rsid w:val="00B630AD"/>
    <w:rsid w:val="00B71041"/>
    <w:rsid w:val="00B75501"/>
    <w:rsid w:val="00B80664"/>
    <w:rsid w:val="00BB4C76"/>
    <w:rsid w:val="00C37215"/>
    <w:rsid w:val="00C41EFA"/>
    <w:rsid w:val="00C83966"/>
    <w:rsid w:val="00CA77E0"/>
    <w:rsid w:val="00CF2F55"/>
    <w:rsid w:val="00D16C57"/>
    <w:rsid w:val="00D36E29"/>
    <w:rsid w:val="00D42A4D"/>
    <w:rsid w:val="00D725CA"/>
    <w:rsid w:val="00DB4750"/>
    <w:rsid w:val="00DF78A7"/>
    <w:rsid w:val="00E24AFE"/>
    <w:rsid w:val="00E27E1A"/>
    <w:rsid w:val="00E663A5"/>
    <w:rsid w:val="00E71CC6"/>
    <w:rsid w:val="00E76F40"/>
    <w:rsid w:val="00EA385F"/>
    <w:rsid w:val="00EB2E51"/>
    <w:rsid w:val="00F037E4"/>
    <w:rsid w:val="00F46687"/>
    <w:rsid w:val="00F47061"/>
    <w:rsid w:val="00F55686"/>
    <w:rsid w:val="00F667F8"/>
    <w:rsid w:val="00FA3951"/>
    <w:rsid w:val="00FC222C"/>
    <w:rsid w:val="00FC466A"/>
    <w:rsid w:val="00FF6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701C"/>
  <w15:docId w15:val="{85DD9196-F325-46A8-86C7-C48AF246B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autoRedefine/>
    <w:uiPriority w:val="9"/>
    <w:qFormat/>
    <w:rsid w:val="00E27E1A"/>
    <w:pPr>
      <w:keepNext/>
      <w:keepLines/>
      <w:spacing w:before="360" w:after="80" w:line="480" w:lineRule="auto"/>
      <w:jc w:val="both"/>
      <w:outlineLvl w:val="0"/>
    </w:pPr>
    <w:rPr>
      <w:rFonts w:ascii="Times New Roman" w:eastAsiaTheme="majorEastAsia" w:hAnsi="Times New Roman" w:cs="Times New Roman"/>
      <w:b/>
      <w:bCs/>
      <w:color w:val="0F4761" w:themeColor="accent1" w:themeShade="BF"/>
      <w:sz w:val="32"/>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autoRedefine/>
    <w:uiPriority w:val="11"/>
    <w:qFormat/>
    <w:rsid w:val="001C42D2"/>
    <w:pPr>
      <w:numPr>
        <w:ilvl w:val="1"/>
      </w:numPr>
      <w:spacing w:line="480" w:lineRule="auto"/>
      <w:jc w:val="left"/>
    </w:pPr>
    <w:rPr>
      <w:rFonts w:ascii="Times New Roman" w:hAnsi="Times New Roman" w:cs="Times New Roman"/>
      <w:b/>
      <w:spacing w:val="15"/>
      <w:sz w:val="26"/>
      <w:szCs w:val="28"/>
      <w:lang w:val="en-US"/>
    </w:rPr>
  </w:style>
  <w:style w:type="character" w:customStyle="1" w:styleId="SubttuloChar">
    <w:name w:val="Subtítulo Char"/>
    <w:basedOn w:val="Fontepargpadro"/>
    <w:link w:val="Subttulo"/>
    <w:uiPriority w:val="11"/>
    <w:rsid w:val="001C42D2"/>
    <w:rPr>
      <w:rFonts w:ascii="Times New Roman" w:eastAsiaTheme="majorEastAsia" w:hAnsi="Times New Roman" w:cs="Times New Roman"/>
      <w:b/>
      <w:spacing w:val="15"/>
      <w:kern w:val="28"/>
      <w:sz w:val="26"/>
      <w:szCs w:val="28"/>
      <w:lang w:val="en-US"/>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E27E1A"/>
    <w:rPr>
      <w:rFonts w:ascii="Times New Roman" w:eastAsiaTheme="majorEastAsia" w:hAnsi="Times New Roman" w:cs="Times New Roman"/>
      <w:b/>
      <w:bCs/>
      <w:color w:val="0F4761" w:themeColor="accent1" w:themeShade="BF"/>
      <w:sz w:val="32"/>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rte">
    <w:name w:val="Strong"/>
    <w:basedOn w:val="Fontepargpadro"/>
    <w:uiPriority w:val="22"/>
    <w:qFormat/>
    <w:rsid w:val="00BB4C76"/>
    <w:rPr>
      <w:b/>
      <w:bCs/>
    </w:rPr>
  </w:style>
  <w:style w:type="character" w:styleId="Nmerodelinha">
    <w:name w:val="line number"/>
    <w:basedOn w:val="Fontepargpadro"/>
    <w:rsid w:val="00804D0B"/>
  </w:style>
  <w:style w:type="paragraph" w:styleId="Cabealho">
    <w:name w:val="header"/>
    <w:basedOn w:val="Normal"/>
    <w:link w:val="CabealhoChar"/>
    <w:uiPriority w:val="99"/>
    <w:rsid w:val="003A53C7"/>
    <w:pPr>
      <w:tabs>
        <w:tab w:val="center" w:pos="4680"/>
        <w:tab w:val="right" w:pos="9360"/>
      </w:tabs>
      <w:spacing w:after="0"/>
    </w:pPr>
  </w:style>
  <w:style w:type="character" w:customStyle="1" w:styleId="CabealhoChar">
    <w:name w:val="Cabeçalho Char"/>
    <w:basedOn w:val="Fontepargpadro"/>
    <w:link w:val="Cabealho"/>
    <w:uiPriority w:val="99"/>
    <w:rsid w:val="003A53C7"/>
  </w:style>
  <w:style w:type="paragraph" w:styleId="Rodap">
    <w:name w:val="footer"/>
    <w:basedOn w:val="Normal"/>
    <w:link w:val="RodapChar"/>
    <w:rsid w:val="003A53C7"/>
    <w:pPr>
      <w:tabs>
        <w:tab w:val="center" w:pos="4680"/>
        <w:tab w:val="right" w:pos="9360"/>
      </w:tabs>
      <w:spacing w:after="0"/>
    </w:pPr>
  </w:style>
  <w:style w:type="character" w:customStyle="1" w:styleId="RodapChar">
    <w:name w:val="Rodapé Char"/>
    <w:basedOn w:val="Fontepargpadro"/>
    <w:link w:val="Rodap"/>
    <w:rsid w:val="003A53C7"/>
  </w:style>
  <w:style w:type="paragraph" w:styleId="NormalWeb">
    <w:name w:val="Normal (Web)"/>
    <w:basedOn w:val="Normal"/>
    <w:rsid w:val="00E24AFE"/>
    <w:rPr>
      <w:rFonts w:ascii="Times New Roman" w:hAnsi="Times New Roman" w:cs="Times New Roman"/>
    </w:rPr>
  </w:style>
  <w:style w:type="character" w:styleId="MenoPendente">
    <w:name w:val="Unresolved Mention"/>
    <w:basedOn w:val="Fontepargpadro"/>
    <w:uiPriority w:val="99"/>
    <w:semiHidden/>
    <w:unhideWhenUsed/>
    <w:rsid w:val="00425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ncologist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B164700-3389-4929-A774-E01E842BD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37</Pages>
  <Words>9643</Words>
  <Characters>54969</Characters>
  <Application>Microsoft Office Word</Application>
  <DocSecurity>0</DocSecurity>
  <Lines>458</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Rafael Botan</dc:creator>
  <cp:keywords/>
  <cp:lastModifiedBy>Rafael Botan</cp:lastModifiedBy>
  <cp:revision>16</cp:revision>
  <cp:lastPrinted>2025-10-23T00:58:00Z</cp:lastPrinted>
  <dcterms:created xsi:type="dcterms:W3CDTF">2025-10-27T12:45:00Z</dcterms:created>
  <dcterms:modified xsi:type="dcterms:W3CDTF">2025-10-27T13:27:00Z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