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6.png" ContentType="image/png"/>
  <Override PartName="/word/media/rId41.png" ContentType="image/png"/>
  <Override PartName="/word/media/rId32.png" ContentType="image/png"/>
  <Override PartName="/word/media/rId67.png" ContentType="image/png"/>
  <Override PartName="/word/media/rId81.png" ContentType="image/png"/>
  <Override PartName="/word/media/rId55.png" ContentType="image/png"/>
  <Override PartName="/word/media/rId138.png" ContentType="image/png"/>
  <Override PartName="/word/media/rId134.png" ContentType="image/png"/>
  <Override PartName="/word/media/rId122.png" ContentType="image/png"/>
  <Override PartName="/word/media/rId130.png" ContentType="image/png"/>
  <Override PartName="/word/media/rId126.png" ContentType="image/png"/>
  <Override PartName="/word/media/rId144.png" ContentType="image/png"/>
  <Override PartName="/word/media/rId154.png" ContentType="image/png"/>
  <Override PartName="/word/media/rId150.png" ContentType="image/png"/>
  <Override PartName="/word/media/rId187.png" ContentType="image/png"/>
  <Override PartName="/word/media/rId191.png" ContentType="image/png"/>
  <Override PartName="/word/media/rId199.png" ContentType="image/png"/>
  <Override PartName="/word/media/rId195.png" ContentType="image/png"/>
  <Override PartName="/word/media/rId163.png" ContentType="image/png"/>
  <Override PartName="/word/media/rId173.png" ContentType="image/png"/>
  <Override PartName="/word/media/rId112.png" ContentType="image/png"/>
  <Override PartName="/word/media/rId215.png" ContentType="image/png"/>
  <Override PartName="/word/media/rId169.png" ContentType="image/png"/>
  <Override PartName="/word/media/rId203.png" ContentType="image/png"/>
  <Override PartName="/word/media/rId116.png" ContentType="image/png"/>
  <Override PartName="/word/media/rId180.png" ContentType="image/png"/>
  <Override PartName="/word/media/rId209.png" ContentType="image/png"/>
  <Override PartName="/word/media/rId103.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bookmarkStart w:id="20" w:name="folha-de-aprovação"/>
    <w:p>
      <w:pPr>
        <w:pageBreakBefore/>
        <w:pStyle w:val="Heading1"/>
        <w:jc w:val="left"/>
      </w:pPr>
      <w:r>
        <w:t xml:space="preserve">FOLHA DE APROVAÇÃO</w:t>
      </w:r>
    </w:p>
    <w:p>
      <w:pPr>
        <w:pStyle w:val="FolhaRostoAutor"/>
        <w:jc w:val="center"/>
      </w:pPr>
      <w:r>
        <w:t xml:space="preserve">RAFAEL DE NEGREIROS BOTAN</w:t>
      </w:r>
    </w:p>
    <w:p>
      <w:pPr>
        <w:pStyle w:val="CapaTitulo"/>
        <w:jc w:val="center"/>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jc w:val="left"/>
      </w:pPr>
      <w:r>
        <w:t xml:space="preserve">Tese apresentada ao Programa de Pós-Graduação em Ciências Médicas da Faculdade de Medicina da Universidade de Brasília como requisito parcial à obtenção do grau de Doutor em Ciências Médicas.</w:t>
      </w:r>
    </w:p>
    <w:p>
      <w:pPr>
        <w:pStyle w:val="BodyText"/>
        <w:jc w:val="left"/>
      </w:pPr>
      <w:r>
        <w:t xml:space="preserve">Defesa prevista para 22 de junho de 2026, às 14h, na Faculdade de Medicina da Universidade de Brasília.</w:t>
      </w:r>
    </w:p>
    <w:p>
      <w:pPr>
        <w:pStyle w:val="BodyText"/>
        <w:ind w:left="0" w:right="0" w:firstLine="0"/>
        <w:jc w:val="center"/>
      </w:pPr>
      <w:r>
        <w:rPr>
          <w:b/>
          <w:bCs/>
        </w:rPr>
        <w:t xml:space="preserve">BANCA EXAMINADORA</w:t>
      </w:r>
    </w:p>
    <w:p>
      <w:pPr>
        <w:pStyle w:val="BodyText"/>
        <w:jc w:val="left"/>
      </w:pPr>
      <w:r>
        <w:rPr>
          <w:b/>
          <w:bCs/>
        </w:rPr>
        <w:t xml:space="preserve">Prof. Dr. João Batista de Sousa</w:t>
      </w:r>
      <w:r>
        <w:br/>
      </w:r>
      <w:r>
        <w:t xml:space="preserve">Presidente da banca e orientador</w:t>
      </w:r>
      <w:r>
        <w:br/>
      </w:r>
      <w:r>
        <w:t xml:space="preserve">Faculdade de Medicina — Universidade de Brasília (UnB)</w:t>
      </w:r>
    </w:p>
    <w:p>
      <w:pPr>
        <w:pStyle w:val="BodyText"/>
        <w:jc w:val="left"/>
      </w:pPr>
      <w:r>
        <w:rPr>
          <w:b/>
          <w:bCs/>
        </w:rPr>
        <w:t xml:space="preserve">Profa. Dra. Doralina do Amaral Rabello Ramos</w:t>
      </w:r>
      <w:r>
        <w:br/>
      </w:r>
      <w:r>
        <w:t xml:space="preserve">Membro titular</w:t>
      </w:r>
      <w:r>
        <w:br/>
      </w:r>
      <w:r>
        <w:t xml:space="preserve">Departamento de Patologia, Faculdade de Medicina — Universidade de Brasília (UnB)</w:t>
      </w:r>
    </w:p>
    <w:p>
      <w:pPr>
        <w:pStyle w:val="BodyText"/>
        <w:jc w:val="left"/>
      </w:pPr>
      <w:r>
        <w:rPr>
          <w:b/>
          <w:bCs/>
        </w:rPr>
        <w:t xml:space="preserve">Prof. Dr. Hélio Humberto Angotti Carrara</w:t>
      </w:r>
      <w:r>
        <w:br/>
      </w:r>
      <w:r>
        <w:t xml:space="preserve">Membro titular externo</w:t>
      </w:r>
      <w:r>
        <w:br/>
      </w:r>
      <w:r>
        <w:t xml:space="preserve">Departamento de Ginecologia e Obstetrícia, Faculdade de Medicina de Ribeirão Preto — Universidade de São Paulo (FMRP-USP)</w:t>
      </w:r>
    </w:p>
    <w:p>
      <w:pPr>
        <w:pStyle w:val="BodyText"/>
        <w:jc w:val="left"/>
      </w:pPr>
      <w:r>
        <w:rPr>
          <w:b/>
          <w:bCs/>
        </w:rPr>
        <w:t xml:space="preserve">Prof. Dr. Ruffo de Freitas Junior</w:t>
      </w:r>
      <w:r>
        <w:br/>
      </w:r>
      <w:r>
        <w:t xml:space="preserve">Membro titular externo</w:t>
      </w:r>
      <w:r>
        <w:br/>
      </w:r>
      <w:r>
        <w:t xml:space="preserve">Professor Titular, Faculdade de Medicina — Universidade Federal de Goiás (UFG)</w:t>
      </w:r>
    </w:p>
    <w:p>
      <w:pPr>
        <w:pStyle w:val="BodyText"/>
        <w:jc w:val="left"/>
      </w:pPr>
      <w:r>
        <w:rPr>
          <w:b/>
          <w:bCs/>
        </w:rPr>
        <w:t xml:space="preserve">Dr. João Nunes de Matos Neto</w:t>
      </w:r>
      <w:r>
        <w:br/>
      </w:r>
      <w:r>
        <w:t xml:space="preserve">Membro suplente externo</w:t>
      </w:r>
      <w:r>
        <w:br/>
      </w:r>
      <w:r>
        <w:t xml:space="preserve">Oncologista clínico do Cettro/Oncoclínicas — Centro de Câncer de Brasília</w:t>
      </w:r>
    </w:p>
    <w:bookmarkEnd w:id="20"/>
    <w:bookmarkStart w:id="21" w:name="dedicatória"/>
    <w:p>
      <w:pPr>
        <w:pageBreakBefore/>
        <w:pStyle w:val="Heading1"/>
      </w:pPr>
      <w:r>
        <w:t xml:space="preserve">DEDICATÓRIA</w:t>
      </w:r>
    </w:p>
    <w:p>
      <w:pPr>
        <w:pStyle w:val="FirstParagraph"/>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pesquisadores anônimos cujo trabalho silencioso sustenta cada linha do que escrevi. A eles, minha gratidão; a eles, esta tese também pertence.</w:t>
      </w:r>
    </w:p>
    <w:p>
      <w:pPr>
        <w:pStyle w:val="Dedicatoria"/>
      </w:pPr>
      <w:r>
        <w:rPr>
          <w:i/>
          <w:iCs/>
        </w:rPr>
        <w:t xml:space="preserve">Mais do que a qualquer outro, dedico-a aos que vierem depois — aos alunos, aos clínicos, aos pesquisadores que um dia abrirem estas páginas procurando não uma resposta, mas um ponto de apoio para erguer um novo ciclo. Melhorem esta tese; rasguem-na, se for preciso. Enxerguem mais longe do que eu consegui.</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despertar em outros a paixão que um dia despertaram em mim.</w:t>
      </w:r>
    </w:p>
    <w:bookmarkEnd w:id="21"/>
    <w:bookmarkStart w:id="22" w:name="agradecimentos"/>
    <w:p>
      <w:pPr>
        <w:pageBreakBefore/>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2"/>
    <w:bookmarkStart w:id="23"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bookmarkEnd w:id="23"/>
    <w:bookmarkStart w:id="24" w:name="resumo"/>
    <w:p>
      <w:pPr>
        <w:pageBreakBefore/>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w:t>
      </w:r>
      <w:r>
        <w:t xml:space="preserve"> </w:t>
      </w:r>
      <w:r>
        <w:rPr>
          <w:i/>
          <w:iCs/>
        </w:rPr>
        <w:t xml:space="preserve">cross-plataforma</w:t>
      </w:r>
      <w:r>
        <w:t xml:space="preserve">.</w:t>
      </w:r>
    </w:p>
    <w:bookmarkEnd w:id="24"/>
    <w:bookmarkStart w:id="25" w:name="abstract"/>
    <w:p>
      <w:pPr>
        <w:pageBreakBefore/>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w:t>
      </w:r>
      <w:r>
        <w:t xml:space="preserve"> </w:t>
      </w:r>
      <w:r>
        <w:rPr>
          <w:i/>
          <w:iCs/>
        </w:rPr>
        <w:t xml:space="preserve">score</w:t>
      </w:r>
      <w:r>
        <w:t xml:space="preserve"> </w:t>
      </w:r>
      <w:r>
        <w:t xml:space="preserve">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bookmarkEnd w:id="25"/>
    <w:bookmarkStart w:id="26" w:name="lista-de-figuras"/>
    <w:p>
      <w:pPr>
        <w:pageBreakBefore/>
        <w:pStyle w:val="Heading1"/>
      </w:pPr>
      <w:r>
        <w:t xml:space="preserve">LISTA DE FIGURAS</w:t>
      </w:r>
    </w:p>
    <!--FIGLIST_START-->
    <w:p>
      <w:pPr>
        <w:tabs>
          <w:tab w:val="right" w:leader="dot" w:pos="8640"/>
        </w:tabs>
        <w:spacing w:after="0" w:line="360" w:lineRule="auto"/>
        <w:ind w:left="0" w:right="0"/>
      </w:pPr>
      <w:r>
        <w:t xml:space="preserve">Figura 1 – PAM50, centroides moleculares e a pergunta do CorePAM</w:t>
      </w:r>
      <w:r>
        <w:tab/>
        <w:t xml:space="preserve">21</w:t>
      </w:r>
    </w:p>
    <w:p>
      <w:pPr>
        <w:tabs>
          <w:tab w:val="right" w:leader="dot" w:pos="8640"/>
        </w:tabs>
        <w:spacing w:after="0" w:line="360" w:lineRule="auto"/>
        <w:ind w:left="0" w:right="0"/>
      </w:pPr>
      <w:r>
        <w:t xml:space="preserve">Figura 2 – Subtipos intrínsecos e correlatos clínicos do câncer de mama</w:t>
      </w:r>
      <w:r>
        <w:tab/>
        <w:t xml:space="preserve">23</w:t>
      </w:r>
    </w:p>
    <w:p>
      <w:pPr>
        <w:tabs>
          <w:tab w:val="right" w:leader="dot" w:pos="8640"/>
        </w:tabs>
        <w:spacing w:after="0" w:line="360" w:lineRule="auto"/>
        <w:ind w:left="0" w:right="0"/>
      </w:pPr>
      <w:r>
        <w:t xml:space="preserve">Figura 3 – Linha do tempo das assinaturas gênicas em câncer de mama</w:t>
      </w:r>
      <w:r>
        <w:tab/>
        <w:t xml:space="preserve">25</w:t>
      </w:r>
    </w:p>
    <w:p>
      <w:pPr>
        <w:tabs>
          <w:tab w:val="right" w:leader="dot" w:pos="8640"/>
        </w:tabs>
        <w:spacing w:after="0" w:line="360" w:lineRule="auto"/>
        <w:ind w:left="0" w:right="0"/>
      </w:pPr>
      <w:r>
        <w:t xml:space="preserve">Figura 4 – Desenho do estudo CorePAM</w:t>
      </w:r>
      <w:r>
        <w:tab/>
        <w:t xml:space="preserve">34</w:t>
      </w:r>
    </w:p>
    <w:p>
      <w:pPr>
        <w:tabs>
          <w:tab w:val="right" w:leader="dot" w:pos="8640"/>
        </w:tabs>
        <w:spacing w:after="0" w:line="360" w:lineRule="auto"/>
        <w:ind w:left="0" w:right="0"/>
      </w:pPr>
      <w:r>
        <w:t xml:space="preserve">Figura 5 – Fluxograma das coortes do estudo</w:t>
      </w:r>
      <w:r>
        <w:tab/>
        <w:t xml:space="preserve">40</w:t>
      </w:r>
    </w:p>
    <w:p>
      <w:pPr>
        <w:tabs>
          <w:tab w:val="right" w:leader="dot" w:pos="8640"/>
        </w:tabs>
        <w:spacing w:after="0" w:line="360" w:lineRule="auto"/>
        <w:ind w:left="0" w:right="0"/>
      </w:pPr>
      <w:r>
        <w:t xml:space="preserve">Figura 6 – Esquema de derivação do CorePAM</w:t>
      </w:r>
      <w:r>
        <w:tab/>
        <w:t xml:space="preserve">44</w:t>
      </w:r>
    </w:p>
    <w:p>
      <w:pPr>
        <w:tabs>
          <w:tab w:val="right" w:leader="dot" w:pos="8640"/>
        </w:tabs>
        <w:spacing w:after="0" w:line="360" w:lineRule="auto"/>
        <w:ind w:left="0" w:right="0"/>
      </w:pPr>
      <w:r>
        <w:t xml:space="preserve">Figura 7 – Fronteira de Pareto: C-index out-of-fold em função do número de genes ao longo do caminho de regularização elastic-net</w:t>
      </w:r>
      <w:r>
        <w:tab/>
        <w:t xml:space="preserve">52</w:t>
      </w:r>
    </w:p>
    <w:p>
      <w:pPr>
        <w:tabs>
          <w:tab w:val="right" w:leader="dot" w:pos="8640"/>
        </w:tabs>
        <w:spacing w:after="0" w:line="360" w:lineRule="auto"/>
        <w:ind w:left="0" w:right="0"/>
      </w:pPr>
      <w:r>
        <w:t xml:space="preserve">Figura 8 – Pesos dos 24 genes CorePAM (gráfico lollipop)</w:t>
      </w:r>
      <w:r>
        <w:tab/>
        <w:t xml:space="preserve">55</w:t>
      </w:r>
    </w:p>
    <w:p>
      <w:pPr>
        <w:tabs>
          <w:tab w:val="right" w:leader="dot" w:pos="8640"/>
        </w:tabs>
        <w:spacing w:after="0" w:line="360" w:lineRule="auto"/>
        <w:ind w:left="0" w:right="0"/>
      </w:pPr>
      <w:r>
        <w:t xml:space="preserve">Figura 9 – Estabilidade bootstrap da seleção de genes</w:t>
      </w:r>
      <w:r>
        <w:tab/>
        <w:t xml:space="preserve">57</w:t>
      </w:r>
    </w:p>
    <w:p>
      <w:pPr>
        <w:tabs>
          <w:tab w:val="right" w:leader="dot" w:pos="8640"/>
        </w:tabs>
        <w:spacing w:after="0" w:line="360" w:lineRule="auto"/>
        <w:ind w:left="0" w:right="0"/>
      </w:pPr>
      <w:r>
        <w:t xml:space="preserve">Figura 10 – Análise de sensibilidade leave-one-gene-out</w:t>
      </w:r>
      <w:r>
        <w:tab/>
        <w:t xml:space="preserve">59</w:t>
      </w:r>
    </w:p>
    <w:p>
      <w:pPr>
        <w:tabs>
          <w:tab w:val="right" w:leader="dot" w:pos="8640"/>
        </w:tabs>
        <w:spacing w:after="0" w:line="360" w:lineRule="auto"/>
        <w:ind w:left="0" w:right="0"/>
      </w:pPr>
      <w:r>
        <w:t xml:space="preserve">Figura 11 – Curvas de Kaplan-Meier nas cinco coortes (painel múltiplo)</w:t>
      </w:r>
      <w:r>
        <w:tab/>
        <w:t xml:space="preserve">62</w:t>
      </w:r>
    </w:p>
    <w:p>
      <w:pPr>
        <w:tabs>
          <w:tab w:val="right" w:leader="dot" w:pos="8640"/>
        </w:tabs>
        <w:spacing w:after="0" w:line="360" w:lineRule="auto"/>
        <w:ind w:left="0" w:right="0"/>
      </w:pPr>
      <w:r>
        <w:t xml:space="preserve">Figura 12 – Curva de Kaplan-Meier na coorte de treinamento SCAN-B</w:t>
      </w:r>
      <w:r>
        <w:tab/>
        <w:t xml:space="preserve">64</w:t>
      </w:r>
    </w:p>
    <w:p>
      <w:pPr>
        <w:tabs>
          <w:tab w:val="right" w:leader="dot" w:pos="8640"/>
        </w:tabs>
        <w:spacing w:after="0" w:line="360" w:lineRule="auto"/>
        <w:ind w:left="0" w:right="0"/>
      </w:pPr>
      <w:r>
        <w:t xml:space="preserve">Figura 13 – Curva de Kaplan-Meier na coorte TCGA-BRCA</w:t>
      </w:r>
      <w:r>
        <w:tab/>
        <w:t xml:space="preserve">65</w:t>
      </w:r>
    </w:p>
    <w:p>
      <w:pPr>
        <w:tabs>
          <w:tab w:val="right" w:leader="dot" w:pos="8640"/>
        </w:tabs>
        <w:spacing w:after="0" w:line="360" w:lineRule="auto"/>
        <w:ind w:left="0" w:right="0"/>
      </w:pPr>
      <w:r>
        <w:t xml:space="preserve">Figura 14 – Curva de Kaplan-Meier na coorte METABRIC</w:t>
      </w:r>
      <w:r>
        <w:tab/>
        <w:t xml:space="preserve">66</w:t>
      </w:r>
    </w:p>
    <w:p>
      <w:pPr>
        <w:tabs>
          <w:tab w:val="right" w:leader="dot" w:pos="8640"/>
        </w:tabs>
        <w:spacing w:after="0" w:line="360" w:lineRule="auto"/>
        <w:ind w:left="0" w:right="0"/>
      </w:pPr>
      <w:r>
        <w:t xml:space="preserve">Figura 15 – Curva de Kaplan-Meier na coorte GSE20685</w:t>
      </w:r>
      <w:r>
        <w:tab/>
        <w:t xml:space="preserve">67</w:t>
      </w:r>
    </w:p>
    <w:p>
      <w:pPr>
        <w:tabs>
          <w:tab w:val="right" w:leader="dot" w:pos="8640"/>
        </w:tabs>
        <w:spacing w:after="0" w:line="360" w:lineRule="auto"/>
        <w:ind w:left="0" w:right="0"/>
      </w:pPr>
      <w:r>
        <w:t xml:space="preserve">Figura 16 – Forest plot da meta-análise de sobrevida</w:t>
      </w:r>
      <w:r>
        <w:tab/>
        <w:t xml:space="preserve">68</w:t>
      </w:r>
    </w:p>
    <w:p>
      <w:pPr>
        <w:tabs>
          <w:tab w:val="right" w:leader="dot" w:pos="8640"/>
        </w:tabs>
        <w:spacing w:after="0" w:line="360" w:lineRule="auto"/>
        <w:ind w:left="0" w:right="0"/>
      </w:pPr>
      <w:r>
        <w:t xml:space="preserve">Figura 17 – Delta-C-index incremental do CorePAM sobre o modelo clínico CORE-A</w:t>
      </w:r>
      <w:r>
        <w:tab/>
        <w:t xml:space="preserve">71</w:t>
      </w:r>
    </w:p>
    <w:p>
      <w:pPr>
        <w:tabs>
          <w:tab w:val="right" w:leader="dot" w:pos="8640"/>
        </w:tabs>
        <w:spacing w:after="0" w:line="360" w:lineRule="auto"/>
        <w:ind w:left="0" w:right="0"/>
      </w:pPr>
      <w:r>
        <w:t xml:space="preserve">Figura 18 – Curvas de calibração em quatro coortes</w:t>
      </w:r>
      <w:r>
        <w:tab/>
        <w:t xml:space="preserve">73</w:t>
      </w:r>
    </w:p>
    <w:p>
      <w:pPr>
        <w:tabs>
          <w:tab w:val="right" w:leader="dot" w:pos="8640"/>
        </w:tabs>
        <w:spacing w:after="0" w:line="360" w:lineRule="auto"/>
        <w:ind w:left="0" w:right="0"/>
      </w:pPr>
      <w:r>
        <w:t xml:space="preserve">Figura 19 – Correlação entre escores por coorte</w:t>
      </w:r>
      <w:r>
        <w:tab/>
        <w:t xml:space="preserve">75</w:t>
      </w:r>
    </w:p>
    <w:p>
      <w:pPr>
        <w:tabs>
          <w:tab w:val="right" w:leader="dot" w:pos="8640"/>
        </w:tabs>
        <w:spacing w:after="0" w:line="360" w:lineRule="auto"/>
        <w:ind w:left="0" w:right="0"/>
      </w:pPr>
      <w:r>
        <w:t xml:space="preserve">Figura 20 – Análise de curva de decisão (DCA) — quatro coortes de sobrevida</w:t>
      </w:r>
      <w:r>
        <w:tab/>
        <w:t xml:space="preserve">78</w:t>
      </w:r>
    </w:p>
    <w:p>
      <w:pPr>
        <w:tabs>
          <w:tab w:val="right" w:leader="dot" w:pos="8640"/>
        </w:tabs>
        <w:spacing w:after="0" w:line="360" w:lineRule="auto"/>
        <w:ind w:left="0" w:right="0"/>
      </w:pPr>
      <w:r>
        <w:t xml:space="preserve">Figura 21 – PCA forense da matriz de expressão METABRIC</w:t>
      </w:r>
      <w:r>
        <w:tab/>
        <w:t xml:space="preserve">80</w:t>
      </w:r>
    </w:p>
    <w:p>
      <w:pPr>
        <w:tabs>
          <w:tab w:val="right" w:leader="dot" w:pos="8640"/>
        </w:tabs>
        <w:spacing w:after="0" w:line="360" w:lineRule="auto"/>
        <w:ind w:left="0" w:right="0"/>
      </w:pPr>
      <w:r>
        <w:t xml:space="preserve">Figura 22 – Forest plot de subgrupos por status de receptor de estrogênio</w:t>
      </w:r>
      <w:r>
        <w:tab/>
        <w:t xml:space="preserve">82</w:t>
      </w:r>
    </w:p>
    <w:p>
      <w:pPr>
        <w:tabs>
          <w:tab w:val="right" w:leader="dot" w:pos="8640"/>
        </w:tabs>
        <w:spacing w:after="0" w:line="360" w:lineRule="auto"/>
        <w:ind w:left="0" w:right="0"/>
      </w:pPr>
      <w:r>
        <w:t xml:space="preserve">Figura 23 – Forest plot de pCR</w:t>
      </w:r>
      <w:r>
        <w:tab/>
        <w:t xml:space="preserve">84</w:t>
      </w:r>
    </w:p>
    <w:p>
      <w:pPr>
        <w:tabs>
          <w:tab w:val="right" w:leader="dot" w:pos="8640"/>
        </w:tabs>
        <w:spacing w:after="0" w:line="360" w:lineRule="auto"/>
        <w:ind w:left="0" w:right="0"/>
      </w:pPr>
      <w:r>
        <w:t xml:space="preserve">Figura 24 – Curvas ROC para predição de pCR em cada coorte neoadjuvante</w:t>
      </w:r>
      <w:r>
        <w:tab/>
        <w:t xml:space="preserve">85</w:t>
      </w:r>
    </w:p>
    <w:p>
      <w:pPr>
        <w:tabs>
          <w:tab w:val="right" w:leader="dot" w:pos="8640"/>
        </w:tabs>
        <w:spacing w:after="0" w:line="360" w:lineRule="auto"/>
        <w:ind w:left="0" w:right="0"/>
      </w:pPr>
      <w:r>
        <w:t xml:space="preserve">Figura 25 – Distribuição do escore CorePAM por status de pCR em cada coorte neoadjuvante</w:t>
      </w:r>
      <w:r>
        <w:tab/>
        <w:t xml:space="preserve">86</w:t>
      </w:r>
    </w:p>
    <w:p>
      <w:pPr>
        <w:tabs>
          <w:tab w:val="right" w:leader="dot" w:pos="8640"/>
        </w:tabs>
        <w:spacing w:after="0" w:line="360" w:lineRule="auto"/>
        <w:ind w:left="0" w:right="0"/>
      </w:pPr>
      <w:r>
        <w:t xml:space="preserve">Figura 26 – Taxa de pCR por quartil do escore CorePAM em cada coorte neoadjuvante</w:t>
      </w:r>
      <w:r>
        <w:tab/>
        <w:t xml:space="preserve">87</w:t>
      </w:r>
    </w:p>
    <w:p>
      <w:pPr>
        <w:tabs>
          <w:tab w:val="right" w:leader="dot" w:pos="8640"/>
        </w:tabs>
        <w:spacing w:after="0" w:line="360" w:lineRule="auto"/>
        <w:ind w:left="0" w:right="0"/>
      </w:pPr>
      <w:r>
        <w:t xml:space="preserve">Figura 27 – Análise de curva de decisão para predição de pCR nas quatro coortes neoadjuvantes primárias</w:t>
      </w:r>
      <w:r>
        <w:tab/>
        <w:t xml:space="preserve">88</w:t>
      </w:r>
    </w:p>
    <w:p>
      <w:pPr>
        <w:tabs>
          <w:tab w:val="right" w:leader="dot" w:pos="8640"/>
        </w:tabs>
        <w:spacing w:after="0" w:line="360" w:lineRule="auto"/>
        <w:ind w:left="0" w:right="0"/>
      </w:pPr>
      <w:r>
        <w:t xml:space="preserve">Figura 28 – Comparação head-to-head CorePAM vs PAM50-full penalizado por coorte e modo de pontuação</w:t>
      </w:r>
      <w:r>
        <w:tab/>
        <w:t xml:space="preserve">90</w:t>
      </w:r>
    </w:p>
    <w:p>
      <w:pPr>
        <w:tabs>
          <w:tab w:val="right" w:leader="dot" w:pos="8640"/>
        </w:tabs>
        <w:spacing w:after="0" w:line="360" w:lineRule="auto"/>
        <w:ind w:left="0" w:right="0"/>
      </w:pPr>
      <w:r>
        <w:t xml:space="preserve">Figura 29 – Comparação de C-index: CorePAM vs ROR-S vs OncotypeDX-RS por coorte</w:t>
      </w:r>
      <w:r>
        <w:tab/>
        <w:t xml:space="preserve">92</w:t>
      </w:r>
    </w:p>
    <!--FIGLIST_END-->
    <w:bookmarkEnd w:id="26"/>
    <w:bookmarkStart w:id="27" w:name="lista-de-tabelas"/>
    <w:p>
      <w:pPr>
        <w:pageBreakBefore/>
        <w:pStyle w:val="Heading1"/>
      </w:pPr>
      <w:r>
        <w:t xml:space="preserve">LISTA DE TABELAS</w:t>
      </w:r>
    </w:p>
    <!--TABLIST_START-->
    <w:p>
      <w:pPr>
        <w:tabs>
          <w:tab w:val="right" w:leader="dot" w:pos="8640"/>
        </w:tabs>
        <w:spacing w:after="0" w:line="360" w:lineRule="auto"/>
        <w:ind w:left="0" w:right="0"/>
      </w:pPr>
      <w:r>
        <w:t xml:space="preserve">Tabela 1 – Mapa dos blocos de coortes e das perguntas metodológicas do estudo</w:t>
      </w:r>
      <w:r>
        <w:tab/>
        <w:t xml:space="preserve">28</w:t>
      </w:r>
    </w:p>
    <w:p>
      <w:pPr>
        <w:tabs>
          <w:tab w:val="right" w:leader="dot" w:pos="8640"/>
        </w:tabs>
        <w:spacing w:after="0" w:line="360" w:lineRule="auto"/>
        <w:ind w:left="0" w:right="0"/>
      </w:pPr>
      <w:r>
        <w:t xml:space="preserve">Tabela 2 – Papel de cada coorte na construção e validação do CorePAM</w:t>
      </w:r>
      <w:r>
        <w:tab/>
        <w:t xml:space="preserve">29</w:t>
      </w:r>
    </w:p>
    <w:p>
      <w:pPr>
        <w:tabs>
          <w:tab w:val="right" w:leader="dot" w:pos="8640"/>
        </w:tabs>
        <w:spacing w:after="0" w:line="360" w:lineRule="auto"/>
        <w:ind w:left="0" w:right="0"/>
      </w:pPr>
      <w:r>
        <w:t xml:space="preserve">Tabela 3 – Características das coortes de sobrevida</w:t>
      </w:r>
      <w:r>
        <w:tab/>
        <w:t xml:space="preserve">38</w:t>
      </w:r>
    </w:p>
    <w:p>
      <w:pPr>
        <w:tabs>
          <w:tab w:val="right" w:leader="dot" w:pos="8640"/>
        </w:tabs>
        <w:spacing w:after="0" w:line="360" w:lineRule="auto"/>
        <w:ind w:left="0" w:right="0"/>
      </w:pPr>
      <w:r>
        <w:t xml:space="preserve">Tabela 4 – Características das coortes neoadjuvantes (pCR)</w:t>
      </w:r>
      <w:r>
        <w:tab/>
        <w:t xml:space="preserve">40</w:t>
      </w:r>
    </w:p>
    <w:p>
      <w:pPr>
        <w:tabs>
          <w:tab w:val="right" w:leader="dot" w:pos="8640"/>
        </w:tabs>
        <w:spacing w:after="0" w:line="360" w:lineRule="auto"/>
        <w:ind w:left="0" w:right="0"/>
      </w:pPr>
      <w:r>
        <w:t xml:space="preserve">Tabela 5 – Parâmetros analíticos congelados antes da análise</w:t>
      </w:r>
      <w:r>
        <w:tab/>
        <w:t xml:space="preserve">41</w:t>
      </w:r>
    </w:p>
    <w:p>
      <w:pPr>
        <w:tabs>
          <w:tab w:val="right" w:leader="dot" w:pos="8640"/>
        </w:tabs>
        <w:spacing w:after="0" w:line="360" w:lineRule="auto"/>
        <w:ind w:left="0" w:right="0"/>
      </w:pPr>
      <w:r>
        <w:t xml:space="preserve">Tabela 6 – Cobertura de genes CorePAM por coorte de validação</w:t>
      </w:r>
      <w:r>
        <w:tab/>
        <w:t xml:space="preserve">43</w:t>
      </w:r>
    </w:p>
    <w:p>
      <w:pPr>
        <w:tabs>
          <w:tab w:val="right" w:leader="dot" w:pos="8640"/>
        </w:tabs>
        <w:spacing w:after="0" w:line="360" w:lineRule="auto"/>
        <w:ind w:left="0" w:right="0"/>
      </w:pPr>
      <w:r>
        <w:t xml:space="preserve">Tabela 7 – Lista completa dos 24 genes CorePAM com pesos elastic-net</w:t>
      </w:r>
      <w:r>
        <w:tab/>
        <w:t xml:space="preserve">54</w:t>
      </w:r>
    </w:p>
    <w:p>
      <w:pPr>
        <w:tabs>
          <w:tab w:val="right" w:leader="dot" w:pos="8640"/>
        </w:tabs>
        <w:spacing w:after="0" w:line="360" w:lineRule="auto"/>
        <w:ind w:left="0" w:right="0"/>
      </w:pPr>
      <w:r>
        <w:t xml:space="preserve">Tabela 8 – Desempenho prognóstico do CorePAM por coorte</w:t>
      </w:r>
      <w:r>
        <w:tab/>
        <w:t xml:space="preserve">60</w:t>
      </w:r>
    </w:p>
    <w:p>
      <w:pPr>
        <w:tabs>
          <w:tab w:val="right" w:leader="dot" w:pos="8640"/>
        </w:tabs>
        <w:spacing w:after="0" w:line="360" w:lineRule="auto"/>
        <w:ind w:left="0" w:right="0"/>
      </w:pPr>
      <w:r>
        <w:t xml:space="preserve">Tabela 9 – Meta-análise de efeitos aleatórios — sobrevida (K = 4)</w:t>
      </w:r>
      <w:r>
        <w:tab/>
        <w:t xml:space="preserve">68</w:t>
      </w:r>
    </w:p>
    <w:p>
      <w:pPr>
        <w:tabs>
          <w:tab w:val="right" w:leader="dot" w:pos="8640"/>
        </w:tabs>
        <w:spacing w:after="0" w:line="360" w:lineRule="auto"/>
        <w:ind w:left="0" w:right="0"/>
      </w:pPr>
      <w:r>
        <w:t xml:space="preserve">Tabela 10 – C-index incremental do CorePAM sobre o modelo CORE-A</w:t>
      </w:r>
      <w:r>
        <w:tab/>
        <w:t xml:space="preserve">70</w:t>
      </w:r>
    </w:p>
    <w:p>
      <w:pPr>
        <w:tabs>
          <w:tab w:val="right" w:leader="dot" w:pos="8640"/>
        </w:tabs>
        <w:spacing w:after="0" w:line="360" w:lineRule="auto"/>
        <w:ind w:left="0" w:right="0"/>
      </w:pPr>
      <w:r>
        <w:t xml:space="preserve">Tabela 11 – Modelo clínico expandido com estadiamento anatômico</w:t>
      </w:r>
      <w:r>
        <w:tab/>
        <w:t xml:space="preserve">74</w:t>
      </w:r>
    </w:p>
    <w:p>
      <w:pPr>
        <w:tabs>
          <w:tab w:val="right" w:leader="dot" w:pos="8640"/>
        </w:tabs>
        <w:spacing w:after="0" w:line="360" w:lineRule="auto"/>
        <w:ind w:left="0" w:right="0"/>
      </w:pPr>
      <w:r>
        <w:t xml:space="preserve">Tabela 12 – Modelo clínico completo (6 variáveis) com e sem CorePAM</w:t>
      </w:r>
      <w:r>
        <w:tab/>
        <w:t xml:space="preserve">74</w:t>
      </w:r>
    </w:p>
    <w:p>
      <w:pPr>
        <w:tabs>
          <w:tab w:val="right" w:leader="dot" w:pos="8640"/>
        </w:tabs>
        <w:spacing w:after="0" w:line="360" w:lineRule="auto"/>
        <w:ind w:left="0" w:right="0"/>
      </w:pPr>
      <w:r>
        <w:t xml:space="preserve">Tabela 13 – Análise de sensibilidade do z-score congelado</w:t>
      </w:r>
      <w:r>
        <w:tab/>
        <w:t xml:space="preserve">74</w:t>
      </w:r>
    </w:p>
    <w:p>
      <w:pPr>
        <w:tabs>
          <w:tab w:val="right" w:leader="dot" w:pos="8640"/>
        </w:tabs>
        <w:spacing w:after="0" w:line="360" w:lineRule="auto"/>
        <w:ind w:left="0" w:right="0"/>
      </w:pPr>
      <w:r>
        <w:t xml:space="preserve">Tabela 14 – Estatística C de Uno e AUC tempo-dependente</w:t>
      </w:r>
      <w:r>
        <w:tab/>
        <w:t xml:space="preserve">77</w:t>
      </w:r>
    </w:p>
    <w:p>
      <w:pPr>
        <w:tabs>
          <w:tab w:val="right" w:leader="dot" w:pos="8640"/>
        </w:tabs>
        <w:spacing w:after="0" w:line="360" w:lineRule="auto"/>
        <w:ind w:left="0" w:right="0"/>
      </w:pPr>
      <w:r>
        <w:t xml:space="preserve">Tabela 15 – Calibração formal por coorte</w:t>
      </w:r>
      <w:r>
        <w:tab/>
        <w:t xml:space="preserve">77</w:t>
      </w:r>
    </w:p>
    <w:p>
      <w:pPr>
        <w:tabs>
          <w:tab w:val="right" w:leader="dot" w:pos="8640"/>
        </w:tabs>
        <w:spacing w:after="0" w:line="360" w:lineRule="auto"/>
        <w:ind w:left="0" w:right="0"/>
      </w:pPr>
      <w:r>
        <w:t xml:space="preserve">Tabela 16 – Análise de subgrupo por status de RE</w:t>
      </w:r>
      <w:r>
        <w:tab/>
        <w:t xml:space="preserve">81</w:t>
      </w:r>
    </w:p>
    <w:p>
      <w:pPr>
        <w:tabs>
          <w:tab w:val="right" w:leader="dot" w:pos="8640"/>
        </w:tabs>
        <w:spacing w:after="0" w:line="360" w:lineRule="auto"/>
        <w:ind w:left="0" w:right="0"/>
      </w:pPr>
      <w:r>
        <w:t xml:space="preserve">Tabela 17 – Predição de pCR por coorte neoadjuvante</w:t>
      </w:r>
      <w:r>
        <w:tab/>
        <w:t xml:space="preserve">83</w:t>
      </w:r>
    </w:p>
    <w:p>
      <w:pPr>
        <w:tabs>
          <w:tab w:val="right" w:leader="dot" w:pos="8640"/>
        </w:tabs>
        <w:spacing w:after="0" w:line="360" w:lineRule="auto"/>
        <w:ind w:left="0" w:right="0"/>
      </w:pPr>
      <w:r>
        <w:t xml:space="preserve">Tabela 18 – Comparação head-to-head: CorePAM vs comparador PAM50-full elastic-net com 49 coeficientes não-zero</w:t>
      </w:r>
      <w:r>
        <w:tab/>
        <w:t xml:space="preserve">89</w:t>
      </w:r>
    </w:p>
    <w:p>
      <w:pPr>
        <w:tabs>
          <w:tab w:val="right" w:leader="dot" w:pos="8640"/>
        </w:tabs>
        <w:spacing w:after="0" w:line="360" w:lineRule="auto"/>
        <w:ind w:left="0" w:right="0"/>
      </w:pPr>
      <w:r>
        <w:t xml:space="preserve">Tabela 19 – Comparação com ROR-S e OncotypeDX-RS</w:t>
      </w:r>
      <w:r>
        <w:tab/>
        <w:t xml:space="preserve">91</w:t>
      </w:r>
    </w:p>
    <w:p>
      <w:pPr>
        <w:tabs>
          <w:tab w:val="right" w:leader="dot" w:pos="8640"/>
        </w:tabs>
        <w:spacing w:after="0" w:line="360" w:lineRule="auto"/>
        <w:ind w:left="0" w:right="0"/>
      </w:pPr>
      <w:r>
        <w:t xml:space="preserve">Tabela 20 – Organização do pipeline computacional por blocos</w:t>
      </w:r>
      <w:r>
        <w:tab/>
        <w:t xml:space="preserve">115</w:t>
      </w:r>
    </w:p>
    <w:p>
      <w:pPr>
        <w:tabs>
          <w:tab w:val="right" w:leader="dot" w:pos="8640"/>
        </w:tabs>
        <w:spacing w:after="0" w:line="360" w:lineRule="auto"/>
        <w:ind w:left="0" w:right="0"/>
      </w:pPr>
      <w:r>
        <w:t xml:space="preserve">Tabela 21 – Lista completa dos scripts do pipeline</w:t>
      </w:r>
      <w:r>
        <w:tab/>
        <w:t xml:space="preserve">115</w:t>
      </w:r>
    </w:p>
    <!--TABLIST_END-->
    <w:bookmarkEnd w:id="27"/>
    <w:bookmarkStart w:id="28" w:name="lista-de-abreviaturas-e-siglas"/>
    <w:p>
      <w:pPr>
        <w:pageBreakBefore/>
        <w:pStyle w:val="Heading1"/>
      </w:pPr>
      <w:r>
        <w:t xml:space="preserve">LISTA DE ABREVIATURAS E SIGLAS</w:t>
      </w:r>
    </w:p>
    <w:p>
      <w:pPr>
        <w:pStyle w:val="FirstParagraph"/>
      </w:pPr>
      <w:r>
        <w:rPr>
          <w:b/>
          <w:bCs/>
        </w:rPr>
        <w:t xml:space="preserve">ABNT</w:t>
      </w:r>
      <w:r>
        <w:t xml:space="preserve"> </w:t>
      </w:r>
      <w:r>
        <w:t xml:space="preserve">— Associação Brasileira de Normas Técnicas</w:t>
      </w:r>
    </w:p>
    <w:p>
      <w:pPr>
        <w:pStyle w:val="BodyText"/>
      </w:pPr>
      <w:r>
        <w:rPr>
          <w:b/>
          <w:bCs/>
        </w:rPr>
        <w:t xml:space="preserve">AUC</w:t>
      </w:r>
      <w:r>
        <w:t xml:space="preserve"> </w:t>
      </w:r>
      <w:r>
        <w:t xml:space="preserve">—</w:t>
      </w:r>
      <w:r>
        <w:t xml:space="preserve"> </w:t>
      </w:r>
      <w:r>
        <w:rPr>
          <w:i/>
          <w:iCs/>
        </w:rPr>
        <w:t xml:space="preserve">area under the curve</w:t>
      </w:r>
      <w:r>
        <w:t xml:space="preserve"> </w:t>
      </w:r>
      <w:r>
        <w:t xml:space="preserve">(área sob a curva ROC)</w:t>
      </w:r>
    </w:p>
    <w:p>
      <w:pPr>
        <w:pStyle w:val="BodyText"/>
      </w:pPr>
      <w:r>
        <w:rPr>
          <w:b/>
          <w:bCs/>
        </w:rPr>
        <w:t xml:space="preserve">CEP</w:t>
      </w:r>
      <w:r>
        <w:t xml:space="preserve"> </w:t>
      </w:r>
      <w:r>
        <w:t xml:space="preserve">— Comitê de Ética em Pesquisa</w:t>
      </w:r>
    </w:p>
    <w:p>
      <w:pPr>
        <w:pStyle w:val="BodyText"/>
      </w:pPr>
      <w:r>
        <w:rPr>
          <w:b/>
          <w:bCs/>
        </w:rPr>
        <w:t xml:space="preserve">CNS</w:t>
      </w:r>
      <w:r>
        <w:t xml:space="preserve"> </w:t>
      </w:r>
      <w:r>
        <w:t xml:space="preserve">— Conselho Nacional de Saúde</w:t>
      </w:r>
    </w:p>
    <w:p>
      <w:pPr>
        <w:pStyle w:val="BodyText"/>
      </w:pPr>
      <w:r>
        <w:rPr>
          <w:b/>
          <w:bCs/>
        </w:rPr>
        <w:t xml:space="preserve">ComBat</w:t>
      </w:r>
      <w:r>
        <w:t xml:space="preserve"> </w:t>
      </w:r>
      <w:r>
        <w:t xml:space="preserve">—</w:t>
      </w:r>
      <w:r>
        <w:t xml:space="preserve"> </w:t>
      </w:r>
      <w:r>
        <w:rPr>
          <w:i/>
          <w:iCs/>
        </w:rPr>
        <w:t xml:space="preserve">Combating Batch Effects</w:t>
      </w:r>
      <w:r>
        <w:t xml:space="preserve"> </w:t>
      </w:r>
      <w:r>
        <w:t xml:space="preserve">(método de correção de</w:t>
      </w:r>
      <w:r>
        <w:t xml:space="preserve"> </w:t>
      </w:r>
      <w:r>
        <w:rPr>
          <w:i/>
          <w:iCs/>
        </w:rPr>
        <w:t xml:space="preserve">batch</w:t>
      </w:r>
      <w:r>
        <w:t xml:space="preserve">)</w:t>
      </w:r>
    </w:p>
    <w:p>
      <w:pPr>
        <w:pStyle w:val="BodyText"/>
      </w:pPr>
      <w:r>
        <w:rPr>
          <w:b/>
          <w:bCs/>
        </w:rPr>
        <w:t xml:space="preserve">CORE-A</w:t>
      </w:r>
      <w:r>
        <w:t xml:space="preserve"> </w:t>
      </w:r>
      <w:r>
        <w:t xml:space="preserve">— modelo clínico mínimo utilizado como referência multivariada</w:t>
      </w:r>
    </w:p>
    <w:p>
      <w:pPr>
        <w:pStyle w:val="BodyText"/>
      </w:pPr>
      <w:r>
        <w:rPr>
          <w:b/>
          <w:bCs/>
        </w:rPr>
        <w:t xml:space="preserve">CorePAM</w:t>
      </w:r>
      <w:r>
        <w:t xml:space="preserve"> </w:t>
      </w:r>
      <w:r>
        <w:t xml:space="preserve">—</w:t>
      </w:r>
      <w:r>
        <w:t xml:space="preserve"> </w:t>
      </w:r>
      <w:r>
        <w:rPr>
          <w:i/>
          <w:iCs/>
        </w:rPr>
        <w:t xml:space="preserve">Core</w:t>
      </w:r>
      <w:r>
        <w:t xml:space="preserve"> </w:t>
      </w:r>
      <w:r>
        <w:t xml:space="preserve">PAM50 (escore prognóstico de 24 genes derivado neste estudo)</w:t>
      </w:r>
    </w:p>
    <w:p>
      <w:pPr>
        <w:pStyle w:val="BodyText"/>
      </w:pPr>
      <w:r>
        <w:rPr>
          <w:b/>
          <w:bCs/>
        </w:rPr>
        <w:t xml:space="preserve">CPM</w:t>
      </w:r>
      <w:r>
        <w:t xml:space="preserve"> </w:t>
      </w:r>
      <w:r>
        <w:t xml:space="preserve">—</w:t>
      </w:r>
      <w:r>
        <w:t xml:space="preserve"> </w:t>
      </w:r>
      <w:r>
        <w:rPr>
          <w:i/>
          <w:iCs/>
        </w:rPr>
        <w:t xml:space="preserve">counts per million</w:t>
      </w:r>
      <w:r>
        <w:t xml:space="preserve"> </w:t>
      </w:r>
      <w:r>
        <w:t xml:space="preserve">(contagens por milhão)</w:t>
      </w:r>
    </w:p>
    <w:p>
      <w:pPr>
        <w:pStyle w:val="BodyText"/>
      </w:pPr>
      <w:r>
        <w:rPr>
          <w:b/>
          <w:bCs/>
        </w:rPr>
        <w:t xml:space="preserve">DCA</w:t>
      </w:r>
      <w:r>
        <w:t xml:space="preserve"> </w:t>
      </w:r>
      <w:r>
        <w:t xml:space="preserve">—</w:t>
      </w:r>
      <w:r>
        <w:t xml:space="preserve"> </w:t>
      </w:r>
      <w:r>
        <w:rPr>
          <w:i/>
          <w:iCs/>
        </w:rPr>
        <w:t xml:space="preserve">decision curve analysis</w:t>
      </w:r>
      <w:r>
        <w:t xml:space="preserve"> </w:t>
      </w:r>
      <w:r>
        <w:t xml:space="preserve">(análise de curva de decisão)</w:t>
      </w:r>
    </w:p>
    <w:p>
      <w:pPr>
        <w:pStyle w:val="BodyText"/>
      </w:pPr>
      <w:r>
        <w:rPr>
          <w:b/>
          <w:bCs/>
        </w:rPr>
        <w:t xml:space="preserve">DNA</w:t>
      </w:r>
      <w:r>
        <w:t xml:space="preserve"> </w:t>
      </w:r>
      <w:r>
        <w:t xml:space="preserve">— ácido desoxirribonucleico</w:t>
      </w:r>
    </w:p>
    <w:p>
      <w:pPr>
        <w:pStyle w:val="BodyText"/>
      </w:pPr>
      <w:r>
        <w:rPr>
          <w:b/>
          <w:bCs/>
        </w:rPr>
        <w:t xml:space="preserve">DOI</w:t>
      </w:r>
      <w:r>
        <w:t xml:space="preserve"> </w:t>
      </w:r>
      <w:r>
        <w:t xml:space="preserve">—</w:t>
      </w:r>
      <w:r>
        <w:t xml:space="preserve"> </w:t>
      </w:r>
      <w:r>
        <w:rPr>
          <w:i/>
          <w:iCs/>
        </w:rPr>
        <w:t xml:space="preserve">Digital Object Identifier</w:t>
      </w:r>
    </w:p>
    <w:p>
      <w:pPr>
        <w:pStyle w:val="BodyText"/>
      </w:pPr>
      <w:r>
        <w:rPr>
          <w:b/>
          <w:bCs/>
        </w:rPr>
        <w:t xml:space="preserve">DP</w:t>
      </w:r>
      <w:r>
        <w:t xml:space="preserve"> </w:t>
      </w:r>
      <w:r>
        <w:t xml:space="preserve">— desvio-padrão</w:t>
      </w:r>
    </w:p>
    <w:p>
      <w:pPr>
        <w:pStyle w:val="BodyText"/>
      </w:pPr>
      <w:r>
        <w:rPr>
          <w:b/>
          <w:bCs/>
        </w:rPr>
        <w:t xml:space="preserve">DSS</w:t>
      </w:r>
      <w:r>
        <w:t xml:space="preserve"> </w:t>
      </w:r>
      <w:r>
        <w:t xml:space="preserve">—</w:t>
      </w:r>
      <w:r>
        <w:t xml:space="preserve"> </w:t>
      </w:r>
      <w:r>
        <w:rPr>
          <w:i/>
          <w:iCs/>
        </w:rPr>
        <w:t xml:space="preserve">disease-specific survival</w:t>
      </w:r>
      <w:r>
        <w:t xml:space="preserve"> </w:t>
      </w:r>
      <w:r>
        <w:t xml:space="preserve">(sobrevida doença-específica)</w:t>
      </w:r>
    </w:p>
    <w:p>
      <w:pPr>
        <w:pStyle w:val="BodyText"/>
      </w:pPr>
      <w:r>
        <w:rPr>
          <w:b/>
          <w:bCs/>
        </w:rPr>
        <w:t xml:space="preserve">EP</w:t>
      </w:r>
      <w:r>
        <w:t xml:space="preserve"> </w:t>
      </w:r>
      <w:r>
        <w:t xml:space="preserve">— erro-padrão</w:t>
      </w:r>
    </w:p>
    <w:p>
      <w:pPr>
        <w:pStyle w:val="BodyText"/>
      </w:pPr>
      <w:r>
        <w:rPr>
          <w:b/>
          <w:bCs/>
        </w:rPr>
        <w:t xml:space="preserve">ER / RE</w:t>
      </w:r>
      <w:r>
        <w:t xml:space="preserve"> </w:t>
      </w:r>
      <w:r>
        <w:t xml:space="preserve">—</w:t>
      </w:r>
      <w:r>
        <w:t xml:space="preserve"> </w:t>
      </w:r>
      <w:r>
        <w:rPr>
          <w:i/>
          <w:iCs/>
        </w:rPr>
        <w:t xml:space="preserve">estrogen receptor</w:t>
      </w:r>
      <w:r>
        <w:t xml:space="preserve"> </w:t>
      </w:r>
      <w:r>
        <w:t xml:space="preserve">/ receptor de estrogênio</w:t>
      </w:r>
    </w:p>
    <w:p>
      <w:pPr>
        <w:pStyle w:val="BodyText"/>
      </w:pPr>
      <w:r>
        <w:rPr>
          <w:b/>
          <w:bCs/>
        </w:rPr>
        <w:t xml:space="preserve">FFPE</w:t>
      </w:r>
      <w:r>
        <w:t xml:space="preserve"> </w:t>
      </w:r>
      <w:r>
        <w:t xml:space="preserve">—</w:t>
      </w:r>
      <w:r>
        <w:t xml:space="preserve"> </w:t>
      </w:r>
      <w:r>
        <w:rPr>
          <w:i/>
          <w:iCs/>
        </w:rPr>
        <w:t xml:space="preserve">formalin-fixed paraffin-embedded</w:t>
      </w:r>
      <w:r>
        <w:t xml:space="preserve"> </w:t>
      </w:r>
      <w:r>
        <w:t xml:space="preserve">(tecido fixado em formalina e embebido em parafina)</w:t>
      </w:r>
    </w:p>
    <w:p>
      <w:pPr>
        <w:pStyle w:val="BodyText"/>
      </w:pPr>
      <w:r>
        <w:rPr>
          <w:b/>
          <w:bCs/>
        </w:rPr>
        <w:t xml:space="preserve">GEO</w:t>
      </w:r>
      <w:r>
        <w:t xml:space="preserve"> </w:t>
      </w:r>
      <w:r>
        <w:t xml:space="preserve">—</w:t>
      </w:r>
      <w:r>
        <w:t xml:space="preserve"> </w:t>
      </w:r>
      <w:r>
        <w:rPr>
          <w:i/>
          <w:iCs/>
        </w:rPr>
        <w:t xml:space="preserve">Gene Expression Omnibus</w:t>
      </w:r>
    </w:p>
    <w:p>
      <w:pPr>
        <w:pStyle w:val="BodyText"/>
      </w:pPr>
      <w:r>
        <w:rPr>
          <w:b/>
          <w:bCs/>
        </w:rPr>
        <w:t xml:space="preserve">GLOBOCAN</w:t>
      </w:r>
      <w:r>
        <w:t xml:space="preserve"> </w:t>
      </w:r>
      <w:r>
        <w:t xml:space="preserve">—</w:t>
      </w:r>
      <w:r>
        <w:t xml:space="preserve"> </w:t>
      </w:r>
      <w:r>
        <w:rPr>
          <w:i/>
          <w:iCs/>
        </w:rPr>
        <w:t xml:space="preserve">Global Cancer Observatory</w:t>
      </w:r>
    </w:p>
    <w:p>
      <w:pPr>
        <w:pStyle w:val="BodyText"/>
      </w:pPr>
      <w:r>
        <w:rPr>
          <w:b/>
          <w:bCs/>
        </w:rPr>
        <w:t xml:space="preserve">HER2</w:t>
      </w:r>
      <w:r>
        <w:t xml:space="preserve"> </w:t>
      </w:r>
      <w:r>
        <w:t xml:space="preserve">—</w:t>
      </w:r>
      <w:r>
        <w:t xml:space="preserve"> </w:t>
      </w:r>
      <w:r>
        <w:rPr>
          <w:i/>
          <w:iCs/>
        </w:rPr>
        <w:t xml:space="preserve">human epidermal growth factor receptor 2</w:t>
      </w:r>
      <w:r>
        <w:t xml:space="preserve"> </w:t>
      </w:r>
      <w:r>
        <w:t xml:space="preserve">(receptor 2 do fator de crescimento epidérmico humano)</w:t>
      </w:r>
    </w:p>
    <w:p>
      <w:pPr>
        <w:pStyle w:val="BodyText"/>
      </w:pPr>
      <w:r>
        <w:rPr>
          <w:b/>
          <w:bCs/>
        </w:rPr>
        <w:t xml:space="preserve">HR</w:t>
      </w:r>
      <w:r>
        <w:t xml:space="preserve"> </w:t>
      </w:r>
      <w:r>
        <w:t xml:space="preserve">—</w:t>
      </w:r>
      <w:r>
        <w:t xml:space="preserve"> </w:t>
      </w:r>
      <w:r>
        <w:rPr>
          <w:i/>
          <w:iCs/>
        </w:rPr>
        <w:t xml:space="preserve">hazard ratio</w:t>
      </w:r>
      <w:r>
        <w:t xml:space="preserve"> </w:t>
      </w:r>
      <w:r>
        <w:t xml:space="preserve">(razão de riscos)</w:t>
      </w:r>
    </w:p>
    <w:p>
      <w:pPr>
        <w:pStyle w:val="BodyText"/>
      </w:pPr>
      <w:r>
        <w:rPr>
          <w:b/>
          <w:bCs/>
        </w:rPr>
        <w:t xml:space="preserve">HUB</w:t>
      </w:r>
      <w:r>
        <w:t xml:space="preserve"> </w:t>
      </w:r>
      <w:r>
        <w:t xml:space="preserve">— Hospital Universitário de Brasília</w:t>
      </w:r>
    </w:p>
    <w:p>
      <w:pPr>
        <w:pStyle w:val="BodyText"/>
      </w:pPr>
      <w:r>
        <w:rPr>
          <w:b/>
          <w:bCs/>
        </w:rPr>
        <w:t xml:space="preserve">IC 95%</w:t>
      </w:r>
      <w:r>
        <w:t xml:space="preserve"> </w:t>
      </w:r>
      <w:r>
        <w:t xml:space="preserve">— intervalo de confiança de 95%</w:t>
      </w:r>
    </w:p>
    <w:p>
      <w:pPr>
        <w:pStyle w:val="BodyText"/>
      </w:pPr>
      <w:r>
        <w:rPr>
          <w:b/>
          <w:bCs/>
        </w:rPr>
        <w:t xml:space="preserve">INCA</w:t>
      </w:r>
      <w:r>
        <w:t xml:space="preserve"> </w:t>
      </w:r>
      <w:r>
        <w:t xml:space="preserve">— Instituto Nacional de Câncer</w:t>
      </w:r>
    </w:p>
    <w:p>
      <w:pPr>
        <w:pStyle w:val="BodyText"/>
      </w:pPr>
      <w:r>
        <w:rPr>
          <w:b/>
          <w:bCs/>
        </w:rPr>
        <w:t xml:space="preserve">I-SPY</w:t>
      </w:r>
      <w:r>
        <w:t xml:space="preserve"> </w:t>
      </w:r>
      <w:r>
        <w:t xml:space="preserve">—</w:t>
      </w:r>
      <w:r>
        <w:t xml:space="preserve"> </w:t>
      </w:r>
      <w:r>
        <w:rPr>
          <w:i/>
          <w:iCs/>
        </w:rPr>
        <w:t xml:space="preserve">Investigation of Serial Studies to Predict Your Therapeutic Response with Imaging and Molecular Analysis</w:t>
      </w:r>
    </w:p>
    <w:p>
      <w:pPr>
        <w:pStyle w:val="BodyText"/>
      </w:pPr>
      <w:r>
        <w:rPr>
          <w:b/>
          <w:bCs/>
        </w:rPr>
        <w:t xml:space="preserve">K</w:t>
      </w:r>
      <w:r>
        <w:t xml:space="preserve"> </w:t>
      </w:r>
      <w:r>
        <w:t xml:space="preserve">— número de</w:t>
      </w:r>
      <w:r>
        <w:t xml:space="preserve"> </w:t>
      </w:r>
      <w:r>
        <w:rPr>
          <w:i/>
          <w:iCs/>
        </w:rPr>
        <w:t xml:space="preserve">folds</w:t>
      </w:r>
      <w:r>
        <w:t xml:space="preserve"> </w:t>
      </w:r>
      <w:r>
        <w:t xml:space="preserve">da validação cruzada</w:t>
      </w:r>
    </w:p>
    <w:p>
      <w:pPr>
        <w:pStyle w:val="BodyText"/>
      </w:pPr>
      <w:r>
        <w:rPr>
          <w:b/>
          <w:bCs/>
        </w:rPr>
        <w:t xml:space="preserve">KM</w:t>
      </w:r>
      <w:r>
        <w:t xml:space="preserve"> </w:t>
      </w:r>
      <w:r>
        <w:t xml:space="preserve">— Kaplan–Meier</w:t>
      </w:r>
    </w:p>
    <w:p>
      <w:pPr>
        <w:pStyle w:val="BodyText"/>
      </w:pPr>
      <w:r>
        <w:rPr>
          <w:b/>
          <w:bCs/>
        </w:rPr>
        <w:t xml:space="preserve">L1 / L2</w:t>
      </w:r>
      <w:r>
        <w:t xml:space="preserve"> </w:t>
      </w:r>
      <w:r>
        <w:t xml:space="preserve">— penalidades tipo</w:t>
      </w:r>
      <w:r>
        <w:t xml:space="preserve"> </w:t>
      </w:r>
      <w:r>
        <w:rPr>
          <w:i/>
          <w:iCs/>
        </w:rPr>
        <w:t xml:space="preserve">lasso</w:t>
      </w:r>
      <w:r>
        <w:t xml:space="preserve"> </w:t>
      </w:r>
      <w:r>
        <w:t xml:space="preserve">(L1) e</w:t>
      </w:r>
      <w:r>
        <w:t xml:space="preserve"> </w:t>
      </w:r>
      <w:r>
        <w:rPr>
          <w:i/>
          <w:iCs/>
        </w:rPr>
        <w:t xml:space="preserve">ridge</w:t>
      </w:r>
      <w:r>
        <w:t xml:space="preserve"> </w:t>
      </w:r>
      <w:r>
        <w:t xml:space="preserve">(L2)</w:t>
      </w:r>
    </w:p>
    <w:p>
      <w:pPr>
        <w:pStyle w:val="BodyText"/>
      </w:pPr>
      <w:r>
        <w:rPr>
          <w:b/>
          <w:bCs/>
        </w:rPr>
        <w:t xml:space="preserve">LLM</w:t>
      </w:r>
      <w:r>
        <w:t xml:space="preserve"> </w:t>
      </w:r>
      <w:r>
        <w:t xml:space="preserve">—</w:t>
      </w:r>
      <w:r>
        <w:t xml:space="preserve"> </w:t>
      </w:r>
      <w:r>
        <w:rPr>
          <w:i/>
          <w:iCs/>
        </w:rPr>
        <w:t xml:space="preserve">large language model</w:t>
      </w:r>
      <w:r>
        <w:t xml:space="preserve"> </w:t>
      </w:r>
      <w:r>
        <w:t xml:space="preserve">(modelo de linguagem de grande escala)</w:t>
      </w:r>
    </w:p>
    <w:p>
      <w:pPr>
        <w:pStyle w:val="BodyText"/>
      </w:pPr>
      <w:r>
        <w:rPr>
          <w:b/>
          <w:bCs/>
        </w:rPr>
        <w:t xml:space="preserve">METABRIC</w:t>
      </w:r>
      <w:r>
        <w:t xml:space="preserve"> </w:t>
      </w:r>
      <w:r>
        <w:t xml:space="preserve">—</w:t>
      </w:r>
      <w:r>
        <w:t xml:space="preserve"> </w:t>
      </w:r>
      <w:r>
        <w:rPr>
          <w:i/>
          <w:iCs/>
        </w:rPr>
        <w:t xml:space="preserve">Molecular Taxonomy of Breast Cancer International Consortium</w:t>
      </w:r>
    </w:p>
    <w:p>
      <w:pPr>
        <w:pStyle w:val="BodyText"/>
      </w:pPr>
      <w:r>
        <w:rPr>
          <w:b/>
          <w:bCs/>
        </w:rPr>
        <w:t xml:space="preserve">MINDACT</w:t>
      </w:r>
      <w:r>
        <w:t xml:space="preserve"> </w:t>
      </w:r>
      <w:r>
        <w:t xml:space="preserve">—</w:t>
      </w:r>
      <w:r>
        <w:t xml:space="preserve"> </w:t>
      </w:r>
      <w:r>
        <w:rPr>
          <w:i/>
          <w:iCs/>
        </w:rPr>
        <w:t xml:space="preserve">Microarray In Node-negative and 1 to 3 positive lymph node Disease may Avoid ChemoTherapy</w:t>
      </w:r>
    </w:p>
    <w:p>
      <w:pPr>
        <w:pStyle w:val="BodyText"/>
      </w:pPr>
      <w:r>
        <w:rPr>
          <w:b/>
          <w:bCs/>
        </w:rPr>
        <w:t xml:space="preserve">NRI / IDI</w:t>
      </w:r>
      <w:r>
        <w:t xml:space="preserve"> </w:t>
      </w:r>
      <w:r>
        <w:t xml:space="preserve">—</w:t>
      </w:r>
      <w:r>
        <w:t xml:space="preserve"> </w:t>
      </w:r>
      <w:r>
        <w:rPr>
          <w:i/>
          <w:iCs/>
        </w:rPr>
        <w:t xml:space="preserve">net reclassification improvement</w:t>
      </w:r>
      <w:r>
        <w:t xml:space="preserve"> </w:t>
      </w:r>
      <w:r>
        <w:t xml:space="preserve">/</w:t>
      </w:r>
      <w:r>
        <w:t xml:space="preserve"> </w:t>
      </w:r>
      <w:r>
        <w:rPr>
          <w:i/>
          <w:iCs/>
        </w:rPr>
        <w:t xml:space="preserve">integrated discrimination improvement</w:t>
      </w:r>
    </w:p>
    <w:p>
      <w:pPr>
        <w:pStyle w:val="BodyText"/>
      </w:pPr>
      <w:r>
        <w:rPr>
          <w:b/>
          <w:bCs/>
        </w:rPr>
        <w:t xml:space="preserve">OOF</w:t>
      </w:r>
      <w:r>
        <w:t xml:space="preserve"> </w:t>
      </w:r>
      <w:r>
        <w:t xml:space="preserve">—</w:t>
      </w:r>
      <w:r>
        <w:t xml:space="preserve"> </w:t>
      </w:r>
      <w:r>
        <w:rPr>
          <w:i/>
          <w:iCs/>
        </w:rPr>
        <w:t xml:space="preserve">out-of-fold</w:t>
      </w:r>
      <w:r>
        <w:t xml:space="preserve"> </w:t>
      </w:r>
      <w:r>
        <w:t xml:space="preserve">(predição fora do</w:t>
      </w:r>
      <w:r>
        <w:t xml:space="preserve"> </w:t>
      </w:r>
      <w:r>
        <w:rPr>
          <w:i/>
          <w:iCs/>
        </w:rPr>
        <w:t xml:space="preserve">fold</w:t>
      </w:r>
      <w:r>
        <w:t xml:space="preserve">)</w:t>
      </w:r>
    </w:p>
    <w:p>
      <w:pPr>
        <w:pStyle w:val="BodyText"/>
      </w:pPr>
      <w:r>
        <w:rPr>
          <w:b/>
          <w:bCs/>
        </w:rPr>
        <w:t xml:space="preserve">OR</w:t>
      </w:r>
      <w:r>
        <w:t xml:space="preserve"> </w:t>
      </w:r>
      <w:r>
        <w:t xml:space="preserve">—</w:t>
      </w:r>
      <w:r>
        <w:t xml:space="preserve"> </w:t>
      </w:r>
      <w:r>
        <w:rPr>
          <w:i/>
          <w:iCs/>
        </w:rPr>
        <w:t xml:space="preserve">odds ratio</w:t>
      </w:r>
      <w:r>
        <w:t xml:space="preserve"> </w:t>
      </w:r>
      <w:r>
        <w:t xml:space="preserve">(razão de chances)</w:t>
      </w:r>
    </w:p>
    <w:p>
      <w:pPr>
        <w:pStyle w:val="BodyText"/>
      </w:pPr>
      <w:r>
        <w:rPr>
          <w:b/>
          <w:bCs/>
        </w:rPr>
        <w:t xml:space="preserve">OS</w:t>
      </w:r>
      <w:r>
        <w:t xml:space="preserve"> </w:t>
      </w:r>
      <w:r>
        <w:t xml:space="preserve">—</w:t>
      </w:r>
      <w:r>
        <w:t xml:space="preserve"> </w:t>
      </w:r>
      <w:r>
        <w:rPr>
          <w:i/>
          <w:iCs/>
        </w:rPr>
        <w:t xml:space="preserve">overall survival</w:t>
      </w:r>
      <w:r>
        <w:t xml:space="preserve"> </w:t>
      </w:r>
      <w:r>
        <w:t xml:space="preserve">(sobrevida global)</w:t>
      </w:r>
    </w:p>
    <w:p>
      <w:pPr>
        <w:pStyle w:val="BodyText"/>
      </w:pPr>
      <w:r>
        <w:rPr>
          <w:b/>
          <w:bCs/>
        </w:rPr>
        <w:t xml:space="preserve">PAM50</w:t>
      </w:r>
      <w:r>
        <w:t xml:space="preserve"> </w:t>
      </w:r>
      <w:r>
        <w:t xml:space="preserve">—</w:t>
      </w:r>
      <w:r>
        <w:t xml:space="preserve"> </w:t>
      </w:r>
      <w:r>
        <w:rPr>
          <w:i/>
          <w:iCs/>
        </w:rPr>
        <w:t xml:space="preserve">Prediction Analysis of Microarray 50</w:t>
      </w:r>
    </w:p>
    <w:p>
      <w:pPr>
        <w:pStyle w:val="BodyText"/>
      </w:pPr>
      <w:r>
        <w:rPr>
          <w:b/>
          <w:bCs/>
        </w:rPr>
        <w:t xml:space="preserve">pCR</w:t>
      </w:r>
      <w:r>
        <w:t xml:space="preserve"> </w:t>
      </w:r>
      <w:r>
        <w:t xml:space="preserve">—</w:t>
      </w:r>
      <w:r>
        <w:t xml:space="preserve"> </w:t>
      </w:r>
      <w:r>
        <w:rPr>
          <w:i/>
          <w:iCs/>
        </w:rPr>
        <w:t xml:space="preserve">pathologic complete response</w:t>
      </w:r>
      <w:r>
        <w:t xml:space="preserve"> </w:t>
      </w:r>
      <w:r>
        <w:t xml:space="preserve">(resposta patológica completa)</w:t>
      </w:r>
    </w:p>
    <w:p>
      <w:pPr>
        <w:pStyle w:val="BodyText"/>
      </w:pPr>
      <w:r>
        <w:rPr>
          <w:b/>
          <w:bCs/>
        </w:rPr>
        <w:t xml:space="preserve">PCR</w:t>
      </w:r>
      <w:r>
        <w:t xml:space="preserve"> </w:t>
      </w:r>
      <w:r>
        <w:t xml:space="preserve">—</w:t>
      </w:r>
      <w:r>
        <w:t xml:space="preserve"> </w:t>
      </w:r>
      <w:r>
        <w:rPr>
          <w:i/>
          <w:iCs/>
        </w:rPr>
        <w:t xml:space="preserve">polymerase chain reaction</w:t>
      </w:r>
      <w:r>
        <w:t xml:space="preserve"> </w:t>
      </w:r>
      <w:r>
        <w:t xml:space="preserve">(reação em cadeia da polimerase)</w:t>
      </w:r>
    </w:p>
    <w:p>
      <w:pPr>
        <w:pStyle w:val="BodyText"/>
      </w:pPr>
      <w:r>
        <w:rPr>
          <w:b/>
          <w:bCs/>
        </w:rPr>
        <w:t xml:space="preserve">REML</w:t>
      </w:r>
      <w:r>
        <w:t xml:space="preserve"> </w:t>
      </w:r>
      <w:r>
        <w:t xml:space="preserve">—</w:t>
      </w:r>
      <w:r>
        <w:t xml:space="preserve"> </w:t>
      </w:r>
      <w:r>
        <w:rPr>
          <w:i/>
          <w:iCs/>
        </w:rPr>
        <w:t xml:space="preserve">restricted maximum likelihood</w:t>
      </w:r>
      <w:r>
        <w:t xml:space="preserve"> </w:t>
      </w:r>
      <w:r>
        <w:t xml:space="preserve">(máxima verossimilhança restrita)</w:t>
      </w:r>
    </w:p>
    <w:p>
      <w:pPr>
        <w:pStyle w:val="BodyText"/>
      </w:pPr>
      <w:r>
        <w:rPr>
          <w:b/>
          <w:bCs/>
        </w:rPr>
        <w:t xml:space="preserve">RMA</w:t>
      </w:r>
      <w:r>
        <w:t xml:space="preserve"> </w:t>
      </w:r>
      <w:r>
        <w:t xml:space="preserve">—</w:t>
      </w:r>
      <w:r>
        <w:t xml:space="preserve"> </w:t>
      </w:r>
      <w:r>
        <w:rPr>
          <w:i/>
          <w:iCs/>
        </w:rPr>
        <w:t xml:space="preserve">robust multi-array average</w:t>
      </w:r>
    </w:p>
    <w:p>
      <w:pPr>
        <w:pStyle w:val="BodyText"/>
      </w:pPr>
      <w:r>
        <w:rPr>
          <w:b/>
          <w:bCs/>
        </w:rPr>
        <w:t xml:space="preserve">RNA</w:t>
      </w:r>
      <w:r>
        <w:t xml:space="preserve"> </w:t>
      </w:r>
      <w:r>
        <w:t xml:space="preserve">— ácido ribonucleico</w:t>
      </w:r>
    </w:p>
    <w:p>
      <w:pPr>
        <w:pStyle w:val="BodyText"/>
      </w:pPr>
      <w:r>
        <w:rPr>
          <w:b/>
          <w:bCs/>
        </w:rPr>
        <w:t xml:space="preserve">RNA-seq</w:t>
      </w:r>
      <w:r>
        <w:t xml:space="preserve"> </w:t>
      </w:r>
      <w:r>
        <w:t xml:space="preserve">— sequenciamento de RNA</w:t>
      </w:r>
    </w:p>
    <w:p>
      <w:pPr>
        <w:pStyle w:val="BodyText"/>
      </w:pPr>
      <w:r>
        <w:rPr>
          <w:b/>
          <w:bCs/>
        </w:rPr>
        <w:t xml:space="preserve">ROC</w:t>
      </w:r>
      <w:r>
        <w:t xml:space="preserve"> </w:t>
      </w:r>
      <w:r>
        <w:t xml:space="preserve">—</w:t>
      </w:r>
      <w:r>
        <w:t xml:space="preserve"> </w:t>
      </w:r>
      <w:r>
        <w:rPr>
          <w:i/>
          <w:iCs/>
        </w:rPr>
        <w:t xml:space="preserve">receiver operating characteristic</w:t>
      </w:r>
    </w:p>
    <w:p>
      <w:pPr>
        <w:pStyle w:val="BodyText"/>
      </w:pPr>
      <w:r>
        <w:rPr>
          <w:b/>
          <w:bCs/>
        </w:rPr>
        <w:t xml:space="preserve">ROR / ROR-S</w:t>
      </w:r>
      <w:r>
        <w:t xml:space="preserve"> </w:t>
      </w:r>
      <w:r>
        <w:t xml:space="preserve">—</w:t>
      </w:r>
      <w:r>
        <w:t xml:space="preserve"> </w:t>
      </w:r>
      <w:r>
        <w:rPr>
          <w:i/>
          <w:iCs/>
        </w:rPr>
        <w:t xml:space="preserve">Risk of Recurrence score</w:t>
      </w:r>
      <w:r>
        <w:t xml:space="preserve"> </w:t>
      </w:r>
      <w:r>
        <w:t xml:space="preserve">/ ROR baseado em subtipo</w:t>
      </w:r>
    </w:p>
    <w:p>
      <w:pPr>
        <w:pStyle w:val="BodyText"/>
      </w:pPr>
      <w:r>
        <w:rPr>
          <w:b/>
          <w:bCs/>
        </w:rPr>
        <w:t xml:space="preserve">RP</w:t>
      </w:r>
      <w:r>
        <w:t xml:space="preserve"> </w:t>
      </w:r>
      <w:r>
        <w:t xml:space="preserve">— receptor de progesterona</w:t>
      </w:r>
    </w:p>
    <w:p>
      <w:pPr>
        <w:pStyle w:val="BodyText"/>
      </w:pPr>
      <w:r>
        <w:rPr>
          <w:b/>
          <w:bCs/>
        </w:rPr>
        <w:t xml:space="preserve">RT-qPCR</w:t>
      </w:r>
      <w:r>
        <w:t xml:space="preserve"> </w:t>
      </w:r>
      <w:r>
        <w:t xml:space="preserve">—</w:t>
      </w:r>
      <w:r>
        <w:t xml:space="preserve"> </w:t>
      </w:r>
      <w:r>
        <w:rPr>
          <w:i/>
          <w:iCs/>
        </w:rPr>
        <w:t xml:space="preserve">reverse transcription quantitative PCR</w:t>
      </w:r>
    </w:p>
    <w:p>
      <w:pPr>
        <w:pStyle w:val="BodyText"/>
      </w:pPr>
      <w:r>
        <w:rPr>
          <w:b/>
          <w:bCs/>
        </w:rPr>
        <w:t xml:space="preserve">SCAN-B</w:t>
      </w:r>
      <w:r>
        <w:t xml:space="preserve"> </w:t>
      </w:r>
      <w:r>
        <w:t xml:space="preserve">—</w:t>
      </w:r>
      <w:r>
        <w:t xml:space="preserve"> </w:t>
      </w:r>
      <w:r>
        <w:rPr>
          <w:i/>
          <w:iCs/>
        </w:rPr>
        <w:t xml:space="preserve">Sweden Cancerome Analysis Network — Breast</w:t>
      </w:r>
    </w:p>
    <w:p>
      <w:pPr>
        <w:pStyle w:val="BodyText"/>
      </w:pPr>
      <w:r>
        <w:rPr>
          <w:b/>
          <w:bCs/>
        </w:rPr>
        <w:t xml:space="preserve">SHA-256</w:t>
      </w:r>
      <w:r>
        <w:t xml:space="preserve"> </w:t>
      </w:r>
      <w:r>
        <w:t xml:space="preserve">—</w:t>
      </w:r>
      <w:r>
        <w:t xml:space="preserve"> </w:t>
      </w:r>
      <w:r>
        <w:rPr>
          <w:i/>
          <w:iCs/>
        </w:rPr>
        <w:t xml:space="preserve">Secure Hash Algorithm 256 bits</w:t>
      </w:r>
    </w:p>
    <w:p>
      <w:pPr>
        <w:pStyle w:val="BodyText"/>
      </w:pPr>
      <w:r>
        <w:rPr>
          <w:b/>
          <w:bCs/>
        </w:rPr>
        <w:t xml:space="preserve">STAR/GDC</w:t>
      </w:r>
      <w:r>
        <w:t xml:space="preserve"> </w:t>
      </w:r>
      <w:r>
        <w:t xml:space="preserve">— alinhador STAR /</w:t>
      </w:r>
      <w:r>
        <w:t xml:space="preserve"> </w:t>
      </w:r>
      <w:r>
        <w:rPr>
          <w:i/>
          <w:iCs/>
        </w:rPr>
        <w:t xml:space="preserve">Genomic Data Commons</w:t>
      </w:r>
    </w:p>
    <w:p>
      <w:pPr>
        <w:pStyle w:val="BodyText"/>
      </w:pPr>
      <w:r>
        <w:rPr>
          <w:b/>
          <w:bCs/>
        </w:rPr>
        <w:t xml:space="preserve">SUS</w:t>
      </w:r>
      <w:r>
        <w:t xml:space="preserve"> </w:t>
      </w:r>
      <w:r>
        <w:t xml:space="preserve">— Sistema Único de Saúde</w:t>
      </w:r>
    </w:p>
    <w:p>
      <w:pPr>
        <w:pStyle w:val="BodyText"/>
      </w:pPr>
      <w:r>
        <w:rPr>
          <w:b/>
          <w:bCs/>
        </w:rPr>
        <w:t xml:space="preserve">TAILORx</w:t>
      </w:r>
      <w:r>
        <w:t xml:space="preserve"> </w:t>
      </w:r>
      <w:r>
        <w:t xml:space="preserve">—</w:t>
      </w:r>
      <w:r>
        <w:t xml:space="preserve"> </w:t>
      </w:r>
      <w:r>
        <w:rPr>
          <w:i/>
          <w:iCs/>
        </w:rPr>
        <w:t xml:space="preserve">Trial Assigning IndividuaLized Options for Treatment</w:t>
      </w:r>
    </w:p>
    <w:p>
      <w:pPr>
        <w:pStyle w:val="BodyText"/>
      </w:pPr>
      <w:r>
        <w:rPr>
          <w:b/>
          <w:bCs/>
        </w:rPr>
        <w:t xml:space="preserve">TCGA</w:t>
      </w:r>
      <w:r>
        <w:t xml:space="preserve"> </w:t>
      </w:r>
      <w:r>
        <w:t xml:space="preserve">—</w:t>
      </w:r>
      <w:r>
        <w:t xml:space="preserve"> </w:t>
      </w:r>
      <w:r>
        <w:rPr>
          <w:i/>
          <w:iCs/>
        </w:rPr>
        <w:t xml:space="preserve">The Cancer Genome Atlas</w:t>
      </w:r>
    </w:p>
    <w:p>
      <w:pPr>
        <w:pStyle w:val="BodyText"/>
      </w:pPr>
      <w:r>
        <w:rPr>
          <w:b/>
          <w:bCs/>
        </w:rPr>
        <w:t xml:space="preserve">TCGA-BRCA</w:t>
      </w:r>
      <w:r>
        <w:t xml:space="preserve"> </w:t>
      </w:r>
      <w:r>
        <w:t xml:space="preserve">— braço de câncer de mama do TCGA</w:t>
      </w:r>
    </w:p>
    <w:p>
      <w:pPr>
        <w:pStyle w:val="BodyText"/>
      </w:pPr>
      <w:r>
        <w:rPr>
          <w:b/>
          <w:bCs/>
        </w:rPr>
        <w:t xml:space="preserve">TMM</w:t>
      </w:r>
      <w:r>
        <w:t xml:space="preserve"> </w:t>
      </w:r>
      <w:r>
        <w:t xml:space="preserve">—</w:t>
      </w:r>
      <w:r>
        <w:t xml:space="preserve"> </w:t>
      </w:r>
      <w:r>
        <w:rPr>
          <w:i/>
          <w:iCs/>
        </w:rPr>
        <w:t xml:space="preserve">trimmed mean of M-values</w:t>
      </w:r>
    </w:p>
    <w:p>
      <w:pPr>
        <w:pStyle w:val="BodyText"/>
      </w:pPr>
      <w:r>
        <w:rPr>
          <w:b/>
          <w:bCs/>
        </w:rPr>
        <w:t xml:space="preserve">TRIPOD</w:t>
      </w:r>
      <w:r>
        <w:t xml:space="preserve"> </w:t>
      </w:r>
      <w:r>
        <w:t xml:space="preserve">— diretriz para relato de modelos prognósticos multivariáveis</w:t>
      </w:r>
    </w:p>
    <w:bookmarkEnd w:id="28"/>
    <w:bookmarkStart w:id="29" w:name="sumário"/>
    <w:p>
      <w:pPr>
        <w:pageBreakBefore/>
        <w:pStyle w:val="Heading1"/>
      </w:pPr>
      <w:r>
        <w:t xml:space="preserve">SUMÁRIO</w:t>
      </w:r>
    </w:p>
    <!--TOC_START-->
    <w:p>
      <w:pPr>
        <w:tabs>
          <w:tab w:val="right" w:leader="dot" w:pos="8640"/>
        </w:tabs>
        <w:spacing w:after="0" w:line="360" w:lineRule="auto"/>
        <w:ind w:left="0" w:right="0"/>
      </w:pPr>
      <w:r>
        <w:t xml:space="preserve">1. INTRODUÇÃO</w:t>
      </w:r>
      <w:r>
        <w:tab/>
        <w:t xml:space="preserve">19</w:t>
      </w:r>
    </w:p>
    <w:p>
      <w:pPr>
        <w:tabs>
          <w:tab w:val="right" w:leader="dot" w:pos="8640"/>
        </w:tabs>
        <w:spacing w:after="0" w:line="360" w:lineRule="auto"/>
        <w:ind w:left="360" w:right="0"/>
      </w:pPr>
      <w:r>
        <w:t xml:space="preserve">1.1 Epidemiologia e carga global da doença</w:t>
      </w:r>
      <w:r>
        <w:tab/>
        <w:t xml:space="preserve">19</w:t>
      </w:r>
    </w:p>
    <w:p>
      <w:pPr>
        <w:tabs>
          <w:tab w:val="right" w:leader="dot" w:pos="8640"/>
        </w:tabs>
        <w:spacing w:after="0" w:line="360" w:lineRule="auto"/>
        <w:ind w:left="360" w:right="0"/>
      </w:pPr>
      <w:r>
        <w:t xml:space="preserve">1.2 Heterogeneidade tumoral e justificativa da estratificação molecular</w:t>
      </w:r>
      <w:r>
        <w:tab/>
        <w:t xml:space="preserve">19</w:t>
      </w:r>
    </w:p>
    <w:p>
      <w:pPr>
        <w:tabs>
          <w:tab w:val="right" w:leader="dot" w:pos="8640"/>
        </w:tabs>
        <w:spacing w:after="0" w:line="360" w:lineRule="auto"/>
        <w:ind w:left="360" w:right="0"/>
      </w:pPr>
      <w:r>
        <w:t xml:space="preserve">1.3 Subtipos moleculares intrínsecos e o PAM50</w:t>
      </w:r>
      <w:r>
        <w:tab/>
        <w:t xml:space="preserve">20</w:t>
      </w:r>
    </w:p>
    <w:p>
      <w:pPr>
        <w:tabs>
          <w:tab w:val="right" w:leader="dot" w:pos="8640"/>
        </w:tabs>
        <w:spacing w:after="0" w:line="360" w:lineRule="auto"/>
        <w:ind w:left="360" w:right="0"/>
      </w:pPr>
      <w:r>
        <w:t xml:space="preserve">1.4 Assinaturas gênicas: panorama atual e evidência clínica</w:t>
      </w:r>
      <w:r>
        <w:tab/>
        <w:t xml:space="preserve">24</w:t>
      </w:r>
    </w:p>
    <w:p>
      <w:pPr>
        <w:tabs>
          <w:tab w:val="right" w:leader="dot" w:pos="8640"/>
        </w:tabs>
        <w:spacing w:after="0" w:line="360" w:lineRule="auto"/>
        <w:ind w:left="360" w:right="0"/>
      </w:pPr>
      <w:r>
        <w:t xml:space="preserve">1.5 Assinaturas gênicas, plataformas e transportabilidade</w:t>
      </w:r>
      <w:r>
        <w:tab/>
        <w:t xml:space="preserve">25</w:t>
      </w:r>
    </w:p>
    <w:p>
      <w:pPr>
        <w:tabs>
          <w:tab w:val="right" w:leader="dot" w:pos="8640"/>
        </w:tabs>
        <w:spacing w:after="0" w:line="360" w:lineRule="auto"/>
        <w:ind w:left="360" w:right="0"/>
      </w:pPr>
      <w:r>
        <w:t xml:space="preserve">1.6 Coortes públicas de câncer de mama</w:t>
      </w:r>
      <w:r>
        <w:tab/>
        <w:t xml:space="preserve">28</w:t>
      </w:r>
    </w:p>
    <w:p>
      <w:pPr>
        <w:tabs>
          <w:tab w:val="right" w:leader="dot" w:pos="8640"/>
        </w:tabs>
        <w:spacing w:after="0" w:line="360" w:lineRule="auto"/>
        <w:ind w:left="360" w:right="0"/>
      </w:pPr>
      <w:r>
        <w:t xml:space="preserve">1.7 A pergunta central</w:t>
      </w:r>
      <w:r>
        <w:tab/>
        <w:t xml:space="preserve">30</w:t>
      </w:r>
    </w:p>
    <w:p>
      <w:pPr>
        <w:tabs>
          <w:tab w:val="right" w:leader="dot" w:pos="8640"/>
        </w:tabs>
        <w:spacing w:after="0" w:line="360" w:lineRule="auto"/>
        <w:ind w:left="0" w:right="0"/>
      </w:pPr>
      <w:r>
        <w:t xml:space="preserve">2. OBJETIVOS</w:t>
      </w:r>
      <w:r>
        <w:tab/>
        <w:t xml:space="preserve">32</w:t>
      </w:r>
    </w:p>
    <w:p>
      <w:pPr>
        <w:tabs>
          <w:tab w:val="right" w:leader="dot" w:pos="8640"/>
        </w:tabs>
        <w:spacing w:after="0" w:line="360" w:lineRule="auto"/>
        <w:ind w:left="360" w:right="0"/>
      </w:pPr>
      <w:r>
        <w:t xml:space="preserve">2.1 Objetivo geral</w:t>
      </w:r>
      <w:r>
        <w:tab/>
        <w:t xml:space="preserve">32</w:t>
      </w:r>
    </w:p>
    <w:p>
      <w:pPr>
        <w:tabs>
          <w:tab w:val="right" w:leader="dot" w:pos="8640"/>
        </w:tabs>
        <w:spacing w:after="0" w:line="360" w:lineRule="auto"/>
        <w:ind w:left="360" w:right="0"/>
      </w:pPr>
      <w:r>
        <w:t xml:space="preserve">2.2 Objetivos específicos</w:t>
      </w:r>
      <w:r>
        <w:tab/>
        <w:t xml:space="preserve">32</w:t>
      </w:r>
    </w:p>
    <w:p>
      <w:pPr>
        <w:tabs>
          <w:tab w:val="right" w:leader="dot" w:pos="8640"/>
        </w:tabs>
        <w:spacing w:after="0" w:line="360" w:lineRule="auto"/>
        <w:ind w:left="0" w:right="0"/>
      </w:pPr>
      <w:r>
        <w:t xml:space="preserve">3. MÉTODO</w:t>
      </w:r>
      <w:r>
        <w:tab/>
        <w:t xml:space="preserve">33</w:t>
      </w:r>
    </w:p>
    <w:p>
      <w:pPr>
        <w:tabs>
          <w:tab w:val="right" w:leader="dot" w:pos="8640"/>
        </w:tabs>
        <w:spacing w:after="0" w:line="360" w:lineRule="auto"/>
        <w:ind w:left="360" w:right="0"/>
      </w:pPr>
      <w:r>
        <w:t xml:space="preserve">3.1 Delineamento do estudo e aspectos éticos</w:t>
      </w:r>
      <w:r>
        <w:tab/>
        <w:t xml:space="preserve">33</w:t>
      </w:r>
    </w:p>
    <w:p>
      <w:pPr>
        <w:tabs>
          <w:tab w:val="right" w:leader="dot" w:pos="8640"/>
        </w:tabs>
        <w:spacing w:after="0" w:line="360" w:lineRule="auto"/>
        <w:ind w:left="720" w:right="0"/>
      </w:pPr>
      <w:r>
        <w:t xml:space="preserve">3.1.1 Tipo de estudo</w:t>
      </w:r>
      <w:r>
        <w:tab/>
        <w:t xml:space="preserve">33</w:t>
      </w:r>
    </w:p>
    <w:p>
      <w:pPr>
        <w:tabs>
          <w:tab w:val="right" w:leader="dot" w:pos="8640"/>
        </w:tabs>
        <w:spacing w:after="0" w:line="360" w:lineRule="auto"/>
        <w:ind w:left="720" w:right="0"/>
      </w:pPr>
      <w:r>
        <w:t xml:space="preserve">3.1.2 Aspectos éticos</w:t>
      </w:r>
      <w:r>
        <w:tab/>
        <w:t xml:space="preserve">36</w:t>
      </w:r>
    </w:p>
    <w:p>
      <w:pPr>
        <w:tabs>
          <w:tab w:val="right" w:leader="dot" w:pos="8640"/>
        </w:tabs>
        <w:spacing w:after="0" w:line="360" w:lineRule="auto"/>
        <w:ind w:left="720" w:right="0"/>
      </w:pPr>
      <w:r>
        <w:t xml:space="preserve">3.1.3 Princípios de validação externa</w:t>
      </w:r>
      <w:r>
        <w:tab/>
        <w:t xml:space="preserve">36</w:t>
      </w:r>
    </w:p>
    <w:p>
      <w:pPr>
        <w:tabs>
          <w:tab w:val="right" w:leader="dot" w:pos="8640"/>
        </w:tabs>
        <w:spacing w:after="0" w:line="360" w:lineRule="auto"/>
        <w:ind w:left="720" w:right="0"/>
      </w:pPr>
      <w:r>
        <w:t xml:space="preserve">3.1.4 Disponibilidade de dados e código</w:t>
      </w:r>
      <w:r>
        <w:tab/>
        <w:t xml:space="preserve">36</w:t>
      </w:r>
    </w:p>
    <w:p>
      <w:pPr>
        <w:tabs>
          <w:tab w:val="right" w:leader="dot" w:pos="8640"/>
        </w:tabs>
        <w:spacing w:after="0" w:line="360" w:lineRule="auto"/>
        <w:ind w:left="720" w:right="0"/>
      </w:pPr>
      <w:r>
        <w:t xml:space="preserve">3.1.5 Uso de modelos de linguagem de grande escala</w:t>
      </w:r>
      <w:r>
        <w:tab/>
        <w:t xml:space="preserve">37</w:t>
      </w:r>
    </w:p>
    <w:p>
      <w:pPr>
        <w:tabs>
          <w:tab w:val="right" w:leader="dot" w:pos="8640"/>
        </w:tabs>
        <w:spacing w:after="0" w:line="360" w:lineRule="auto"/>
        <w:ind w:left="360" w:right="0"/>
      </w:pPr>
      <w:r>
        <w:t xml:space="preserve">3.2 Coortes do estudo</w:t>
      </w:r>
      <w:r>
        <w:tab/>
        <w:t xml:space="preserve">37</w:t>
      </w:r>
    </w:p>
    <w:p>
      <w:pPr>
        <w:tabs>
          <w:tab w:val="right" w:leader="dot" w:pos="8640"/>
        </w:tabs>
        <w:spacing w:after="0" w:line="360" w:lineRule="auto"/>
        <w:ind w:left="360" w:right="0"/>
      </w:pPr>
      <w:r>
        <w:t xml:space="preserve">3.3 Congelamento analítico (analytical freeze)</w:t>
      </w:r>
      <w:r>
        <w:tab/>
        <w:t xml:space="preserve">41</w:t>
      </w:r>
    </w:p>
    <w:p>
      <w:pPr>
        <w:tabs>
          <w:tab w:val="right" w:leader="dot" w:pos="8640"/>
        </w:tabs>
        <w:spacing w:after="0" w:line="360" w:lineRule="auto"/>
        <w:ind w:left="720" w:right="0"/>
      </w:pPr>
      <w:r>
        <w:t xml:space="preserve">3.3.1 Margem de não inferioridade (Delta-C-index = 0,010)</w:t>
      </w:r>
      <w:r>
        <w:tab/>
        <w:t xml:space="preserve">41</w:t>
      </w:r>
    </w:p>
    <w:p>
      <w:pPr>
        <w:tabs>
          <w:tab w:val="right" w:leader="dot" w:pos="8640"/>
        </w:tabs>
        <w:spacing w:after="0" w:line="360" w:lineRule="auto"/>
        <w:ind w:left="720" w:right="0"/>
      </w:pPr>
      <w:r>
        <w:t xml:space="preserve">3.3.2 Atribuição determinística de folds (SHA-256)</w:t>
      </w:r>
      <w:r>
        <w:tab/>
        <w:t xml:space="preserve">42</w:t>
      </w:r>
    </w:p>
    <w:p>
      <w:pPr>
        <w:tabs>
          <w:tab w:val="right" w:leader="dot" w:pos="8640"/>
        </w:tabs>
        <w:spacing w:after="0" w:line="360" w:lineRule="auto"/>
        <w:ind w:left="720" w:right="0"/>
      </w:pPr>
      <w:r>
        <w:t xml:space="preserve">3.3.3 Estratificação por evento</w:t>
      </w:r>
      <w:r>
        <w:tab/>
        <w:t xml:space="preserve">42</w:t>
      </w:r>
    </w:p>
    <w:p>
      <w:pPr>
        <w:tabs>
          <w:tab w:val="right" w:leader="dot" w:pos="8640"/>
        </w:tabs>
        <w:spacing w:after="0" w:line="360" w:lineRule="auto"/>
        <w:ind w:left="360" w:right="0"/>
      </w:pPr>
      <w:r>
        <w:t xml:space="preserve">3.4 Pré-processamento de expressão gênica</w:t>
      </w:r>
      <w:r>
        <w:tab/>
        <w:t xml:space="preserve">43</w:t>
      </w:r>
    </w:p>
    <w:p>
      <w:pPr>
        <w:tabs>
          <w:tab w:val="right" w:leader="dot" w:pos="8640"/>
        </w:tabs>
        <w:spacing w:after="0" w:line="360" w:lineRule="auto"/>
        <w:ind w:left="720" w:right="0"/>
      </w:pPr>
      <w:r>
        <w:t xml:space="preserve">3.4.1 Coortes RNA-seq (SCAN-B, TCGA-BRCA)</w:t>
      </w:r>
      <w:r>
        <w:tab/>
        <w:t xml:space="preserve">43</w:t>
      </w:r>
    </w:p>
    <w:p>
      <w:pPr>
        <w:tabs>
          <w:tab w:val="right" w:leader="dot" w:pos="8640"/>
        </w:tabs>
        <w:spacing w:after="0" w:line="360" w:lineRule="auto"/>
        <w:ind w:left="720" w:right="0"/>
      </w:pPr>
      <w:r>
        <w:t xml:space="preserve">3.4.2 Coortes microarray (METABRIC, GSE20685, GSE1456, GSE25066, GSE20194, GSE32646, I-SPY1)</w:t>
      </w:r>
      <w:r>
        <w:tab/>
        <w:t xml:space="preserve">43</w:t>
      </w:r>
    </w:p>
    <w:p>
      <w:pPr>
        <w:tabs>
          <w:tab w:val="right" w:leader="dot" w:pos="8640"/>
        </w:tabs>
        <w:spacing w:after="0" w:line="360" w:lineRule="auto"/>
        <w:ind w:left="360" w:right="0"/>
      </w:pPr>
      <w:r>
        <w:t xml:space="preserve">3.5 Derivação do CorePAM</w:t>
      </w:r>
      <w:r>
        <w:tab/>
        <w:t xml:space="preserve">44</w:t>
      </w:r>
    </w:p>
    <w:p>
      <w:pPr>
        <w:tabs>
          <w:tab w:val="right" w:leader="dot" w:pos="8640"/>
        </w:tabs>
        <w:spacing w:after="0" w:line="360" w:lineRule="auto"/>
        <w:ind w:left="720" w:right="0"/>
      </w:pPr>
      <w:r>
        <w:t xml:space="preserve">3.5.1 Regressão de Cox elastic-net: justificativa e parâmetros</w:t>
      </w:r>
      <w:r>
        <w:tab/>
        <w:t xml:space="preserve">45</w:t>
      </w:r>
    </w:p>
    <w:p>
      <w:pPr>
        <w:tabs>
          <w:tab w:val="right" w:leader="dot" w:pos="8640"/>
        </w:tabs>
        <w:spacing w:after="0" w:line="360" w:lineRule="auto"/>
        <w:ind w:left="720" w:right="0"/>
      </w:pPr>
      <w:r>
        <w:t xml:space="preserve">3.5.2 Validação cruzada out-of-fold</w:t>
      </w:r>
      <w:r>
        <w:tab/>
        <w:t xml:space="preserve">46</w:t>
      </w:r>
    </w:p>
    <w:p>
      <w:pPr>
        <w:tabs>
          <w:tab w:val="right" w:leader="dot" w:pos="8640"/>
        </w:tabs>
        <w:spacing w:after="0" w:line="360" w:lineRule="auto"/>
        <w:ind w:left="720" w:right="0"/>
      </w:pPr>
      <w:r>
        <w:t xml:space="preserve">3.5.3 Critério de seleção: não inferioridade e fronteira de Pareto</w:t>
      </w:r>
      <w:r>
        <w:tab/>
        <w:t xml:space="preserve">46</w:t>
      </w:r>
    </w:p>
    <w:p>
      <w:pPr>
        <w:tabs>
          <w:tab w:val="right" w:leader="dot" w:pos="8640"/>
        </w:tabs>
        <w:spacing w:after="0" w:line="360" w:lineRule="auto"/>
        <w:ind w:left="720" w:right="0"/>
      </w:pPr>
      <w:r>
        <w:t xml:space="preserve">3.5.4 Análises de estabilidade da seleção</w:t>
      </w:r>
      <w:r>
        <w:tab/>
        <w:t xml:space="preserve">46</w:t>
      </w:r>
    </w:p>
    <w:p>
      <w:pPr>
        <w:tabs>
          <w:tab w:val="right" w:leader="dot" w:pos="8640"/>
        </w:tabs>
        <w:spacing w:after="0" w:line="360" w:lineRule="auto"/>
        <w:ind w:left="360" w:right="0"/>
      </w:pPr>
      <w:r>
        <w:t xml:space="preserve">3.6 Cálculo do escore</w:t>
      </w:r>
      <w:r>
        <w:tab/>
        <w:t xml:space="preserve">47</w:t>
      </w:r>
    </w:p>
    <w:p>
      <w:pPr>
        <w:tabs>
          <w:tab w:val="right" w:leader="dot" w:pos="8640"/>
        </w:tabs>
        <w:spacing w:after="0" w:line="360" w:lineRule="auto"/>
        <w:ind w:left="720" w:right="0"/>
      </w:pPr>
      <w:r>
        <w:t xml:space="preserve">3.6.1 Pontuação congelada (single-sample scoring)</w:t>
      </w:r>
      <w:r>
        <w:tab/>
        <w:t xml:space="preserve">47</w:t>
      </w:r>
    </w:p>
    <w:p>
      <w:pPr>
        <w:tabs>
          <w:tab w:val="right" w:leader="dot" w:pos="8640"/>
        </w:tabs>
        <w:spacing w:after="0" w:line="360" w:lineRule="auto"/>
        <w:ind w:left="360" w:right="0"/>
      </w:pPr>
      <w:r>
        <w:t xml:space="preserve">3.7 Análise de sobrevida</w:t>
      </w:r>
      <w:r>
        <w:tab/>
        <w:t xml:space="preserve">48</w:t>
      </w:r>
    </w:p>
    <w:p>
      <w:pPr>
        <w:tabs>
          <w:tab w:val="right" w:leader="dot" w:pos="8640"/>
        </w:tabs>
        <w:spacing w:after="0" w:line="360" w:lineRule="auto"/>
        <w:ind w:left="720" w:right="0"/>
      </w:pPr>
      <w:r>
        <w:t xml:space="preserve">3.7.1 Modelos de Cox</w:t>
      </w:r>
      <w:r>
        <w:tab/>
        <w:t xml:space="preserve">48</w:t>
      </w:r>
    </w:p>
    <w:p>
      <w:pPr>
        <w:tabs>
          <w:tab w:val="right" w:leader="dot" w:pos="8640"/>
        </w:tabs>
        <w:spacing w:after="0" w:line="360" w:lineRule="auto"/>
        <w:ind w:left="720" w:right="0"/>
      </w:pPr>
      <w:r>
        <w:t xml:space="preserve">3.7.2 Métricas de discriminação</w:t>
      </w:r>
      <w:r>
        <w:tab/>
        <w:t xml:space="preserve">48</w:t>
      </w:r>
    </w:p>
    <w:p>
      <w:pPr>
        <w:tabs>
          <w:tab w:val="right" w:leader="dot" w:pos="8640"/>
        </w:tabs>
        <w:spacing w:after="0" w:line="360" w:lineRule="auto"/>
        <w:ind w:left="720" w:right="0"/>
      </w:pPr>
      <w:r>
        <w:t xml:space="preserve">3.7.3 Curvas de Kaplan-Meier</w:t>
      </w:r>
      <w:r>
        <w:tab/>
        <w:t xml:space="preserve">48</w:t>
      </w:r>
    </w:p>
    <w:p>
      <w:pPr>
        <w:tabs>
          <w:tab w:val="right" w:leader="dot" w:pos="8640"/>
        </w:tabs>
        <w:spacing w:after="0" w:line="360" w:lineRule="auto"/>
        <w:ind w:left="720" w:right="0"/>
      </w:pPr>
      <w:r>
        <w:t xml:space="preserve">3.7.4 Valor incremental: Delta-C-index</w:t>
      </w:r>
      <w:r>
        <w:tab/>
        <w:t xml:space="preserve">49</w:t>
      </w:r>
    </w:p>
    <w:p>
      <w:pPr>
        <w:tabs>
          <w:tab w:val="right" w:leader="dot" w:pos="8640"/>
        </w:tabs>
        <w:spacing w:after="0" w:line="360" w:lineRule="auto"/>
        <w:ind w:left="720" w:right="0"/>
      </w:pPr>
      <w:r>
        <w:t xml:space="preserve">3.7.5 Calibração</w:t>
      </w:r>
      <w:r>
        <w:tab/>
        <w:t xml:space="preserve">49</w:t>
      </w:r>
    </w:p>
    <w:p>
      <w:pPr>
        <w:tabs>
          <w:tab w:val="right" w:leader="dot" w:pos="8640"/>
        </w:tabs>
        <w:spacing w:after="0" w:line="360" w:lineRule="auto"/>
        <w:ind w:left="720" w:right="0"/>
      </w:pPr>
      <w:r>
        <w:t xml:space="preserve">3.7.6 Análise de curva de decisão (DCA)</w:t>
      </w:r>
      <w:r>
        <w:tab/>
        <w:t xml:space="preserve">49</w:t>
      </w:r>
    </w:p>
    <w:p>
      <w:pPr>
        <w:tabs>
          <w:tab w:val="right" w:leader="dot" w:pos="8640"/>
        </w:tabs>
        <w:spacing w:after="0" w:line="360" w:lineRule="auto"/>
        <w:ind w:left="720" w:right="0"/>
      </w:pPr>
      <w:r>
        <w:t xml:space="preserve">3.7.7 Modelos expandidos com estadiamento</w:t>
      </w:r>
      <w:r>
        <w:tab/>
        <w:t xml:space="preserve">50</w:t>
      </w:r>
    </w:p>
    <w:p>
      <w:pPr>
        <w:tabs>
          <w:tab w:val="right" w:leader="dot" w:pos="8640"/>
        </w:tabs>
        <w:spacing w:after="0" w:line="360" w:lineRule="auto"/>
        <w:ind w:left="360" w:right="0"/>
      </w:pPr>
      <w:r>
        <w:t xml:space="preserve">3.8 Meta-análise</w:t>
      </w:r>
      <w:r>
        <w:tab/>
        <w:t xml:space="preserve">50</w:t>
      </w:r>
    </w:p>
    <w:p>
      <w:pPr>
        <w:tabs>
          <w:tab w:val="right" w:leader="dot" w:pos="8640"/>
        </w:tabs>
        <w:spacing w:after="0" w:line="360" w:lineRule="auto"/>
        <w:ind w:left="360" w:right="0"/>
      </w:pPr>
      <w:r>
        <w:t xml:space="preserve">3.9 Comparações head-to-head</w:t>
      </w:r>
      <w:r>
        <w:tab/>
        <w:t xml:space="preserve">51</w:t>
      </w:r>
    </w:p>
    <w:p>
      <w:pPr>
        <w:tabs>
          <w:tab w:val="right" w:leader="dot" w:pos="8640"/>
        </w:tabs>
        <w:spacing w:after="0" w:line="360" w:lineRule="auto"/>
        <w:ind w:left="0" w:right="0"/>
      </w:pPr>
      <w:r>
        <w:t xml:space="preserve">4. RESULTADOS</w:t>
      </w:r>
      <w:r>
        <w:tab/>
        <w:t xml:space="preserve">52</w:t>
      </w:r>
    </w:p>
    <w:p>
      <w:pPr>
        <w:tabs>
          <w:tab w:val="right" w:leader="dot" w:pos="8640"/>
        </w:tabs>
        <w:spacing w:after="0" w:line="360" w:lineRule="auto"/>
        <w:ind w:left="360" w:right="0"/>
      </w:pPr>
      <w:r>
        <w:t xml:space="preserve">4.1 Derivação do CorePAM: os 24 genes</w:t>
      </w:r>
      <w:r>
        <w:tab/>
        <w:t xml:space="preserve">52</w:t>
      </w:r>
    </w:p>
    <w:p>
      <w:pPr>
        <w:tabs>
          <w:tab w:val="right" w:leader="dot" w:pos="8640"/>
        </w:tabs>
        <w:spacing w:after="0" w:line="360" w:lineRule="auto"/>
        <w:ind w:left="360" w:right="0"/>
      </w:pPr>
      <w:r>
        <w:t xml:space="preserve">4.2 Validação prognóstica externa</w:t>
      </w:r>
      <w:r>
        <w:tab/>
        <w:t xml:space="preserve">60</w:t>
      </w:r>
    </w:p>
    <w:p>
      <w:pPr>
        <w:tabs>
          <w:tab w:val="right" w:leader="dot" w:pos="8640"/>
        </w:tabs>
        <w:spacing w:after="0" w:line="360" w:lineRule="auto"/>
        <w:ind w:left="360" w:right="0"/>
      </w:pPr>
      <w:r>
        <w:t xml:space="preserve">4.3 Meta-análise de sobrevida</w:t>
      </w:r>
      <w:r>
        <w:tab/>
        <w:t xml:space="preserve">68</w:t>
      </w:r>
    </w:p>
    <w:p>
      <w:pPr>
        <w:tabs>
          <w:tab w:val="right" w:leader="dot" w:pos="8640"/>
        </w:tabs>
        <w:spacing w:after="0" w:line="360" w:lineRule="auto"/>
        <w:ind w:left="360" w:right="0"/>
      </w:pPr>
      <w:r>
        <w:t xml:space="preserve">4.4 Valor incremental sobre preditores clínicos</w:t>
      </w:r>
      <w:r>
        <w:tab/>
        <w:t xml:space="preserve">70</w:t>
      </w:r>
    </w:p>
    <w:p>
      <w:pPr>
        <w:tabs>
          <w:tab w:val="right" w:leader="dot" w:pos="8640"/>
        </w:tabs>
        <w:spacing w:after="0" w:line="360" w:lineRule="auto"/>
        <w:ind w:left="360" w:right="0"/>
      </w:pPr>
      <w:r>
        <w:t xml:space="preserve">4.5 Independência do estadiamento clínico-patológico</w:t>
      </w:r>
      <w:r>
        <w:tab/>
        <w:t xml:space="preserve">74</w:t>
      </w:r>
    </w:p>
    <w:p>
      <w:pPr>
        <w:tabs>
          <w:tab w:val="right" w:leader="dot" w:pos="8640"/>
        </w:tabs>
        <w:spacing w:after="0" w:line="360" w:lineRule="auto"/>
        <w:ind w:left="360" w:right="0"/>
      </w:pPr>
      <w:r>
        <w:t xml:space="preserve">4.6 Análises de sensibilidade</w:t>
      </w:r>
      <w:r>
        <w:tab/>
        <w:t xml:space="preserve">74</w:t>
      </w:r>
    </w:p>
    <w:p>
      <w:pPr>
        <w:tabs>
          <w:tab w:val="right" w:leader="dot" w:pos="8640"/>
        </w:tabs>
        <w:spacing w:after="0" w:line="360" w:lineRule="auto"/>
        <w:ind w:left="360" w:right="0"/>
      </w:pPr>
      <w:r>
        <w:t xml:space="preserve">4.7 Análise de subgrupo por status de RE</w:t>
      </w:r>
      <w:r>
        <w:tab/>
        <w:t xml:space="preserve">81</w:t>
      </w:r>
    </w:p>
    <w:p>
      <w:pPr>
        <w:tabs>
          <w:tab w:val="right" w:leader="dot" w:pos="8640"/>
        </w:tabs>
        <w:spacing w:after="0" w:line="360" w:lineRule="auto"/>
        <w:ind w:left="720" w:right="0"/>
      </w:pPr>
      <w:r>
        <w:t xml:space="preserve">4.7.1 SCAN-B (N = 2 870; OS)</w:t>
      </w:r>
      <w:r>
        <w:tab/>
        <w:t xml:space="preserve">81</w:t>
      </w:r>
    </w:p>
    <w:p>
      <w:pPr>
        <w:tabs>
          <w:tab w:val="right" w:leader="dot" w:pos="8640"/>
        </w:tabs>
        <w:spacing w:after="0" w:line="360" w:lineRule="auto"/>
        <w:ind w:left="720" w:right="0"/>
      </w:pPr>
      <w:r>
        <w:t xml:space="preserve">4.7.2 METABRIC (N = 1 936; DSS)</w:t>
      </w:r>
      <w:r>
        <w:tab/>
        <w:t xml:space="preserve">81</w:t>
      </w:r>
    </w:p>
    <w:p>
      <w:pPr>
        <w:tabs>
          <w:tab w:val="right" w:leader="dot" w:pos="8640"/>
        </w:tabs>
        <w:spacing w:after="0" w:line="360" w:lineRule="auto"/>
        <w:ind w:left="360" w:right="0"/>
      </w:pPr>
      <w:r>
        <w:t xml:space="preserve">4.8 Resposta patológica completa (pCR)</w:t>
      </w:r>
      <w:r>
        <w:tab/>
        <w:t xml:space="preserve">83</w:t>
      </w:r>
    </w:p>
    <w:p>
      <w:pPr>
        <w:tabs>
          <w:tab w:val="right" w:leader="dot" w:pos="8640"/>
        </w:tabs>
        <w:spacing w:after="0" w:line="360" w:lineRule="auto"/>
        <w:ind w:left="360" w:right="0"/>
      </w:pPr>
      <w:r>
        <w:t xml:space="preserve">4.9 Comparação head-to-head com PAM50-full</w:t>
      </w:r>
      <w:r>
        <w:tab/>
        <w:t xml:space="preserve">89</w:t>
      </w:r>
    </w:p>
    <w:p>
      <w:pPr>
        <w:tabs>
          <w:tab w:val="right" w:leader="dot" w:pos="8640"/>
        </w:tabs>
        <w:spacing w:after="0" w:line="360" w:lineRule="auto"/>
        <w:ind w:left="360" w:right="0"/>
      </w:pPr>
      <w:r>
        <w:t xml:space="preserve">4.10 Comparação com assinaturas estabelecidas</w:t>
      </w:r>
      <w:r>
        <w:tab/>
        <w:t xml:space="preserve">91</w:t>
      </w:r>
    </w:p>
    <w:p>
      <w:pPr>
        <w:tabs>
          <w:tab w:val="right" w:leader="dot" w:pos="8640"/>
        </w:tabs>
        <w:spacing w:after="0" w:line="360" w:lineRule="auto"/>
        <w:ind w:left="0" w:right="0"/>
      </w:pPr>
      <w:r>
        <w:t xml:space="preserve">5. DISCUSSÃO</w:t>
      </w:r>
      <w:r>
        <w:tab/>
        <w:t xml:space="preserve">93</w:t>
      </w:r>
    </w:p>
    <w:p>
      <w:pPr>
        <w:tabs>
          <w:tab w:val="right" w:leader="dot" w:pos="8640"/>
        </w:tabs>
        <w:spacing w:after="0" w:line="360" w:lineRule="auto"/>
        <w:ind w:left="360" w:right="0"/>
      </w:pPr>
      <w:r>
        <w:t xml:space="preserve">5.1 O CorePAM no contexto da medicina de precisão em oncologia</w:t>
      </w:r>
      <w:r>
        <w:tab/>
        <w:t xml:space="preserve">93</w:t>
      </w:r>
    </w:p>
    <w:p>
      <w:pPr>
        <w:tabs>
          <w:tab w:val="right" w:leader="dot" w:pos="8640"/>
        </w:tabs>
        <w:spacing w:after="0" w:line="360" w:lineRule="auto"/>
        <w:ind w:left="360" w:right="0"/>
      </w:pPr>
      <w:r>
        <w:t xml:space="preserve">5.2 Derivação reprodutível: inovação metodológica</w:t>
      </w:r>
      <w:r>
        <w:tab/>
        <w:t xml:space="preserve">94</w:t>
      </w:r>
    </w:p>
    <w:p>
      <w:pPr>
        <w:tabs>
          <w:tab w:val="right" w:leader="dot" w:pos="8640"/>
        </w:tabs>
        <w:spacing w:after="0" w:line="360" w:lineRule="auto"/>
        <w:ind w:left="360" w:right="0"/>
      </w:pPr>
      <w:r>
        <w:t xml:space="preserve">5.3 Coerência biológica: por que esses 24 genes?</w:t>
      </w:r>
      <w:r>
        <w:tab/>
        <w:t xml:space="preserve">95</w:t>
      </w:r>
    </w:p>
    <w:p>
      <w:pPr>
        <w:tabs>
          <w:tab w:val="right" w:leader="dot" w:pos="8640"/>
        </w:tabs>
        <w:spacing w:after="0" w:line="360" w:lineRule="auto"/>
        <w:ind w:left="360" w:right="0"/>
      </w:pPr>
      <w:r>
        <w:t xml:space="preserve">5.4 Transportabilidade cross-plataforma</w:t>
      </w:r>
      <w:r>
        <w:tab/>
        <w:t xml:space="preserve">96</w:t>
      </w:r>
    </w:p>
    <w:p>
      <w:pPr>
        <w:tabs>
          <w:tab w:val="right" w:leader="dot" w:pos="8640"/>
        </w:tabs>
        <w:spacing w:after="0" w:line="360" w:lineRule="auto"/>
        <w:ind w:left="360" w:right="0"/>
      </w:pPr>
      <w:r>
        <w:t xml:space="preserve">5.5 O paradoxo de menos genes, mais informação</w:t>
      </w:r>
      <w:r>
        <w:tab/>
        <w:t xml:space="preserve">97</w:t>
      </w:r>
    </w:p>
    <w:p>
      <w:pPr>
        <w:tabs>
          <w:tab w:val="right" w:leader="dot" w:pos="8640"/>
        </w:tabs>
        <w:spacing w:after="0" w:line="360" w:lineRule="auto"/>
        <w:ind w:left="360" w:right="0"/>
      </w:pPr>
      <w:r>
        <w:t xml:space="preserve">5.6 A questão do z-score: coorte vs amostra única</w:t>
      </w:r>
      <w:r>
        <w:tab/>
        <w:t xml:space="preserve">98</w:t>
      </w:r>
    </w:p>
    <w:p>
      <w:pPr>
        <w:tabs>
          <w:tab w:val="right" w:leader="dot" w:pos="8640"/>
        </w:tabs>
        <w:spacing w:after="0" w:line="360" w:lineRule="auto"/>
        <w:ind w:left="360" w:right="0"/>
      </w:pPr>
      <w:r>
        <w:t xml:space="preserve">5.7 O sinal em doença ER-positiva</w:t>
      </w:r>
      <w:r>
        <w:tab/>
        <w:t xml:space="preserve">98</w:t>
      </w:r>
    </w:p>
    <w:p>
      <w:pPr>
        <w:tabs>
          <w:tab w:val="right" w:leader="dot" w:pos="8640"/>
        </w:tabs>
        <w:spacing w:after="0" w:line="360" w:lineRule="auto"/>
        <w:ind w:left="360" w:right="0"/>
      </w:pPr>
      <w:r>
        <w:t xml:space="preserve">5.8 A ponte entre prognóstico e predição de pCR</w:t>
      </w:r>
      <w:r>
        <w:tab/>
        <w:t xml:space="preserve">99</w:t>
      </w:r>
    </w:p>
    <w:p>
      <w:pPr>
        <w:tabs>
          <w:tab w:val="right" w:leader="dot" w:pos="8640"/>
        </w:tabs>
        <w:spacing w:after="0" w:line="360" w:lineRule="auto"/>
        <w:ind w:left="360" w:right="0"/>
      </w:pPr>
      <w:r>
        <w:t xml:space="preserve">5.9 Calibração: o que o modelo acerta é o que erra</w:t>
      </w:r>
      <w:r>
        <w:tab/>
        <w:t xml:space="preserve">100</w:t>
      </w:r>
    </w:p>
    <w:p>
      <w:pPr>
        <w:tabs>
          <w:tab w:val="right" w:leader="dot" w:pos="8640"/>
        </w:tabs>
        <w:spacing w:after="0" w:line="360" w:lineRule="auto"/>
        <w:ind w:left="360" w:right="0"/>
      </w:pPr>
      <w:r>
        <w:t xml:space="preserve">5.10 Reflexões metodológicas para estudos prognósticos futuros</w:t>
      </w:r>
      <w:r>
        <w:tab/>
        <w:t xml:space="preserve">100</w:t>
      </w:r>
    </w:p>
    <w:p>
      <w:pPr>
        <w:tabs>
          <w:tab w:val="right" w:leader="dot" w:pos="8640"/>
        </w:tabs>
        <w:spacing w:after="0" w:line="360" w:lineRule="auto"/>
        <w:ind w:left="360" w:right="0"/>
      </w:pPr>
      <w:r>
        <w:t xml:space="preserve">5.11 O caminho até a clínica: o que falta?</w:t>
      </w:r>
      <w:r>
        <w:tab/>
        <w:t xml:space="preserve">101</w:t>
      </w:r>
    </w:p>
    <w:p>
      <w:pPr>
        <w:tabs>
          <w:tab w:val="right" w:leader="dot" w:pos="8640"/>
        </w:tabs>
        <w:spacing w:after="0" w:line="360" w:lineRule="auto"/>
        <w:ind w:left="360" w:right="0"/>
      </w:pPr>
      <w:r>
        <w:t xml:space="preserve">5.12 Relevância para o contexto brasileiro e o SUS</w:t>
      </w:r>
      <w:r>
        <w:tab/>
        <w:t xml:space="preserve">101</w:t>
      </w:r>
    </w:p>
    <w:p>
      <w:pPr>
        <w:tabs>
          <w:tab w:val="right" w:leader="dot" w:pos="8640"/>
        </w:tabs>
        <w:spacing w:after="0" w:line="360" w:lineRule="auto"/>
        <w:ind w:left="360" w:right="0"/>
      </w:pPr>
      <w:r>
        <w:t xml:space="preserve">5.13 Limitações</w:t>
      </w:r>
      <w:r>
        <w:tab/>
        <w:t xml:space="preserve">102</w:t>
      </w:r>
    </w:p>
    <w:p>
      <w:pPr>
        <w:tabs>
          <w:tab w:val="right" w:leader="dot" w:pos="8640"/>
        </w:tabs>
        <w:spacing w:after="0" w:line="360" w:lineRule="auto"/>
        <w:ind w:left="360" w:right="0"/>
      </w:pPr>
      <w:r>
        <w:t xml:space="preserve">5.14 Perspectivas e estudos futuros</w:t>
      </w:r>
      <w:r>
        <w:tab/>
        <w:t xml:space="preserve">102</w:t>
      </w:r>
    </w:p>
    <w:p>
      <w:pPr>
        <w:tabs>
          <w:tab w:val="right" w:leader="dot" w:pos="8640"/>
        </w:tabs>
        <w:spacing w:after="0" w:line="360" w:lineRule="auto"/>
        <w:ind w:left="0" w:right="0"/>
      </w:pPr>
      <w:r>
        <w:t xml:space="preserve">6. CONCLUSÃO</w:t>
      </w:r>
      <w:r>
        <w:tab/>
        <w:t xml:space="preserve">104</w:t>
      </w:r>
    </w:p>
    <w:p>
      <w:pPr>
        <w:tabs>
          <w:tab w:val="right" w:leader="dot" w:pos="8640"/>
        </w:tabs>
        <w:spacing w:after="0" w:line="360" w:lineRule="auto"/>
        <w:ind w:left="0" w:right="0"/>
      </w:pPr>
      <w:r>
        <w:t xml:space="preserve">REFERÊNCIAS BIBLIOGRÁFICAS</w:t>
      </w:r>
      <w:r>
        <w:tab/>
        <w:t xml:space="preserve">105</w:t>
      </w:r>
    </w:p>
    <w:p>
      <w:pPr>
        <w:tabs>
          <w:tab w:val="right" w:leader="dot" w:pos="8640"/>
        </w:tabs>
        <w:spacing w:after="0" w:line="360" w:lineRule="auto"/>
        <w:ind w:left="0" w:right="0"/>
      </w:pPr>
      <w:r>
        <w:t xml:space="preserve">APÊNDICE A — Pipeline computacional</w:t>
      </w:r>
      <w:r>
        <w:tab/>
        <w:t xml:space="preserve">114</w:t>
      </w:r>
    </w:p>
    <w:p>
      <w:pPr>
        <w:tabs>
          <w:tab w:val="right" w:leader="dot" w:pos="8640"/>
        </w:tabs>
        <w:spacing w:after="0" w:line="360" w:lineRule="auto"/>
        <w:ind w:left="360" w:right="0"/>
      </w:pPr>
      <w:r>
        <w:t xml:space="preserve">B.1 Pseudocódigo do procedimento de derivação</w:t>
      </w:r>
      <w:r>
        <w:tab/>
        <w:t xml:space="preserve">119</w:t>
      </w:r>
    </w:p>
    <w:p>
      <w:pPr>
        <w:tabs>
          <w:tab w:val="right" w:leader="dot" w:pos="8640"/>
        </w:tabs>
        <w:spacing w:after="0" w:line="360" w:lineRule="auto"/>
        <w:ind w:left="0" w:right="0"/>
      </w:pPr>
      <w:r>
        <w:t xml:space="preserve">APÊNDICE B — Artigo publicado no Breast Cancer Research</w:t>
      </w:r>
      <w:r>
        <w:tab/>
        <w:t xml:space="preserve">124</w:t>
      </w:r>
    </w:p>
    <!--TOC_END-->
    <w:bookmarkEnd w:id="29"/>
    <w:bookmarkStart w:id="51" w:name="introdução"/>
    <w:p>
      <w:pPr>
        <w:sectPr>
          <w:pgSz w:h="16838" w:w="11906"/>
          <w:pgMar w:bottom="1134" w:footer="720" w:gutter="0" w:header="720" w:left="1701" w:right="1134" w:top="1701"/>
          <w:cols w:space="708"/>
          <w:docGrid w:linePitch="360"/>
        </w:sectPr>
      </w:pPr>
    </w:p>
    <w:p>
      <w:pPr>
        <w:pStyle w:val="Heading1"/>
      </w:pPr>
      <w:r>
        <w:t xml:space="preserve">1. INTRODUÇÃO</w:t>
      </w:r>
    </w:p>
    <w:bookmarkStart w:id="30"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e,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rPr>
          <w:vertAlign w:val="superscript"/>
        </w:rP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à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à medicina de precisão.</w:t>
      </w:r>
    </w:p>
    <w:bookmarkEnd w:id="30"/>
    <w:bookmarkStart w:id="31"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rPr>
          <w:vertAlign w:val="superscript"/>
        </w:rPr>
        <w:t xml:space="preserve">8–10</w:t>
      </w:r>
      <w:r>
        <w:t xml:space="preserve">, motivou o desenvolvimento sistemático de ferramentas de classificação molecular capazes de refletir essa estrutura subjacente e orientar decisões terapêuticas individualizadas.</w:t>
      </w:r>
    </w:p>
    <w:bookmarkEnd w:id="31"/>
    <w:bookmarkStart w:id="40"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rPr>
          <w:vertAlign w:val="superscript"/>
        </w:rP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somáticas</w:t>
      </w:r>
      <w:r>
        <w:rPr>
          <w:vertAlign w:val="superscript"/>
        </w:rP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e, posteriormente, RT-qPCR e</w:t>
      </w:r>
      <w:r>
        <w:t xml:space="preserve"> </w:t>
      </w:r>
      <w:r>
        <w:rPr>
          <w:i/>
          <w:iCs/>
        </w:rPr>
        <w:t xml:space="preserve">RNA-seq</w:t>
      </w:r>
      <w:r>
        <w:rPr>
          <w:vertAlign w:val="superscript"/>
        </w:rP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rPr>
          <w:vertAlign w:val="superscript"/>
        </w:rPr>
        <w:t xml:space="preserve">19–21</w:t>
      </w:r>
      <w:r>
        <w:t xml:space="preserve"> </w:t>
      </w:r>
      <w:r>
        <w:t xml:space="preserve">para auxílio à decisão de quimioterapia adjuvante em câncer de mama RE-positivo, HER2-negativo, estágio precoce.</w:t>
      </w:r>
    </w:p>
    <w:p>
      <w:pPr>
        <w:pStyle w:val="BodyText"/>
      </w:pPr>
      <w:r>
        <w:t xml:space="preserve">Um centroide, nesse contexto, é um perfil de referência: uma espécie de</w:t>
      </w:r>
      <w:r>
        <w:t xml:space="preserve"> </w:t>
      </w:r>
      <w:r>
        <w:t xml:space="preserve">“paciente molecular prototípica”</w:t>
      </w:r>
      <w:r>
        <w:t xml:space="preserve"> </w:t>
      </w:r>
      <w:r>
        <w:t xml:space="preserve">de cada subtipo. O tumor real é convertido em uma lista de expressões gênicas e comparado com esses perfis. Se a expressão do tumor se parece mais com o centroide</w:t>
      </w:r>
      <w:r>
        <w:t xml:space="preserve"> </w:t>
      </w:r>
      <w:r>
        <w:rPr>
          <w:i/>
          <w:iCs/>
        </w:rPr>
        <w:t xml:space="preserve">Luminal A</w:t>
      </w:r>
      <w:r>
        <w:t xml:space="preserve"> </w:t>
      </w:r>
      <w:r>
        <w:t xml:space="preserve">do que com os demais, ele recebe a classificação</w:t>
      </w:r>
      <w:r>
        <w:t xml:space="preserve"> </w:t>
      </w:r>
      <w:r>
        <w:rPr>
          <w:i/>
          <w:iCs/>
        </w:rPr>
        <w:t xml:space="preserve">Luminal A</w:t>
      </w:r>
      <w:r>
        <w:t xml:space="preserve">. Essa comparação é feita no espaço de muitos genes ao mesmo tempo; por isso, não equivale a olhar apenas RE, RP, HER2 ou Ki67. A analogia clínica seria comparar um caso com síndromes bem definidas: não se decide por um único sinal isolado, mas pelo padrão completo.</w:t>
      </w:r>
    </w:p>
    <w:p>
      <w:pPr>
        <w:pStyle w:val="BodyText"/>
      </w:pPr>
      <w:r>
        <w:t xml:space="preserve">O CorePAM nasce dessa arquitetura, mas responde a outra pergunta. Ele não redefine os centroides originais do PAM50, não cria uma nova classificação molecular de subtipos e não pretende substituir a leitura clínica do</w:t>
      </w:r>
      <w:r>
        <w:t xml:space="preserve"> </w:t>
      </w:r>
      <w:r>
        <w:rPr>
          <w:i/>
          <w:iCs/>
        </w:rPr>
        <w:t xml:space="preserve">Prosigna</w:t>
      </w:r>
      <w:r>
        <w:t xml:space="preserve">. A pergunta do CorePAM é mais estreita e mais pragmática: dentro da informação prognóstica contida no painel PAM50, qual subconjunto mínimo de genes preserva a capacidade de ordenar pacientes por risco em coortes externas? Em termos simples, o PAM50 é o atlas molecular completo; o CorePAM tenta conservar as estradas mais úteis para prognóstico, sem redesenhar o mapa inteiro.</w:t>
      </w:r>
    </w:p>
    <w:p>
      <w:pPr>
        <w:pStyle w:val="Compact"/>
        <w:jc w:val="center"/>
      </w:pPr>
      <w:bookmarkStart w:id="35" w:name="fig-centroides-corepam"/>
      <w:r>
        <w:drawing>
          <wp:inline>
            <wp:extent cx="5687999" cy="3384706"/>
            <wp:effectExtent b="0" l="0" r="0" t="0"/>
            <wp:docPr descr="" title="" id="33" name="Picture"/>
            <a:graphic>
              <a:graphicData uri="http://schemas.openxmlformats.org/drawingml/2006/picture">
                <pic:pic>
                  <pic:nvPicPr>
                    <pic:cNvPr descr="../figures/didaticas/pt/png/B4_PAM50_Centroides_CorePAM_PT.png" id="34" name="Picture"/>
                    <pic:cNvPicPr>
                      <a:picLocks noChangeArrowheads="1" noChangeAspect="1"/>
                    </pic:cNvPicPr>
                  </pic:nvPicPr>
                  <pic:blipFill>
                    <a:blip r:embed="rId32"/>
                    <a:stretch>
                      <a:fillRect/>
                    </a:stretch>
                  </pic:blipFill>
                  <pic:spPr bwMode="auto">
                    <a:xfrm>
                      <a:off x="0" y="0"/>
                      <a:ext cx="5687999" cy="3384706"/>
                    </a:xfrm>
                    <a:prstGeom prst="rect">
                      <a:avLst/>
                    </a:prstGeom>
                    <a:noFill/>
                    <a:ln w="9525">
                      <a:noFill/>
                      <a:headEnd/>
                      <a:tailEnd/>
                    </a:ln>
                  </pic:spPr>
                </pic:pic>
              </a:graphicData>
            </a:graphic>
          </wp:inline>
        </w:drawing>
      </w:r>
    </w:p>
    <w:p>
      <w:pPr>
        <w:jc w:val="left"/>
        <w:spacing w:before="200"/>
        <w:pStyle w:val="ImageCaption"/>
      </w:pPr>
      <w:r>
        <w:t xml:space="preserve">Figura 1 — PAM50, centroides moleculares e a pergunta do CorePAM. O PAM50 classifica tumores por semelhança com perfis de referência dos subtipos intrínsecos; os valores de correlação na figura são ilustrativos. O CorePAM reduz o painel para uma pergunta prognóstica específica, sem redefinir os centroides originais do PAM50.</w:t>
      </w:r>
    </w:p>
    <w:bookmarkEnd w:id="35"/>
    <w:p>
      <w:pPr>
        <w:pStyle w:val="BodyText"/>
      </w:pPr>
      <w:r>
        <w:t xml:space="preserve">Na</w:t>
      </w:r>
      <w:r>
        <w:t xml:space="preserve"> </w:t>
      </w:r>
      <w:hyperlink w:anchor="fig-centroides-corepam">
        <w:r>
          <w:rPr>
            <w:rStyle w:val="Hyperlink"/>
            <w:color w:val="0563C1"/>
            <w:u w:val="single"/>
          </w:rPr>
          <w:t xml:space="preserve">Figura 1</w:t>
        </w:r>
      </w:hyperlink>
      <w:r>
        <w:t xml:space="preserve">, o primeiro quadro mostra a amostra tumoral como um vetor de expressão: cada gene contribui uma pequena parte da identidade molecular. O segundo quadro mostra a comparação com centroides. O tumor ilustrativo se aproxima mais do centroide</w:t>
      </w:r>
      <w:r>
        <w:t xml:space="preserve"> </w:t>
      </w:r>
      <w:r>
        <w:rPr>
          <w:i/>
          <w:iCs/>
        </w:rPr>
        <w:t xml:space="preserve">Luminal A</w:t>
      </w:r>
      <w:r>
        <w:t xml:space="preserve">, mas a decisão vem da comparação simultânea com todos os perfis de referência, não de um marcador isolado. O terceiro quadro mostra a diferença conceitual do CorePAM: parte-se do PAM50 canônico de 50 genes, aplica-se uma seleção penalizada voltada a prognóstico e chega-se a 24 genes. A seta não significa que o CorePAM seja</w:t>
      </w:r>
      <w:r>
        <w:t xml:space="preserve"> </w:t>
      </w:r>
      <w:r>
        <w:t xml:space="preserve">“um novo PAM50”</w:t>
      </w:r>
      <w:r>
        <w:t xml:space="preserve">; significa que ele é uma compressão prognóstica derivada do espaço PAM50.</w:t>
      </w:r>
    </w:p>
    <w:p>
      <w:pPr>
        <w:pStyle w:val="BodyText"/>
      </w:pPr>
      <w:r>
        <w:t xml:space="preserve">É importante separar duas linguagens que se confundiram historicamente. O PAM50 não classifica tumores medindo diretamente RE, RP, HER2 e Ki67; ele compara a expressão de 50 genes com centroides moleculares. Na prática clínica, porém, a imuno-histoquímica passou a ser usada como tradução aproximada desses subtipos porque é barata, padronizada, universalmente disponível e captura os grandes eixos que mais orientam a decisão diária: sinalização estrogênica, ativação da via HER2, proliferação e fenótipo basal. Essa tradução ajudou a levar a taxonomia molecular para a rotina, mas não é equivalente. Tumores com o mesmo painel imuno-histoquímico podem receber subtipos PAM50 diferentes, e tumores classificados como</w:t>
      </w:r>
      <w:r>
        <w:t xml:space="preserve"> </w:t>
      </w:r>
      <w:r>
        <w:rPr>
          <w:i/>
          <w:iCs/>
        </w:rPr>
        <w:t xml:space="preserve">HER2-enriched</w:t>
      </w:r>
      <w:r>
        <w:t xml:space="preserve"> </w:t>
      </w:r>
      <w:r>
        <w:t xml:space="preserve">ou</w:t>
      </w:r>
      <w:r>
        <w:t xml:space="preserve"> </w:t>
      </w:r>
      <w:r>
        <w:rPr>
          <w:i/>
          <w:iCs/>
        </w:rPr>
        <w:t xml:space="preserve">Basal-like</w:t>
      </w:r>
      <w:r>
        <w:t xml:space="preserve"> </w:t>
      </w:r>
      <w:r>
        <w:t xml:space="preserve">pelo PAM50 nem sempre coincidem perfeitamente com doença HER2-positiva ou triplo-negativa pela definição clínica</w:t>
      </w:r>
      <w:r>
        <w:rPr>
          <w:vertAlign w:val="superscript"/>
        </w:rPr>
        <w:t xml:space="preserve">10,14</w:t>
      </w:r>
      <w:r>
        <w:t xml:space="preserve">. Por isso, a</w:t>
      </w:r>
      <w:r>
        <w:t xml:space="preserve"> </w:t>
      </w:r>
      <w:hyperlink w:anchor="fig-subtipos">
        <w:r>
          <w:rPr>
            <w:rStyle w:val="Hyperlink"/>
            <w:color w:val="0563C1"/>
            <w:u w:val="single"/>
          </w:rPr>
          <w:t xml:space="preserve">Figura 2</w:t>
        </w:r>
      </w:hyperlink>
      <w:r>
        <w:t xml:space="preserve"> </w:t>
      </w:r>
      <w:r>
        <w:t xml:space="preserve">deve ser lida como mapa de correlação clínica, não como definição molecular exata dos subtipos.</w:t>
      </w:r>
    </w:p>
    <w:p>
      <w:pPr>
        <w:pStyle w:val="Compact"/>
        <w:jc w:val="center"/>
      </w:pPr>
      <w:bookmarkStart w:id="39" w:name="fig-subtipos"/>
      <w:r>
        <w:drawing>
          <wp:inline>
            <wp:extent cx="5687999" cy="4517315"/>
            <wp:effectExtent b="0" l="0" r="0" t="0"/>
            <wp:docPr descr="" title="" id="37" name="Picture"/>
            <a:graphic>
              <a:graphicData uri="http://schemas.openxmlformats.org/drawingml/2006/picture">
                <pic:pic>
                  <pic:nvPicPr>
                    <pic:cNvPr descr="../figures/didaticas/pt/png/B2_Subtipos_Moleculares_PT.png" id="38" name="Picture"/>
                    <pic:cNvPicPr>
                      <a:picLocks noChangeArrowheads="1" noChangeAspect="1"/>
                    </pic:cNvPicPr>
                  </pic:nvPicPr>
                  <pic:blipFill>
                    <a:blip r:embed="rId36"/>
                    <a:stretch>
                      <a:fillRect/>
                    </a:stretch>
                  </pic:blipFill>
                  <pic:spPr bwMode="auto">
                    <a:xfrm>
                      <a:off x="0" y="0"/>
                      <a:ext cx="5687999" cy="4517315"/>
                    </a:xfrm>
                    <a:prstGeom prst="rect">
                      <a:avLst/>
                    </a:prstGeom>
                    <a:noFill/>
                    <a:ln w="9525">
                      <a:noFill/>
                      <a:headEnd/>
                      <a:tailEnd/>
                    </a:ln>
                  </pic:spPr>
                </pic:pic>
              </a:graphicData>
            </a:graphic>
          </wp:inline>
        </w:drawing>
      </w:r>
    </w:p>
    <w:p>
      <w:pPr>
        <w:jc w:val="left"/>
        <w:spacing w:before="200"/>
        <w:pStyle w:val="ImageCaption"/>
      </w:pPr>
      <w:r>
        <w:t xml:space="preserve">Figura 2 — Subtipos intrínsecos e correlatos clínicos do câncer de mama. O PAM50 define subtipos por correlação com centroides de expressão gênica; RE, RP, HER2, Ki67 e marcadores basais mostrados nos quadros representam correlatos imuno-histoquímicos usados historicamente na rotina, não substitutos exatos. A categoria</w:t>
      </w:r>
      <w:r>
        <w:t xml:space="preserve"> </w:t>
      </w:r>
      <w:r>
        <w:rPr>
          <w:i/>
          <w:iCs/>
        </w:rPr>
        <w:t xml:space="preserve">Normal-like</w:t>
      </w:r>
      <w:r>
        <w:t xml:space="preserve"> </w:t>
      </w:r>
      <w:r>
        <w:t xml:space="preserve">não é mostrada por não ter correlato imuno-histoquímico clínico robusto.</w:t>
      </w:r>
    </w:p>
    <w:bookmarkEnd w:id="39"/>
    <w:p>
      <w:pPr>
        <w:pStyle w:val="BodyText"/>
      </w:pPr>
      <w:r>
        <w:t xml:space="preserve">Na</w:t>
      </w:r>
      <w:r>
        <w:t xml:space="preserve"> </w:t>
      </w:r>
      <w:hyperlink w:anchor="fig-subtipos">
        <w:r>
          <w:rPr>
            <w:rStyle w:val="Hyperlink"/>
            <w:color w:val="0563C1"/>
            <w:u w:val="single"/>
          </w:rPr>
          <w:t xml:space="preserve">Figura 2</w:t>
        </w:r>
      </w:hyperlink>
      <w:r>
        <w:t xml:space="preserve">, cada quadro deve ser lido em duas camadas. A camada molecular é o nome do subtipo intrínseco, definido pelo PAM50 a partir de centroides de expressão. A camada clínica é o conjunto de marcadores de imuno-histoquímica mostrado abaixo, que funciona como aproximação prática. No quadro</w:t>
      </w:r>
      <w:r>
        <w:t xml:space="preserve"> </w:t>
      </w:r>
      <w:r>
        <w:rPr>
          <w:i/>
          <w:iCs/>
        </w:rPr>
        <w:t xml:space="preserve">Luminal A</w:t>
      </w:r>
      <w:r>
        <w:t xml:space="preserve">, o leitor vê o padrão de menor proliferação e melhor prognóstico; no</w:t>
      </w:r>
      <w:r>
        <w:t xml:space="preserve"> </w:t>
      </w:r>
      <w:r>
        <w:rPr>
          <w:i/>
          <w:iCs/>
        </w:rPr>
        <w:t xml:space="preserve">Luminal B</w:t>
      </w:r>
      <w:r>
        <w:t xml:space="preserve">, a presença de Ki67 mais alto indica maior velocidade biológica, mesmo quando o tumor continua sendo RE-positivo. O quadro</w:t>
      </w:r>
      <w:r>
        <w:t xml:space="preserve"> </w:t>
      </w:r>
      <w:r>
        <w:rPr>
          <w:i/>
          <w:iCs/>
        </w:rPr>
        <w:t xml:space="preserve">HER2-enriquecido</w:t>
      </w:r>
      <w:r>
        <w:t xml:space="preserve"> </w:t>
      </w:r>
      <w:r>
        <w:t xml:space="preserve">mostra uma armadilha conceitual importante: esse subtipo molecular frequentemente, mas não obrigatoriamente, coincide com HER2 positivo clínico. O quadro</w:t>
      </w:r>
      <w:r>
        <w:t xml:space="preserve"> </w:t>
      </w:r>
      <w:r>
        <w:rPr>
          <w:i/>
          <w:iCs/>
        </w:rPr>
        <w:t xml:space="preserve">Basal-like</w:t>
      </w:r>
      <w:r>
        <w:t xml:space="preserve"> </w:t>
      </w:r>
      <w:r>
        <w:t xml:space="preserve">segue a mesma lógica: costuma se aproximar do triplo-negativo, mas não é sinônimo perfeito dele. A figura, portanto, deve ser entendida como se entende um mapa clínico: útil para orientar o trajeto, mas não idêntico ao território molecular.</w:t>
      </w:r>
    </w:p>
    <w:bookmarkEnd w:id="40"/>
    <w:bookmarkStart w:id="45"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e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rPr>
          <w:vertAlign w:val="superscript"/>
        </w:rP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Cancer Index</w:t>
      </w:r>
      <w:r>
        <w:rPr>
          <w:vertAlign w:val="superscript"/>
        </w:rPr>
        <w:t xml:space="preserve">30</w:t>
      </w:r>
      <w:r>
        <w:t xml:space="preserve"> </w:t>
      </w:r>
      <w:r>
        <w:t xml:space="preserve">(genes HOXB13/IL17BR mais módulo de proliferação) e o ROR/</w:t>
      </w:r>
      <w:r>
        <w:rPr>
          <w:i/>
          <w:iCs/>
        </w:rPr>
        <w:t xml:space="preserve">Prosigna</w:t>
      </w:r>
      <w:r>
        <w:rPr>
          <w:vertAlign w:val="superscript"/>
        </w:rPr>
        <w:t xml:space="preserve">13,16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é apenas moderada, indicando que não medem exatamente o mesmo construto biológico.</w:t>
      </w:r>
    </w:p>
    <w:p>
      <w:pPr>
        <w:pStyle w:val="BodyText"/>
      </w:pPr>
      <w:r>
        <w:t xml:space="preserve">A distinção fundamental, relevante para o presente trabalho, é que o</w:t>
      </w:r>
      <w:r>
        <w:t xml:space="preserve"> </w:t>
      </w:r>
      <w:r>
        <w:rPr>
          <w:i/>
          <w:iCs/>
        </w:rPr>
        <w:t xml:space="preserve">OncotypeDX</w:t>
      </w:r>
      <w:r>
        <w:t xml:space="preserve"> </w:t>
      </w:r>
      <w:r>
        <w:t xml:space="preserve">e o</w:t>
      </w:r>
      <w:r>
        <w:t xml:space="preserve"> </w:t>
      </w:r>
      <w:r>
        <w:rPr>
          <w:i/>
          <w:iCs/>
        </w:rPr>
        <w:t xml:space="preserve">MammaPrint</w:t>
      </w:r>
      <w:r>
        <w:t xml:space="preserve"> </w:t>
      </w:r>
      <w:r>
        <w:t xml:space="preserve">não são subconjuntos do PAM50 — foram desenvolvidos independentemente, a partir de pools gênicos distintos e com metodologias e</w:t>
      </w:r>
      <w:r>
        <w:t xml:space="preserve"> </w:t>
      </w:r>
      <w:r>
        <w:rPr>
          <w:i/>
          <w:iCs/>
        </w:rPr>
        <w:t xml:space="preserve">endpoints</w:t>
      </w:r>
      <w:r>
        <w:t xml:space="preserve"> </w:t>
      </w:r>
      <w:r>
        <w:t xml:space="preserve">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44" w:name="fig-timeline"/>
      <w:r>
        <w:drawing>
          <wp:inline>
            <wp:extent cx="5687999" cy="2940304"/>
            <wp:effectExtent b="0" l="0" r="0" t="0"/>
            <wp:docPr descr="" title="" id="42" name="Picture"/>
            <a:graphic>
              <a:graphicData uri="http://schemas.openxmlformats.org/drawingml/2006/picture">
                <pic:pic>
                  <pic:nvPicPr>
                    <pic:cNvPr descr="../figures/didaticas/pt/png/B3_Timeline_Assinaturas_PT.png" id="43" name="Picture"/>
                    <pic:cNvPicPr>
                      <a:picLocks noChangeArrowheads="1" noChangeAspect="1"/>
                    </pic:cNvPicPr>
                  </pic:nvPicPr>
                  <pic:blipFill>
                    <a:blip r:embed="rId41"/>
                    <a:stretch>
                      <a:fillRect/>
                    </a:stretch>
                  </pic:blipFill>
                  <pic:spPr bwMode="auto">
                    <a:xfrm>
                      <a:off x="0" y="0"/>
                      <a:ext cx="5687999" cy="2940304"/>
                    </a:xfrm>
                    <a:prstGeom prst="rect">
                      <a:avLst/>
                    </a:prstGeom>
                    <a:noFill/>
                    <a:ln w="9525">
                      <a:noFill/>
                      <a:headEnd/>
                      <a:tailEnd/>
                    </a:ln>
                  </pic:spPr>
                </pic:pic>
              </a:graphicData>
            </a:graphic>
          </wp:inline>
        </w:drawing>
      </w:r>
    </w:p>
    <w:p>
      <w:pPr>
        <w:jc w:val="left"/>
        <w:spacing w:before="200"/>
        <w:pStyle w:val="ImageCaption"/>
      </w:pPr>
      <w:r>
        <w:t xml:space="preserve">Figura 3 — Linha do tempo das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44"/>
    <w:p>
      <w:pPr>
        <w:pStyle w:val="BodyText"/>
      </w:pPr>
      <w:r>
        <w:t xml:space="preserve">Na</w:t>
      </w:r>
      <w:r>
        <w:t xml:space="preserve"> </w:t>
      </w:r>
      <w:hyperlink w:anchor="fig-timeline">
        <w:r>
          <w:rPr>
            <w:rStyle w:val="Hyperlink"/>
            <w:color w:val="0563C1"/>
            <w:u w:val="single"/>
          </w:rPr>
          <w:t xml:space="preserve">Figura 3</w:t>
        </w:r>
      </w:hyperlink>
      <w:r>
        <w:t xml:space="preserve">, o eixo horizontal conta a história de uma mudança de paradigma. À esquerda estão as primeiras assinaturas desenvolvidas em</w:t>
      </w:r>
      <w:r>
        <w:t xml:space="preserve"> </w:t>
      </w:r>
      <w:r>
        <w:rPr>
          <w:i/>
          <w:iCs/>
        </w:rPr>
        <w:t xml:space="preserve">microarray</w:t>
      </w:r>
      <w:r>
        <w:t xml:space="preserve">, quando a principal pergunta era descobrir se padrões de expressão gênica conseguiam antecipar recorrência. O</w:t>
      </w:r>
      <w:r>
        <w:t xml:space="preserve"> </w:t>
      </w:r>
      <w:r>
        <w:rPr>
          <w:i/>
          <w:iCs/>
        </w:rPr>
        <w:t xml:space="preserve">MammaPrint</w:t>
      </w:r>
      <w:r>
        <w:t xml:space="preserve"> </w:t>
      </w:r>
      <w:r>
        <w:t xml:space="preserve">aparece como assinatura de 70 genes, nascida de uma estratégia ampla de descoberta. Em seguida, o</w:t>
      </w:r>
      <w:r>
        <w:t xml:space="preserve"> </w:t>
      </w:r>
      <w:r>
        <w:rPr>
          <w:i/>
          <w:iCs/>
        </w:rPr>
        <w:t xml:space="preserve">OncotypeDX</w:t>
      </w:r>
      <w:r>
        <w:t xml:space="preserve"> </w:t>
      </w:r>
      <w:r>
        <w:t xml:space="preserve">reduz a pergunta para 21 genes medidos por RT-qPCR, mais compatível com tecido de rotina e com decisão adjuvante em doença RE-positiva. O PAM50 ocupa posição central porque não é apenas um escore de risco: ele conecta prognóstico aos subtipos intrínsecos. O</w:t>
      </w:r>
      <w:r>
        <w:t xml:space="preserve"> </w:t>
      </w:r>
      <w:r>
        <w:rPr>
          <w:i/>
          <w:iCs/>
        </w:rPr>
        <w:t xml:space="preserve">EndoPredict</w:t>
      </w:r>
      <w:r>
        <w:t xml:space="preserve"> </w:t>
      </w:r>
      <w:r>
        <w:t xml:space="preserve">e outras ferramentas posteriores acrescentam foco em recorrência tardia e integração com variáveis clínicas. À direita, o CorePAM é colocado como proposta de compressão do PAM50: não reinventa a biologia do câncer de mama, mas pergunta se parte menor do painel preserva o essencial. A leitura importante é que o campo caminhou de painéis grandes e exploratórios para ensaios mais focados, clinicamente interpretáveis e potencialmente mais acessíveis.</w:t>
      </w:r>
    </w:p>
    <w:bookmarkEnd w:id="45"/>
    <w:bookmarkStart w:id="46" w:name="Xedb24f488342593b18f454e71b15503c25e27fd"/>
    <w:p>
      <w:pPr>
        <w:pStyle w:val="Heading2"/>
      </w:pPr>
      <w:r>
        <w:t xml:space="preserve">1.5 Assinaturas gênicas, plataformas e transportabilidade</w:t>
      </w:r>
    </w:p>
    <w:p>
      <w:pPr>
        <w:pStyle w:val="FirstParagraph"/>
      </w:pPr>
      <w:r>
        <w:t xml:space="preserve">Antes de discutir as coortes deste estudo, vale separar três conceitos que costumam ser misturados na prática clínica:</w:t>
      </w:r>
      <w:r>
        <w:t xml:space="preserve"> </w:t>
      </w:r>
      <w:r>
        <w:rPr>
          <w:b/>
          <w:bCs/>
        </w:rPr>
        <w:t xml:space="preserve">assinatura gênica</w:t>
      </w:r>
      <w:r>
        <w:t xml:space="preserve">,</w:t>
      </w:r>
      <w:r>
        <w:t xml:space="preserve"> </w:t>
      </w:r>
      <w:r>
        <w:rPr>
          <w:b/>
          <w:bCs/>
        </w:rPr>
        <w:t xml:space="preserve">plataforma de leitura</w:t>
      </w:r>
      <w:r>
        <w:t xml:space="preserve"> </w:t>
      </w:r>
      <w:r>
        <w:t xml:space="preserve">e</w:t>
      </w:r>
      <w:r>
        <w:t xml:space="preserve"> </w:t>
      </w:r>
      <w:r>
        <w:rPr>
          <w:b/>
          <w:bCs/>
        </w:rPr>
        <w:t xml:space="preserve">algoritmo de interpretação</w:t>
      </w:r>
      <w:r>
        <w:t xml:space="preserve">. Uma assinatura gênica é uma lista de genes escolhidos porque, em conjunto, carregam informação clínica. A plataforma é a tecnologia de laboratório usada para medir a atividade desses genes. O algoritmo é a regra matemática que transforma as medidas em um resultado útil, como baixo ou alto risco, subtipo molecular, risco numérico de recorrência ou probabilidade de benefício com quimioterapia. Em termos simples: a assinatura diz</w:t>
      </w:r>
      <w:r>
        <w:t xml:space="preserve"> </w:t>
      </w:r>
      <w:r>
        <w:t xml:space="preserve">“quais genes olhar”</w:t>
      </w:r>
      <w:r>
        <w:t xml:space="preserve">; a plataforma diz</w:t>
      </w:r>
      <w:r>
        <w:t xml:space="preserve"> </w:t>
      </w:r>
      <w:r>
        <w:t xml:space="preserve">“como medir”</w:t>
      </w:r>
      <w:r>
        <w:t xml:space="preserve">; e o algoritmo diz</w:t>
      </w:r>
      <w:r>
        <w:t xml:space="preserve"> </w:t>
      </w:r>
      <w:r>
        <w:t xml:space="preserve">“como interpretar”</w:t>
      </w:r>
      <w:r>
        <w:t xml:space="preserve">.</w:t>
      </w:r>
    </w:p>
    <w:p>
      <w:pPr>
        <w:pStyle w:val="BodyText"/>
      </w:pPr>
      <w:r>
        <w:t xml:space="preserve">O funcionamento geral é parecido entre os testes. O patologista seleciona uma área representativa do tumor, o laboratório extrai RNA e mede a expressão de genes relacionados a programas biológicos centrais: sinalização hormonal, proliferação, via HER2, invasão, diferenciação luminal ou fenótipo basal. Depois, os valores medidos são normalizados para reduzir ruído técnico e combinados em um escore. O resultado não substitui estadiamento, grau, linfonodos, idade, comorbidades ou preferência da paciente; ele acrescenta uma camada biológica que não é visível ao microscópio nem pela imuno-histoquímica isolada. Essa é a razão pela qual assinaturas como</w:t>
      </w:r>
      <w:r>
        <w:t xml:space="preserve"> </w:t>
      </w:r>
      <w:r>
        <w:rPr>
          <w:i/>
          <w:iCs/>
        </w:rPr>
        <w:t xml:space="preserve">OncotypeDX</w:t>
      </w:r>
      <w:r>
        <w:t xml:space="preserve">,</w:t>
      </w:r>
      <w:r>
        <w:t xml:space="preserve"> </w:t>
      </w:r>
      <w:r>
        <w:rPr>
          <w:i/>
          <w:iCs/>
        </w:rPr>
        <w:t xml:space="preserve">MammaPrint</w:t>
      </w:r>
      <w:r>
        <w:t xml:space="preserve">, PAM50/</w:t>
      </w:r>
      <w:r>
        <w:rPr>
          <w:i/>
          <w:iCs/>
        </w:rPr>
        <w:t xml:space="preserve">Prosigna</w:t>
      </w:r>
      <w:r>
        <w:t xml:space="preserve">,</w:t>
      </w:r>
      <w:r>
        <w:t xml:space="preserve"> </w:t>
      </w:r>
      <w:r>
        <w:rPr>
          <w:i/>
          <w:iCs/>
        </w:rPr>
        <w:t xml:space="preserve">EndoPredict</w:t>
      </w:r>
      <w:r>
        <w:t xml:space="preserve"> </w:t>
      </w:r>
      <w:r>
        <w:t xml:space="preserve">e Breast Cancer Index entraram nas diretrizes: elas ajudam principalmente na zona cinzenta em que a indicação de quimioterapia adjuvante não é óbvia</w:t>
      </w:r>
      <w:r>
        <w:rPr>
          <w:vertAlign w:val="superscript"/>
        </w:rPr>
        <w:t xml:space="preserve">20,21,23,27</w:t>
      </w:r>
      <w:r>
        <w:t xml:space="preserve">.</w:t>
      </w:r>
    </w:p>
    <w:p>
      <w:pPr>
        <w:pStyle w:val="BodyText"/>
      </w:pPr>
      <w:r>
        <w:t xml:space="preserve">Um conceito central no PAM50 é o de</w:t>
      </w:r>
      <w:r>
        <w:t xml:space="preserve"> </w:t>
      </w:r>
      <w:r>
        <w:rPr>
          <w:b/>
          <w:bCs/>
        </w:rPr>
        <w:t xml:space="preserve">centroide</w:t>
      </w:r>
      <w:r>
        <w:t xml:space="preserve">. Centroide é um perfil de referência, uma espécie de</w:t>
      </w:r>
      <w:r>
        <w:t xml:space="preserve"> </w:t>
      </w:r>
      <w:r>
        <w:t xml:space="preserve">“média molecular”</w:t>
      </w:r>
      <w:r>
        <w:t xml:space="preserve"> </w:t>
      </w:r>
      <w:r>
        <w:t xml:space="preserve">de um subtipo. Imagine que cada tumor tenha uma impressão digital composta pela expressão de dezenas de genes. O PAM50 compara a impressão digital da amostra com impressões digitais de referência dos subtipos</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 </w:t>
      </w:r>
      <w:r>
        <w:t xml:space="preserve">e</w:t>
      </w:r>
      <w:r>
        <w:t xml:space="preserve"> </w:t>
      </w:r>
      <w:r>
        <w:rPr>
          <w:i/>
          <w:iCs/>
        </w:rPr>
        <w:t xml:space="preserve">Basal-like</w:t>
      </w:r>
      <w:r>
        <w:t xml:space="preserve">. O subtipo atribuído é aquele cujo centroide se parece mais com o tumor, geralmente medido por correlação. Portanto, o centroide não é um gene, nem um receptor, nem uma lâmina de imuno-histoquímica; é um padrão multigênico de referência</w:t>
      </w:r>
      <w:r>
        <w:rPr>
          <w:vertAlign w:val="superscript"/>
        </w:rPr>
        <w:t xml:space="preserve">13,16</w:t>
      </w:r>
      <w:r>
        <w:t xml:space="preserve">.</w:t>
      </w:r>
    </w:p>
    <w:p>
      <w:pPr>
        <w:pStyle w:val="BodyText"/>
      </w:pPr>
      <w:r>
        <w:rPr>
          <w:b/>
          <w:bCs/>
        </w:rPr>
        <w:t xml:space="preserve">Microarray</w:t>
      </w:r>
      <w:r>
        <w:t xml:space="preserve"> </w:t>
      </w:r>
      <w:r>
        <w:t xml:space="preserve">foi a primeira grande tecnologia de expressão em larga escala usada na descoberta dessas assinaturas. Ele funciona como uma lâmina com milhares de sondas fixas: cada sonda é desenhada para capturar um RNA específico. Quanto maior a hibridização, maior o sinal. Foi a tecnologia dos estudos pioneiros de subtipos moleculares e do desenvolvimento inicial do</w:t>
      </w:r>
      <w:r>
        <w:t xml:space="preserve"> </w:t>
      </w:r>
      <w:r>
        <w:rPr>
          <w:i/>
          <w:iCs/>
        </w:rPr>
        <w:t xml:space="preserve">MammaPrint</w:t>
      </w:r>
      <w:r>
        <w:rPr>
          <w:vertAlign w:val="superscript"/>
        </w:rPr>
        <w:t xml:space="preserve">8,9,26</w:t>
      </w:r>
      <w:r>
        <w:t xml:space="preserve">. Sua vantagem histórica foi permitir medir milhares de genes simultaneamente. Suas limitações são importantes: a plataforma só mede aquilo para o qual há sonda, diferentes fabricantes usam sondas e escalas próprias, e o sinal pode saturar em genes muito expressos ou ficar impreciso em genes pouco expressos.</w:t>
      </w:r>
    </w:p>
    <w:p>
      <w:pPr>
        <w:pStyle w:val="BodyText"/>
      </w:pPr>
      <w:r>
        <w:rPr>
          <w:b/>
          <w:bCs/>
        </w:rPr>
        <w:t xml:space="preserve">RT-qPCR</w:t>
      </w:r>
      <w:r>
        <w:t xml:space="preserve"> </w:t>
      </w:r>
      <w:r>
        <w:t xml:space="preserve">é uma tecnologia mais direcionada. Em vez de medir o transcriptoma inteiro, ela mede um conjunto pequeno de genes pré-especificados com alta sensibilidade. É familiar a muitos laboratórios, funciona bem em tecido fixado em formol e incluído em parafina (</w:t>
      </w:r>
      <w:r>
        <w:rPr>
          <w:i/>
          <w:iCs/>
        </w:rPr>
        <w:t xml:space="preserve">FFPE</w:t>
      </w:r>
      <w:r>
        <w:t xml:space="preserve">) e costuma ser adequada quando a pergunta já está definida.</w:t>
      </w:r>
      <w:r>
        <w:t xml:space="preserve"> </w:t>
      </w:r>
      <w:r>
        <w:rPr>
          <w:i/>
          <w:iCs/>
        </w:rPr>
        <w:t xml:space="preserve">OncotypeDX</w:t>
      </w:r>
      <w:r>
        <w:t xml:space="preserve"> </w:t>
      </w:r>
      <w:r>
        <w:t xml:space="preserve">e</w:t>
      </w:r>
      <w:r>
        <w:t xml:space="preserve"> </w:t>
      </w:r>
      <w:r>
        <w:rPr>
          <w:i/>
          <w:iCs/>
        </w:rPr>
        <w:t xml:space="preserve">EndoPredict</w:t>
      </w:r>
      <w:r>
        <w:t xml:space="preserve"> </w:t>
      </w:r>
      <w:r>
        <w:t xml:space="preserve">seguem essa lógica: não tentam descobrir novos genes no momento do teste; medem um painel fechado e aplicam uma fórmula previamente validada</w:t>
      </w:r>
      <w:r>
        <w:rPr>
          <w:vertAlign w:val="superscript"/>
        </w:rPr>
        <w:t xml:space="preserve">22,29</w:t>
      </w:r>
      <w:r>
        <w:t xml:space="preserve">.</w:t>
      </w:r>
    </w:p>
    <w:p>
      <w:pPr>
        <w:pStyle w:val="BodyText"/>
      </w:pPr>
      <w:r>
        <w:rPr>
          <w:b/>
          <w:bCs/>
        </w:rPr>
        <w:t xml:space="preserve">NanoString nCounter</w:t>
      </w:r>
      <w:r>
        <w:t xml:space="preserve"> </w:t>
      </w:r>
      <w:r>
        <w:t xml:space="preserve">também é uma plataforma direcionada, mas usa sondas moleculares com códigos digitais para contar transcritos sem depender do mesmo tipo de amplificação da PCR. O</w:t>
      </w:r>
      <w:r>
        <w:t xml:space="preserve"> </w:t>
      </w:r>
      <w:r>
        <w:rPr>
          <w:i/>
          <w:iCs/>
        </w:rPr>
        <w:t xml:space="preserve">Prosigna</w:t>
      </w:r>
      <w:r>
        <w:t xml:space="preserve"> </w:t>
      </w:r>
      <w:r>
        <w:t xml:space="preserve">é a implementação clínica do PAM50 nessa plataforma. Sua força é combinar um painel fixo, compatível com</w:t>
      </w:r>
      <w:r>
        <w:t xml:space="preserve"> </w:t>
      </w:r>
      <w:r>
        <w:rPr>
          <w:i/>
          <w:iCs/>
        </w:rPr>
        <w:t xml:space="preserve">FFPE</w:t>
      </w:r>
      <w:r>
        <w:t xml:space="preserve">, com fluxo laboratorial padronizado e validação analítica específica</w:t>
      </w:r>
      <w:r>
        <w:rPr>
          <w:vertAlign w:val="superscript"/>
        </w:rPr>
        <w:t xml:space="preserve">16</w:t>
      </w:r>
      <w:r>
        <w:t xml:space="preserve">. Na prática, isso é diferente de</w:t>
      </w:r>
      <w:r>
        <w:t xml:space="preserve"> </w:t>
      </w:r>
      <w:r>
        <w:t xml:space="preserve">“rodar PAM50”</w:t>
      </w:r>
      <w:r>
        <w:t xml:space="preserve"> </w:t>
      </w:r>
      <w:r>
        <w:t xml:space="preserve">em qualquer matriz pública: o teste comercial inclui controles, normalização e algoritmo definidos para aquela plataforma.</w:t>
      </w:r>
    </w:p>
    <w:p>
      <w:pPr>
        <w:pStyle w:val="BodyText"/>
      </w:pPr>
      <w:r>
        <w:rPr>
          <w:b/>
          <w:bCs/>
        </w:rPr>
        <w:t xml:space="preserve">RNA-seq</w:t>
      </w:r>
      <w:r>
        <w:t xml:space="preserve"> </w:t>
      </w:r>
      <w:r>
        <w:t xml:space="preserve">é a tecnologia mais ampla e contemporânea. Em vez de perguntar apenas se o RNA se ligou a uma sonda, ela sequencia milhões de fragmentos de RNA e conta quantos fragmentos correspondem a cada gene. Isso oferece grande faixa dinâmica, permite detectar transcritos não previstos por uma sonda antiga e se tornou a base de grandes coortes modernas, como SCAN-B e TCGA-BRCA</w:t>
      </w:r>
      <w:r>
        <w:rPr>
          <w:vertAlign w:val="superscript"/>
        </w:rPr>
        <w:t xml:space="preserve">32,33</w:t>
      </w:r>
      <w:r>
        <w:t xml:space="preserve">. Seu custo vem caindo, mas a análise exige bioinformática rigorosa: filtragem, normalização, controle de qualidade, mapeamento de genes e decisão sobre como transformar contagens em uma escala comparável.</w:t>
      </w:r>
    </w:p>
    <w:p>
      <w:pPr>
        <w:pStyle w:val="BodyText"/>
      </w:pPr>
      <w:r>
        <w:rPr>
          <w:b/>
          <w:bCs/>
        </w:rPr>
        <w:t xml:space="preserve">Quadro didático - principais assinaturas gênicas em câncer de mama</w:t>
      </w:r>
    </w:p>
    <w:tbl>
      <w:tblPr>
        <w:tblStyle w:val="Table"/>
        <w:tblW w:type="dxa" w:w="9070"/>
        <w:tblLayout w:type="fixed"/>
        <w:tblLook w:firstRow="1" w:lastRow="0" w:firstColumn="0" w:lastColumn="0" w:noHBand="0" w:noVBand="0" w:val="0020"/>
      </w:tblPr>
      <w:tblGrid>
        <w:gridCol w:w="3091"/>
        <w:gridCol w:w="3091"/>
        <w:gridCol w:w="2888"/>
      </w:tblGrid>
      <w:tr>
        <w:trPr>
          <w:tblHeader w:val="on"/>
        </w:trPr>
        <w:tc>
          <w:tcPr>
            <w:tcW w:w="3091" w:type="dxa"/>
          </w:tcPr>
          <w:p>
            <w:pPr>
              <w:pStyle w:val="Compact"/>
            </w:pPr>
            <w:r>
              <w:t xml:space="preserve">Assinatura</w:t>
            </w:r>
          </w:p>
        </w:tc>
        <w:tc>
          <w:tcPr>
            <w:tcW w:w="3091" w:type="dxa"/>
          </w:tcPr>
          <w:p>
            <w:pPr>
              <w:pStyle w:val="Compact"/>
            </w:pPr>
            <w:r>
              <w:t xml:space="preserve">Plataforma ou lógica original</w:t>
            </w:r>
          </w:p>
        </w:tc>
        <w:tc>
          <w:tcPr>
            <w:tcW w:w="2888" w:type="dxa"/>
          </w:tcPr>
          <w:p>
            <w:pPr>
              <w:pStyle w:val="Compact"/>
            </w:pPr>
            <w:r>
              <w:t xml:space="preserve">Função clínica principal</w:t>
            </w:r>
          </w:p>
        </w:tc>
      </w:tr>
      <w:tr>
        <w:tc>
          <w:tcPr>
            <w:tcW w:w="3091" w:type="dxa"/>
          </w:tcPr>
          <w:p>
            <w:pPr>
              <w:pStyle w:val="Compact"/>
            </w:pPr>
            <w:r>
              <w:rPr>
                <w:i/>
                <w:iCs/>
              </w:rPr>
              <w:t xml:space="preserve">OncotypeDX</w:t>
            </w:r>
          </w:p>
        </w:tc>
        <w:tc>
          <w:tcPr>
            <w:tcW w:w="3091" w:type="dxa"/>
          </w:tcPr>
          <w:p>
            <w:pPr>
              <w:pStyle w:val="Compact"/>
            </w:pPr>
            <w:r>
              <w:t xml:space="preserve">RT-qPCR; 21 genes em</w:t>
            </w:r>
            <w:r>
              <w:t xml:space="preserve"> </w:t>
            </w:r>
            <w:r>
              <w:rPr>
                <w:i/>
                <w:iCs/>
              </w:rPr>
              <w:t xml:space="preserve">FFPE</w:t>
            </w:r>
          </w:p>
        </w:tc>
        <w:tc>
          <w:tcPr>
            <w:tcW w:w="2888" w:type="dxa"/>
          </w:tcPr>
          <w:p>
            <w:pPr>
              <w:pStyle w:val="Compact"/>
            </w:pPr>
            <w:r>
              <w:t xml:space="preserve">Estimar risco de recorrência e benefício de quimioterapia em câncer de mama RE+/HER2- inicial.</w:t>
            </w:r>
          </w:p>
        </w:tc>
      </w:tr>
      <w:tr>
        <w:tc>
          <w:tcPr>
            <w:tcW w:w="3091" w:type="dxa"/>
          </w:tcPr>
          <w:p>
            <w:pPr>
              <w:pStyle w:val="Compact"/>
            </w:pPr>
            <w:r>
              <w:rPr>
                <w:i/>
                <w:iCs/>
              </w:rPr>
              <w:t xml:space="preserve">MammaPrint</w:t>
            </w:r>
          </w:p>
        </w:tc>
        <w:tc>
          <w:tcPr>
            <w:tcW w:w="3091" w:type="dxa"/>
          </w:tcPr>
          <w:p>
            <w:pPr>
              <w:pStyle w:val="Compact"/>
            </w:pPr>
            <w:r>
              <w:t xml:space="preserve">Microarray; 70 genes</w:t>
            </w:r>
          </w:p>
        </w:tc>
        <w:tc>
          <w:tcPr>
            <w:tcW w:w="2888" w:type="dxa"/>
          </w:tcPr>
          <w:p>
            <w:pPr>
              <w:pStyle w:val="Compact"/>
            </w:pPr>
            <w:r>
              <w:t xml:space="preserve">Classificar risco genômico alto ou baixo, inclusive em decisões de quimioterapia quando risco clínico e genômico divergem.</w:t>
            </w:r>
          </w:p>
        </w:tc>
      </w:tr>
      <w:tr>
        <w:tc>
          <w:tcPr>
            <w:tcW w:w="3091" w:type="dxa"/>
          </w:tcPr>
          <w:p>
            <w:pPr>
              <w:pStyle w:val="Compact"/>
            </w:pPr>
            <w:r>
              <w:t xml:space="preserve">PAM50/</w:t>
            </w:r>
            <w:r>
              <w:rPr>
                <w:i/>
                <w:iCs/>
              </w:rPr>
              <w:t xml:space="preserve">Prosigna</w:t>
            </w:r>
          </w:p>
        </w:tc>
        <w:tc>
          <w:tcPr>
            <w:tcW w:w="3091" w:type="dxa"/>
          </w:tcPr>
          <w:p>
            <w:pPr>
              <w:pStyle w:val="Compact"/>
            </w:pPr>
            <w:r>
              <w:t xml:space="preserve">PAM50 em NanoString nCounter; 50 genes</w:t>
            </w:r>
          </w:p>
        </w:tc>
        <w:tc>
          <w:tcPr>
            <w:tcW w:w="2888" w:type="dxa"/>
          </w:tcPr>
          <w:p>
            <w:pPr>
              <w:pStyle w:val="Compact"/>
            </w:pPr>
            <w:r>
              <w:t xml:space="preserve">Atribuir subtipo intrínseco e estimar risco de recorrência por ROR, sobretudo em doença RE+/HER2- inicial.</w:t>
            </w:r>
          </w:p>
        </w:tc>
      </w:tr>
      <w:tr>
        <w:tc>
          <w:tcPr>
            <w:tcW w:w="3091" w:type="dxa"/>
          </w:tcPr>
          <w:p>
            <w:pPr>
              <w:pStyle w:val="Compact"/>
            </w:pPr>
            <w:r>
              <w:rPr>
                <w:i/>
                <w:iCs/>
              </w:rPr>
              <w:t xml:space="preserve">EndoPredict</w:t>
            </w:r>
          </w:p>
        </w:tc>
        <w:tc>
          <w:tcPr>
            <w:tcW w:w="3091" w:type="dxa"/>
          </w:tcPr>
          <w:p>
            <w:pPr>
              <w:pStyle w:val="Compact"/>
            </w:pPr>
            <w:r>
              <w:t xml:space="preserve">RT-qPCR; 12 genes + tamanho tumoral e linfonodos no EPclin</w:t>
            </w:r>
          </w:p>
        </w:tc>
        <w:tc>
          <w:tcPr>
            <w:tcW w:w="2888" w:type="dxa"/>
          </w:tcPr>
          <w:p>
            <w:pPr>
              <w:pStyle w:val="Compact"/>
            </w:pPr>
            <w:r>
              <w:t xml:space="preserve">Estimar risco de recorrência distante, incluindo risco tardio, em doença RE+/HER2-.</w:t>
            </w:r>
          </w:p>
        </w:tc>
      </w:tr>
      <w:tr>
        <w:tc>
          <w:tcPr>
            <w:tcW w:w="3091" w:type="dxa"/>
          </w:tcPr>
          <w:p>
            <w:pPr>
              <w:pStyle w:val="Compact"/>
            </w:pPr>
            <w:r>
              <w:t xml:space="preserve">Breast Cancer Index</w:t>
            </w:r>
          </w:p>
        </w:tc>
        <w:tc>
          <w:tcPr>
            <w:tcW w:w="3091" w:type="dxa"/>
          </w:tcPr>
          <w:p>
            <w:pPr>
              <w:pStyle w:val="Compact"/>
            </w:pPr>
            <w:r>
              <w:t xml:space="preserve">Expressão de HOXB13/IL17BR + módulo de proliferação</w:t>
            </w:r>
          </w:p>
        </w:tc>
        <w:tc>
          <w:tcPr>
            <w:tcW w:w="2888" w:type="dxa"/>
          </w:tcPr>
          <w:p>
            <w:pPr>
              <w:pStyle w:val="Compact"/>
            </w:pPr>
            <w:r>
              <w:t xml:space="preserve">Estimar risco tardio e apoiar decisão sobre extensão de hormonioterapia além de cinco anos.</w:t>
            </w:r>
          </w:p>
        </w:tc>
      </w:tr>
      <w:tr>
        <w:tc>
          <w:tcPr>
            <w:tcW w:w="3091" w:type="dxa"/>
          </w:tcPr>
          <w:p>
            <w:pPr>
              <w:pStyle w:val="Compact"/>
            </w:pPr>
            <w:r>
              <w:t xml:space="preserve">CorePAM</w:t>
            </w:r>
          </w:p>
        </w:tc>
        <w:tc>
          <w:tcPr>
            <w:tcW w:w="3091" w:type="dxa"/>
          </w:tcPr>
          <w:p>
            <w:pPr>
              <w:pStyle w:val="Compact"/>
            </w:pPr>
            <w:r>
              <w:t xml:space="preserve">Escore investigacional de 24 genes derivados do PAM50</w:t>
            </w:r>
          </w:p>
        </w:tc>
        <w:tc>
          <w:tcPr>
            <w:tcW w:w="2888" w:type="dxa"/>
          </w:tcPr>
          <w:p>
            <w:pPr>
              <w:pStyle w:val="Compact"/>
            </w:pPr>
            <w:r>
              <w:t xml:space="preserve">Testar se parte menor do PAM50 preserva informação prognóstica e pode facilitar ensaios futuros mais acessíveis.</w:t>
            </w:r>
          </w:p>
        </w:tc>
      </w:tr>
    </w:tbl>
    <w:p>
      <w:pPr>
        <w:pStyle w:val="BodyText"/>
      </w:pPr>
      <w:r>
        <w:t xml:space="preserve">A transportabilidade entre plataformas é importante porque um escore clinicamente útil deve medir biologia tumoral, não apenas peculiaridades da máquina que gerou os dados. Se um modelo funciona apenas no equipamento em que foi criado, ele pode estar capturando ruído técnico, tipo de sonda, escala de leitura ou processamento computacional, e não risco real da paciente. Por isso, validar um escore em</w:t>
      </w:r>
      <w:r>
        <w:t xml:space="preserve"> </w:t>
      </w:r>
      <w:r>
        <w:rPr>
          <w:i/>
          <w:iCs/>
        </w:rPr>
        <w:t xml:space="preserve">RNA-seq</w:t>
      </w:r>
      <w:r>
        <w:t xml:space="preserve">,</w:t>
      </w:r>
      <w:r>
        <w:t xml:space="preserve"> </w:t>
      </w:r>
      <w:r>
        <w:rPr>
          <w:i/>
          <w:iCs/>
        </w:rPr>
        <w:t xml:space="preserve">microarray</w:t>
      </w:r>
      <w:r>
        <w:t xml:space="preserve"> </w:t>
      </w:r>
      <w:r>
        <w:rPr>
          <w:i/>
          <w:iCs/>
        </w:rPr>
        <w:t xml:space="preserve">Illumina</w:t>
      </w:r>
      <w:r>
        <w:t xml:space="preserve"> </w:t>
      </w:r>
      <w:r>
        <w:t xml:space="preserve">e</w:t>
      </w:r>
      <w:r>
        <w:t xml:space="preserve"> </w:t>
      </w:r>
      <w:r>
        <w:rPr>
          <w:i/>
          <w:iCs/>
        </w:rPr>
        <w:t xml:space="preserve">microarray</w:t>
      </w:r>
      <w:r>
        <w:t xml:space="preserve"> </w:t>
      </w:r>
      <w:r>
        <w:rPr>
          <w:i/>
          <w:iCs/>
        </w:rPr>
        <w:t xml:space="preserve">Affymetrix</w:t>
      </w:r>
      <w:r>
        <w:t xml:space="preserve"> </w:t>
      </w:r>
      <w:r>
        <w:t xml:space="preserve">é um teste mais exigente do que validá-lo apenas em uma coorte parecida com a de treinamento. Neste trabalho, a normalização por</w:t>
      </w:r>
      <w:r>
        <w:t xml:space="preserve"> </w:t>
      </w:r>
      <w:r>
        <w:rPr>
          <w:i/>
          <w:iCs/>
        </w:rPr>
        <w:t xml:space="preserve">z-score</w:t>
      </w:r>
      <w:r>
        <w:t xml:space="preserve">, descrita em detalhe no capítulo de Metodologia, foi escolhida justamente para converter leituras absolutas diferentes em unidades relativas comparáveis. A escolha tem limites e alternativas, como ComBat ou parâmetros congelados, mas a pergunta central permanece clínica: o sinal prognóstico sobrevive quando mudam laboratório, população, plataforma e escala de medição?</w:t>
      </w:r>
      <w:r>
        <w:rPr>
          <w:vertAlign w:val="superscript"/>
        </w:rPr>
        <w:t xml:space="preserve">34–36</w:t>
      </w:r>
      <w:r>
        <w:t xml:space="preserve">.</w:t>
      </w:r>
    </w:p>
    <w:bookmarkEnd w:id="46"/>
    <w:bookmarkStart w:id="49"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Quando se cria uma assinatura gênica, a pergunta nunca é apenas se ela funciona no conjunto em que nasceu. Isso quase sempre é possível, porque o modelo aprendeu naquele ambiente. A pergunta real é mais exigente:</w:t>
      </w:r>
      <w:r>
        <w:t xml:space="preserve"> </w:t>
      </w:r>
      <w:r>
        <w:rPr>
          <w:b/>
          <w:bCs/>
        </w:rPr>
        <w:t xml:space="preserve">o sinal continua existindo quando mudam as pacientes, o laboratório, a plataforma, o tempo de seguimento e o desfecho?</w:t>
      </w:r>
      <w:r>
        <w:t xml:space="preserve"> </w:t>
      </w:r>
      <w:r>
        <w:t xml:space="preserve">Por isso, as coortes foram selecionadas como uma sequência de testes de estresse. Primeiro, uma coorte grande e moderna para derivar o escore; depois, coortes externas para saber se o escore viaja para outras tecnologias e populações; por fim, coortes neoadjuvantes para perguntar se a informação prognóstica também se relaciona com resposta à quimioterapia.</w:t>
      </w:r>
    </w:p>
    <w:p>
      <w:pPr>
        <w:jc w:val="left"/>
        <w:spacing w:before="200"/>
        <w:pStyle w:val="ImageCaption"/>
      </w:pPr>
      <w:bookmarkStart w:id="47" w:name="tbl-blocos-coortes"/>
      <w:r>
        <w:t xml:space="preserve">Tabela 1 — Mapa dos blocos de coortes e das perguntas metodológicas do estudo</w:t>
      </w:r>
    </w:p>
    <w:tbl>
      <w:tblPr>
        <w:tblStyle w:val="Table"/>
        <w:tblW w:type="dxa" w:w="9070"/>
        <w:tblLayout w:type="fixed"/>
        <w:tblLook w:firstRow="1" w:lastRow="0" w:firstColumn="0" w:lastColumn="0" w:noHBand="0" w:noVBand="0" w:val="0020"/>
      </w:tblPr>
      <w:tblGrid>
        <w:gridCol w:w="2302"/>
        <w:gridCol w:w="2149"/>
        <w:gridCol w:w="2467"/>
        <w:gridCol w:w="2152"/>
      </w:tblGrid>
      <w:tr>
        <w:trPr>
          <w:tblHeader w:val="on"/>
        </w:trPr>
        <w:tc>
          <w:tcPr>
            <w:tcW w:w="2302" w:type="dxa"/>
          </w:tcPr>
          <w:p>
            <w:pPr>
              <w:pStyle w:val="Compact"/>
              <w:jc w:val="center"/>
            </w:pPr>
            <w:r>
              <w:t xml:space="preserve">Bloco analítico</w:t>
            </w:r>
          </w:p>
        </w:tc>
        <w:tc>
          <w:tcPr>
            <w:tcW w:w="2149" w:type="dxa"/>
          </w:tcPr>
          <w:p>
            <w:pPr>
              <w:pStyle w:val="Compact"/>
              <w:jc w:val="center"/>
            </w:pPr>
            <w:r>
              <w:t xml:space="preserve">Coortes incluídas</w:t>
            </w:r>
          </w:p>
        </w:tc>
        <w:tc>
          <w:tcPr>
            <w:tcW w:w="2467" w:type="dxa"/>
          </w:tcPr>
          <w:p>
            <w:pPr>
              <w:pStyle w:val="Compact"/>
              <w:jc w:val="center"/>
            </w:pPr>
            <w:r>
              <w:t xml:space="preserve">Pergunta que o bloco responde</w:t>
            </w:r>
          </w:p>
        </w:tc>
        <w:tc>
          <w:tcPr>
            <w:tcW w:w="2152" w:type="dxa"/>
          </w:tcPr>
          <w:p>
            <w:pPr>
              <w:pStyle w:val="Compact"/>
              <w:jc w:val="center"/>
            </w:pPr>
            <w:r>
              <w:t xml:space="preserve">Por que é necessário</w:t>
            </w:r>
          </w:p>
        </w:tc>
      </w:tr>
      <w:tr>
        <w:tc>
          <w:tcPr>
            <w:tcW w:w="2302" w:type="dxa"/>
          </w:tcPr>
          <w:p>
            <w:pPr>
              <w:pStyle w:val="Compact"/>
              <w:jc w:val="center"/>
            </w:pPr>
            <w:r>
              <w:t xml:space="preserve">Derivação</w:t>
            </w:r>
          </w:p>
        </w:tc>
        <w:tc>
          <w:tcPr>
            <w:tcW w:w="2149" w:type="dxa"/>
          </w:tcPr>
          <w:p>
            <w:pPr>
              <w:pStyle w:val="Compact"/>
              <w:jc w:val="center"/>
            </w:pPr>
            <w:r>
              <w:t xml:space="preserve">SCAN-B</w:t>
            </w:r>
          </w:p>
        </w:tc>
        <w:tc>
          <w:tcPr>
            <w:tcW w:w="2467" w:type="dxa"/>
          </w:tcPr>
          <w:p>
            <w:pPr>
              <w:pStyle w:val="Compact"/>
              <w:jc w:val="center"/>
            </w:pPr>
            <w:r>
              <w:t xml:space="preserve">Quais genes e pesos formam o menor escore que preserva desempenho prognóstico?</w:t>
            </w:r>
          </w:p>
        </w:tc>
        <w:tc>
          <w:tcPr>
            <w:tcW w:w="2152" w:type="dxa"/>
          </w:tcPr>
          <w:p>
            <w:pPr>
              <w:pStyle w:val="Compact"/>
              <w:jc w:val="center"/>
            </w:pPr>
            <w:r>
              <w:t xml:space="preserve">É o ambiente de aprendizado. Deve ser grande, bem anotado e biologicamente rico.</w:t>
            </w:r>
          </w:p>
        </w:tc>
      </w:tr>
      <w:tr>
        <w:tc>
          <w:tcPr>
            <w:tcW w:w="2302" w:type="dxa"/>
          </w:tcPr>
          <w:p>
            <w:pPr>
              <w:pStyle w:val="Compact"/>
              <w:jc w:val="center"/>
            </w:pPr>
            <w:r>
              <w:t xml:space="preserve">Validação externa de sobrevida</w:t>
            </w:r>
          </w:p>
        </w:tc>
        <w:tc>
          <w:tcPr>
            <w:tcW w:w="2149" w:type="dxa"/>
          </w:tcPr>
          <w:p>
            <w:pPr>
              <w:pStyle w:val="Compact"/>
              <w:jc w:val="center"/>
            </w:pPr>
            <w:r>
              <w:t xml:space="preserve">TCGA-BRCA, METABRIC, GSE20685, GSE1456</w:t>
            </w:r>
          </w:p>
        </w:tc>
        <w:tc>
          <w:tcPr>
            <w:tcW w:w="2467" w:type="dxa"/>
          </w:tcPr>
          <w:p>
            <w:pPr>
              <w:pStyle w:val="Compact"/>
              <w:jc w:val="center"/>
            </w:pPr>
            <w:r>
              <w:t xml:space="preserve">O escore prediz desfecho fora da coorte em que foi criado?</w:t>
            </w:r>
          </w:p>
        </w:tc>
        <w:tc>
          <w:tcPr>
            <w:tcW w:w="2152" w:type="dxa"/>
          </w:tcPr>
          <w:p>
            <w:pPr>
              <w:pStyle w:val="Compact"/>
              <w:jc w:val="center"/>
            </w:pPr>
            <w:r>
              <w:t xml:space="preserve">Testa generalização clínica, populacional e tecnológica.</w:t>
            </w:r>
          </w:p>
        </w:tc>
      </w:tr>
      <w:tr>
        <w:tc>
          <w:tcPr>
            <w:tcW w:w="2302" w:type="dxa"/>
          </w:tcPr>
          <w:p>
            <w:pPr>
              <w:pStyle w:val="Compact"/>
              <w:jc w:val="center"/>
            </w:pPr>
            <w:r>
              <w:t xml:space="preserve">Validação</w:t>
            </w:r>
            <w:r>
              <w:t xml:space="preserve"> </w:t>
            </w:r>
            <w:r>
              <w:rPr>
                <w:i/>
                <w:iCs/>
              </w:rPr>
              <w:t xml:space="preserve">cross-plataforma</w:t>
            </w:r>
          </w:p>
        </w:tc>
        <w:tc>
          <w:tcPr>
            <w:tcW w:w="2149" w:type="dxa"/>
          </w:tcPr>
          <w:p>
            <w:pPr>
              <w:pStyle w:val="Compact"/>
              <w:jc w:val="center"/>
            </w:pPr>
            <w:r>
              <w:t xml:space="preserve">RNA-seq, microarray Illumina, microarray Affymetrix</w:t>
            </w:r>
          </w:p>
        </w:tc>
        <w:tc>
          <w:tcPr>
            <w:tcW w:w="2467" w:type="dxa"/>
          </w:tcPr>
          <w:p>
            <w:pPr>
              <w:pStyle w:val="Compact"/>
              <w:jc w:val="center"/>
            </w:pPr>
            <w:r>
              <w:t xml:space="preserve">O escore mede biologia tumoral ou apenas particularidades da plataforma?</w:t>
            </w:r>
          </w:p>
        </w:tc>
        <w:tc>
          <w:tcPr>
            <w:tcW w:w="2152" w:type="dxa"/>
          </w:tcPr>
          <w:p>
            <w:pPr>
              <w:pStyle w:val="Compact"/>
              <w:jc w:val="center"/>
            </w:pPr>
            <w:r>
              <w:t xml:space="preserve">Um teste útil precisa sobreviver a diferenças de escala, sonda e processamento.</w:t>
            </w:r>
          </w:p>
        </w:tc>
      </w:tr>
      <w:tr>
        <w:tc>
          <w:tcPr>
            <w:tcW w:w="2302" w:type="dxa"/>
          </w:tcPr>
          <w:p>
            <w:pPr>
              <w:pStyle w:val="Compact"/>
              <w:jc w:val="center"/>
            </w:pPr>
            <w:r>
              <w:t xml:space="preserve">Análise secundária de pCR</w:t>
            </w:r>
          </w:p>
        </w:tc>
        <w:tc>
          <w:tcPr>
            <w:tcW w:w="2149" w:type="dxa"/>
          </w:tcPr>
          <w:p>
            <w:pPr>
              <w:pStyle w:val="Compact"/>
              <w:jc w:val="center"/>
            </w:pPr>
            <w:r>
              <w:t xml:space="preserve">GSE25066, GSE20194, GSE32646, I-SPY1, I-SPY2</w:t>
            </w:r>
          </w:p>
        </w:tc>
        <w:tc>
          <w:tcPr>
            <w:tcW w:w="2467" w:type="dxa"/>
          </w:tcPr>
          <w:p>
            <w:pPr>
              <w:pStyle w:val="Compact"/>
              <w:jc w:val="center"/>
            </w:pPr>
            <w:r>
              <w:t xml:space="preserve">Um escore derivado para prognóstico também captura quimiossensibilidade?</w:t>
            </w:r>
          </w:p>
        </w:tc>
        <w:tc>
          <w:tcPr>
            <w:tcW w:w="2152" w:type="dxa"/>
          </w:tcPr>
          <w:p>
            <w:pPr>
              <w:pStyle w:val="Compact"/>
              <w:jc w:val="center"/>
            </w:pPr>
            <w:r>
              <w:t xml:space="preserve">Tumores mais proliferativos podem ser mais agressivos e, ao mesmo tempo, mais sensíveis à quimioterapia.</w:t>
            </w:r>
          </w:p>
        </w:tc>
      </w:tr>
    </w:tbl>
    <w:bookmarkEnd w:id="47"/>
    <w:p/>
    <w:p>
      <w:pPr>
        <w:pStyle w:val="BodyText"/>
      </w:pPr>
      <w:r>
        <w:t xml:space="preserve">No</w:t>
      </w:r>
      <w:r>
        <w:t xml:space="preserve"> </w:t>
      </w:r>
      <w:r>
        <w:rPr>
          <w:b/>
          <w:bCs/>
        </w:rPr>
        <w:t xml:space="preserve">bloco de sobrevida</w:t>
      </w:r>
      <w:r>
        <w:t xml:space="preserve">, a coorte de treinamento é a SCAN-B (GSE96058, N = 3 069)</w:t>
      </w:r>
      <w:r>
        <w:rPr>
          <w:vertAlign w:val="superscript"/>
        </w:rPr>
        <w:t xml:space="preserve">37,38</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39</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rPr>
          <w:vertAlign w:val="superscript"/>
        </w:rP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40</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41</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42</w:t>
      </w:r>
      <w:r>
        <w:t xml:space="preserve">, GSE20194</w:t>
      </w:r>
      <w:r>
        <w:rPr>
          <w:vertAlign w:val="superscript"/>
        </w:rPr>
        <w:t xml:space="preserve">34</w:t>
      </w:r>
      <w:r>
        <w:t xml:space="preserve">, GSE32646</w:t>
      </w:r>
      <w:r>
        <w:rPr>
          <w:vertAlign w:val="superscript"/>
        </w:rPr>
        <w:t xml:space="preserve">43</w:t>
      </w:r>
      <w:r>
        <w:t xml:space="preserve">, I-SPY1</w:t>
      </w:r>
      <w:r>
        <w:rPr>
          <w:vertAlign w:val="superscript"/>
        </w:rPr>
        <w:t xml:space="preserve">44</w:t>
      </w:r>
      <w:r>
        <w:t xml:space="preserve">) e uma coorte exploratória (I-SPY2, N = 986)</w:t>
      </w:r>
      <w:r>
        <w:rPr>
          <w:vertAlign w:val="superscript"/>
        </w:rPr>
        <w:t xml:space="preserve">45</w:t>
      </w:r>
      <w:r>
        <w:t xml:space="preserve"> </w:t>
      </w:r>
      <w:r>
        <w:t xml:space="preserve">adiciona poder estatístico em uma população neoadjuvante contemporânea.</w:t>
      </w:r>
    </w:p>
    <w:p>
      <w:pPr>
        <w:jc w:val="left"/>
        <w:spacing w:before="200"/>
        <w:pStyle w:val="ImageCaption"/>
      </w:pPr>
      <w:bookmarkStart w:id="48" w:name="tbl-papel-coortes"/>
      <w:r>
        <w:t xml:space="preserve">Tabela 2 — Papel de cada coorte na construção e validação do CorePAM</w:t>
      </w:r>
    </w:p>
    <w:tbl>
      <w:tblPr>
        <w:tblStyle w:val="Table"/>
        <w:tblW w:type="dxa" w:w="9070"/>
        <w:tblLayout w:type="fixed"/>
        <w:tblLook w:firstRow="1" w:lastRow="0" w:firstColumn="0" w:lastColumn="0" w:noHBand="0" w:noVBand="0" w:val="0020"/>
      </w:tblPr>
      <w:tblGrid>
        <w:gridCol w:w="1600"/>
        <w:gridCol w:w="2481"/>
        <w:gridCol w:w="2481"/>
        <w:gridCol w:w="2508"/>
      </w:tblGrid>
      <w:tr>
        <w:trPr>
          <w:tblHeader w:val="on"/>
        </w:trPr>
        <w:tc>
          <w:tcPr>
            <w:tcW w:w="1600" w:type="dxa"/>
          </w:tcPr>
          <w:p>
            <w:pPr>
              <w:pStyle w:val="Compact"/>
              <w:jc w:val="center"/>
            </w:pPr>
            <w:r>
              <w:t xml:space="preserve">Coorte</w:t>
            </w:r>
          </w:p>
        </w:tc>
        <w:tc>
          <w:tcPr>
            <w:tcW w:w="2481" w:type="dxa"/>
          </w:tcPr>
          <w:p>
            <w:pPr>
              <w:pStyle w:val="Compact"/>
              <w:jc w:val="center"/>
            </w:pPr>
            <w:r>
              <w:t xml:space="preserve">Plataforma e população</w:t>
            </w:r>
          </w:p>
        </w:tc>
        <w:tc>
          <w:tcPr>
            <w:tcW w:w="2481" w:type="dxa"/>
          </w:tcPr>
          <w:p>
            <w:pPr>
              <w:pStyle w:val="Compact"/>
              <w:jc w:val="center"/>
            </w:pPr>
            <w:r>
              <w:t xml:space="preserve">Papel no estudo</w:t>
            </w:r>
          </w:p>
        </w:tc>
        <w:tc>
          <w:tcPr>
            <w:tcW w:w="2508" w:type="dxa"/>
          </w:tcPr>
          <w:p>
            <w:pPr>
              <w:pStyle w:val="Compact"/>
              <w:jc w:val="center"/>
            </w:pPr>
            <w:r>
              <w:t xml:space="preserve">O que ela testa</w:t>
            </w:r>
          </w:p>
        </w:tc>
      </w:tr>
      <w:tr>
        <w:tc>
          <w:tcPr>
            <w:tcW w:w="1600" w:type="dxa"/>
          </w:tcPr>
          <w:p>
            <w:pPr>
              <w:pStyle w:val="Compact"/>
              <w:jc w:val="center"/>
            </w:pPr>
            <w:r>
              <w:t xml:space="preserve">SCAN-B</w:t>
            </w:r>
          </w:p>
        </w:tc>
        <w:tc>
          <w:tcPr>
            <w:tcW w:w="2481" w:type="dxa"/>
          </w:tcPr>
          <w:p>
            <w:pPr>
              <w:pStyle w:val="Compact"/>
              <w:jc w:val="center"/>
            </w:pPr>
            <w:r>
              <w:t xml:space="preserve">RNA-seq Illumina; coorte sueca prospectiva</w:t>
            </w:r>
          </w:p>
        </w:tc>
        <w:tc>
          <w:tcPr>
            <w:tcW w:w="2481" w:type="dxa"/>
          </w:tcPr>
          <w:p>
            <w:pPr>
              <w:pStyle w:val="Compact"/>
              <w:jc w:val="center"/>
            </w:pPr>
            <w:r>
              <w:t xml:space="preserve">Derivação</w:t>
            </w:r>
          </w:p>
        </w:tc>
        <w:tc>
          <w:tcPr>
            <w:tcW w:w="2508" w:type="dxa"/>
          </w:tcPr>
          <w:p>
            <w:pPr>
              <w:pStyle w:val="Compact"/>
              <w:jc w:val="center"/>
            </w:pPr>
            <w:r>
              <w:t xml:space="preserve">Escolha dos 24 genes, pesos do escore e limiar de não inferioridade.</w:t>
            </w:r>
          </w:p>
        </w:tc>
      </w:tr>
      <w:tr>
        <w:tc>
          <w:tcPr>
            <w:tcW w:w="1600" w:type="dxa"/>
          </w:tcPr>
          <w:p>
            <w:pPr>
              <w:pStyle w:val="Compact"/>
              <w:jc w:val="center"/>
            </w:pPr>
            <w:r>
              <w:t xml:space="preserve">TCGA-BRCA</w:t>
            </w:r>
          </w:p>
        </w:tc>
        <w:tc>
          <w:tcPr>
            <w:tcW w:w="2481" w:type="dxa"/>
          </w:tcPr>
          <w:p>
            <w:pPr>
              <w:pStyle w:val="Compact"/>
              <w:jc w:val="center"/>
            </w:pPr>
            <w:r>
              <w:t xml:space="preserve">RNA-seq STAR/GDC; consórcio norte-americano</w:t>
            </w:r>
          </w:p>
        </w:tc>
        <w:tc>
          <w:tcPr>
            <w:tcW w:w="2481" w:type="dxa"/>
          </w:tcPr>
          <w:p>
            <w:pPr>
              <w:pStyle w:val="Compact"/>
              <w:jc w:val="center"/>
            </w:pPr>
            <w:r>
              <w:t xml:space="preserve">Validação externa</w:t>
            </w:r>
          </w:p>
        </w:tc>
        <w:tc>
          <w:tcPr>
            <w:tcW w:w="2508" w:type="dxa"/>
          </w:tcPr>
          <w:p>
            <w:pPr>
              <w:pStyle w:val="Compact"/>
              <w:jc w:val="center"/>
            </w:pPr>
            <w:r>
              <w:t xml:space="preserve">Se o escore se mantém em outro RNA-seq, com outro processamento e seguimento mais curto.</w:t>
            </w:r>
          </w:p>
        </w:tc>
      </w:tr>
      <w:tr>
        <w:tc>
          <w:tcPr>
            <w:tcW w:w="1600" w:type="dxa"/>
          </w:tcPr>
          <w:p>
            <w:pPr>
              <w:pStyle w:val="Compact"/>
              <w:jc w:val="center"/>
            </w:pPr>
            <w:r>
              <w:t xml:space="preserve">METABRIC</w:t>
            </w:r>
          </w:p>
        </w:tc>
        <w:tc>
          <w:tcPr>
            <w:tcW w:w="2481" w:type="dxa"/>
          </w:tcPr>
          <w:p>
            <w:pPr>
              <w:pStyle w:val="Compact"/>
              <w:jc w:val="center"/>
            </w:pPr>
            <w:r>
              <w:t xml:space="preserve">Microarray Illumina; seguimento longo</w:t>
            </w:r>
          </w:p>
        </w:tc>
        <w:tc>
          <w:tcPr>
            <w:tcW w:w="2481" w:type="dxa"/>
          </w:tcPr>
          <w:p>
            <w:pPr>
              <w:pStyle w:val="Compact"/>
              <w:jc w:val="center"/>
            </w:pPr>
            <w:r>
              <w:t xml:space="preserve">Validação externa</w:t>
            </w:r>
          </w:p>
        </w:tc>
        <w:tc>
          <w:tcPr>
            <w:tcW w:w="2508" w:type="dxa"/>
          </w:tcPr>
          <w:p>
            <w:pPr>
              <w:pStyle w:val="Compact"/>
              <w:jc w:val="center"/>
            </w:pPr>
            <w:r>
              <w:t xml:space="preserve">Se o escore preserva sinal em microarray Illumina e em sobrevida doença-específica.</w:t>
            </w:r>
          </w:p>
        </w:tc>
      </w:tr>
      <w:tr>
        <w:tc>
          <w:tcPr>
            <w:tcW w:w="1600" w:type="dxa"/>
          </w:tcPr>
          <w:p>
            <w:pPr>
              <w:pStyle w:val="Compact"/>
              <w:jc w:val="center"/>
            </w:pPr>
            <w:r>
              <w:t xml:space="preserve">GSE20685</w:t>
            </w:r>
          </w:p>
        </w:tc>
        <w:tc>
          <w:tcPr>
            <w:tcW w:w="2481" w:type="dxa"/>
          </w:tcPr>
          <w:p>
            <w:pPr>
              <w:pStyle w:val="Compact"/>
              <w:jc w:val="center"/>
            </w:pPr>
            <w:r>
              <w:t xml:space="preserve">Microarray Affymetrix; população asiática</w:t>
            </w:r>
          </w:p>
        </w:tc>
        <w:tc>
          <w:tcPr>
            <w:tcW w:w="2481" w:type="dxa"/>
          </w:tcPr>
          <w:p>
            <w:pPr>
              <w:pStyle w:val="Compact"/>
              <w:jc w:val="center"/>
            </w:pPr>
            <w:r>
              <w:t xml:space="preserve">Validação externa</w:t>
            </w:r>
          </w:p>
        </w:tc>
        <w:tc>
          <w:tcPr>
            <w:tcW w:w="2508" w:type="dxa"/>
          </w:tcPr>
          <w:p>
            <w:pPr>
              <w:pStyle w:val="Compact"/>
              <w:jc w:val="center"/>
            </w:pPr>
            <w:r>
              <w:t xml:space="preserve">Se o escore resiste a população diferente e plataforma Affymetrix.</w:t>
            </w:r>
          </w:p>
        </w:tc>
      </w:tr>
      <w:tr>
        <w:tc>
          <w:tcPr>
            <w:tcW w:w="1600" w:type="dxa"/>
          </w:tcPr>
          <w:p>
            <w:pPr>
              <w:pStyle w:val="Compact"/>
              <w:jc w:val="center"/>
            </w:pPr>
            <w:r>
              <w:t xml:space="preserve">GSE1456</w:t>
            </w:r>
          </w:p>
        </w:tc>
        <w:tc>
          <w:tcPr>
            <w:tcW w:w="2481" w:type="dxa"/>
          </w:tcPr>
          <w:p>
            <w:pPr>
              <w:pStyle w:val="Compact"/>
              <w:jc w:val="center"/>
            </w:pPr>
            <w:r>
              <w:t xml:space="preserve">Microarray Affymetrix antigo; menor N</w:t>
            </w:r>
          </w:p>
        </w:tc>
        <w:tc>
          <w:tcPr>
            <w:tcW w:w="2481" w:type="dxa"/>
          </w:tcPr>
          <w:p>
            <w:pPr>
              <w:pStyle w:val="Compact"/>
              <w:jc w:val="center"/>
            </w:pPr>
            <w:r>
              <w:t xml:space="preserve">Validação externa difícil</w:t>
            </w:r>
          </w:p>
        </w:tc>
        <w:tc>
          <w:tcPr>
            <w:tcW w:w="2508" w:type="dxa"/>
          </w:tcPr>
          <w:p>
            <w:pPr>
              <w:pStyle w:val="Compact"/>
              <w:jc w:val="center"/>
            </w:pPr>
            <w:r>
              <w:t xml:space="preserve">Se o escore ainda funciona com menor tamanho amostral e cobertura gênica parcial.</w:t>
            </w:r>
          </w:p>
        </w:tc>
      </w:tr>
      <w:tr>
        <w:tc>
          <w:tcPr>
            <w:tcW w:w="1600" w:type="dxa"/>
          </w:tcPr>
          <w:p>
            <w:pPr>
              <w:pStyle w:val="Compact"/>
              <w:jc w:val="center"/>
            </w:pPr>
            <w:r>
              <w:t xml:space="preserve">GSE25066</w:t>
            </w:r>
          </w:p>
        </w:tc>
        <w:tc>
          <w:tcPr>
            <w:tcW w:w="2481" w:type="dxa"/>
          </w:tcPr>
          <w:p>
            <w:pPr>
              <w:pStyle w:val="Compact"/>
              <w:jc w:val="center"/>
            </w:pPr>
            <w:r>
              <w:t xml:space="preserve">Microarray; tratamento neoadjuvante</w:t>
            </w:r>
          </w:p>
        </w:tc>
        <w:tc>
          <w:tcPr>
            <w:tcW w:w="2481" w:type="dxa"/>
          </w:tcPr>
          <w:p>
            <w:pPr>
              <w:pStyle w:val="Compact"/>
              <w:jc w:val="center"/>
            </w:pPr>
            <w:r>
              <w:t xml:space="preserve">pCR primária</w:t>
            </w:r>
          </w:p>
        </w:tc>
        <w:tc>
          <w:tcPr>
            <w:tcW w:w="2508" w:type="dxa"/>
          </w:tcPr>
          <w:p>
            <w:pPr>
              <w:pStyle w:val="Compact"/>
              <w:jc w:val="center"/>
            </w:pPr>
            <w:r>
              <w:t xml:space="preserve">Relação entre escore e resposta patológica completa à quimioterapia.</w:t>
            </w:r>
          </w:p>
        </w:tc>
      </w:tr>
      <w:tr>
        <w:tc>
          <w:tcPr>
            <w:tcW w:w="1600" w:type="dxa"/>
          </w:tcPr>
          <w:p>
            <w:pPr>
              <w:pStyle w:val="Compact"/>
              <w:jc w:val="center"/>
            </w:pPr>
            <w:r>
              <w:t xml:space="preserve">GSE20194</w:t>
            </w:r>
          </w:p>
        </w:tc>
        <w:tc>
          <w:tcPr>
            <w:tcW w:w="2481" w:type="dxa"/>
          </w:tcPr>
          <w:p>
            <w:pPr>
              <w:pStyle w:val="Compact"/>
              <w:jc w:val="center"/>
            </w:pPr>
            <w:r>
              <w:t xml:space="preserve">Microarray; MAQC-II</w:t>
            </w:r>
          </w:p>
        </w:tc>
        <w:tc>
          <w:tcPr>
            <w:tcW w:w="2481" w:type="dxa"/>
          </w:tcPr>
          <w:p>
            <w:pPr>
              <w:pStyle w:val="Compact"/>
              <w:jc w:val="center"/>
            </w:pPr>
            <w:r>
              <w:t xml:space="preserve">pCR primária</w:t>
            </w:r>
          </w:p>
        </w:tc>
        <w:tc>
          <w:tcPr>
            <w:tcW w:w="2508" w:type="dxa"/>
          </w:tcPr>
          <w:p>
            <w:pPr>
              <w:pStyle w:val="Compact"/>
              <w:jc w:val="center"/>
            </w:pPr>
            <w:r>
              <w:t xml:space="preserve">Reprodutibilidade em coorte usada para avaliação de modelos preditivos.</w:t>
            </w:r>
          </w:p>
        </w:tc>
      </w:tr>
      <w:tr>
        <w:tc>
          <w:tcPr>
            <w:tcW w:w="1600" w:type="dxa"/>
          </w:tcPr>
          <w:p>
            <w:pPr>
              <w:pStyle w:val="Compact"/>
              <w:jc w:val="center"/>
            </w:pPr>
            <w:r>
              <w:t xml:space="preserve">GSE32646</w:t>
            </w:r>
          </w:p>
        </w:tc>
        <w:tc>
          <w:tcPr>
            <w:tcW w:w="2481" w:type="dxa"/>
          </w:tcPr>
          <w:p>
            <w:pPr>
              <w:pStyle w:val="Compact"/>
              <w:jc w:val="center"/>
            </w:pPr>
            <w:r>
              <w:t xml:space="preserve">Microarray; neoadjuvância</w:t>
            </w:r>
          </w:p>
        </w:tc>
        <w:tc>
          <w:tcPr>
            <w:tcW w:w="2481" w:type="dxa"/>
          </w:tcPr>
          <w:p>
            <w:pPr>
              <w:pStyle w:val="Compact"/>
              <w:jc w:val="center"/>
            </w:pPr>
            <w:r>
              <w:t xml:space="preserve">pCR primária</w:t>
            </w:r>
          </w:p>
        </w:tc>
        <w:tc>
          <w:tcPr>
            <w:tcW w:w="2508" w:type="dxa"/>
          </w:tcPr>
          <w:p>
            <w:pPr>
              <w:pStyle w:val="Compact"/>
              <w:jc w:val="center"/>
            </w:pPr>
            <w:r>
              <w:t xml:space="preserve">Consistência do sinal de quimiossensibilidade em outra série independente.</w:t>
            </w:r>
          </w:p>
        </w:tc>
      </w:tr>
      <w:tr>
        <w:tc>
          <w:tcPr>
            <w:tcW w:w="1600" w:type="dxa"/>
          </w:tcPr>
          <w:p>
            <w:pPr>
              <w:pStyle w:val="Compact"/>
              <w:jc w:val="center"/>
            </w:pPr>
            <w:r>
              <w:t xml:space="preserve">I-SPY1</w:t>
            </w:r>
          </w:p>
        </w:tc>
        <w:tc>
          <w:tcPr>
            <w:tcW w:w="2481" w:type="dxa"/>
          </w:tcPr>
          <w:p>
            <w:pPr>
              <w:pStyle w:val="Compact"/>
              <w:jc w:val="center"/>
            </w:pPr>
            <w:r>
              <w:t xml:space="preserve">Microarray Agilent; ensaio neoadjuvante</w:t>
            </w:r>
          </w:p>
        </w:tc>
        <w:tc>
          <w:tcPr>
            <w:tcW w:w="2481" w:type="dxa"/>
          </w:tcPr>
          <w:p>
            <w:pPr>
              <w:pStyle w:val="Compact"/>
              <w:jc w:val="center"/>
            </w:pPr>
            <w:r>
              <w:t xml:space="preserve">pCR primária</w:t>
            </w:r>
          </w:p>
        </w:tc>
        <w:tc>
          <w:tcPr>
            <w:tcW w:w="2508" w:type="dxa"/>
          </w:tcPr>
          <w:p>
            <w:pPr>
              <w:pStyle w:val="Compact"/>
              <w:jc w:val="center"/>
            </w:pPr>
            <w:r>
              <w:t xml:space="preserve">Desempenho em contexto prospectivo de terapia neoadjuvante.</w:t>
            </w:r>
          </w:p>
        </w:tc>
      </w:tr>
      <w:tr>
        <w:tc>
          <w:tcPr>
            <w:tcW w:w="1600" w:type="dxa"/>
          </w:tcPr>
          <w:p>
            <w:pPr>
              <w:pStyle w:val="Compact"/>
              <w:jc w:val="center"/>
            </w:pPr>
            <w:r>
              <w:t xml:space="preserve">I-SPY2</w:t>
            </w:r>
          </w:p>
        </w:tc>
        <w:tc>
          <w:tcPr>
            <w:tcW w:w="2481" w:type="dxa"/>
          </w:tcPr>
          <w:p>
            <w:pPr>
              <w:pStyle w:val="Compact"/>
              <w:jc w:val="center"/>
            </w:pPr>
            <w:r>
              <w:t xml:space="preserve">RNA-seq; ensaio adaptativo contemporâneo</w:t>
            </w:r>
          </w:p>
        </w:tc>
        <w:tc>
          <w:tcPr>
            <w:tcW w:w="2481" w:type="dxa"/>
          </w:tcPr>
          <w:p>
            <w:pPr>
              <w:pStyle w:val="Compact"/>
              <w:jc w:val="center"/>
            </w:pPr>
            <w:r>
              <w:t xml:space="preserve">pCR exploratória</w:t>
            </w:r>
          </w:p>
        </w:tc>
        <w:tc>
          <w:tcPr>
            <w:tcW w:w="2508" w:type="dxa"/>
          </w:tcPr>
          <w:p>
            <w:pPr>
              <w:pStyle w:val="Compact"/>
              <w:jc w:val="center"/>
            </w:pPr>
            <w:r>
              <w:t xml:space="preserve">Se o achado se mantém em coorte moderna e maior, sem substituir as análises primárias.</w:t>
            </w:r>
          </w:p>
        </w:tc>
      </w:tr>
    </w:tbl>
    <w:bookmarkEnd w:id="48"/>
    <w:p/>
    <w:bookmarkEnd w:id="49"/>
    <w:bookmarkStart w:id="50"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e avaliada secundariamente como preditor de resposta patológica completa à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bookmarkEnd w:id="50"/>
    <w:bookmarkEnd w:id="51"/>
    <w:bookmarkStart w:id="54" w:name="objetivos"/>
    <w:p>
      <w:pPr>
        <w:pageBreakBefore/>
        <w:pStyle w:val="Heading1"/>
      </w:pPr>
      <w:r>
        <w:t xml:space="preserve">2. OBJETIVOS</w:t>
      </w:r>
    </w:p>
    <w:bookmarkStart w:id="52"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52"/>
    <w:bookmarkStart w:id="53"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bookmarkEnd w:id="53"/>
    <w:bookmarkEnd w:id="54"/>
    <w:bookmarkStart w:id="102" w:name="método"/>
    <w:p>
      <w:pPr>
        <w:pageBreakBefore/>
        <w:pStyle w:val="Heading1"/>
      </w:pPr>
      <w:r>
        <w:t xml:space="preserve">3. MÉTODO</w:t>
      </w:r>
    </w:p>
    <w:bookmarkStart w:id="64" w:name="delineamento-do-estudo-e-aspectos-éticos"/>
    <w:p>
      <w:pPr>
        <w:pStyle w:val="Heading2"/>
      </w:pPr>
      <w:r>
        <w:t xml:space="preserve">3.1 Delineamento do estudo e aspectos éticos</w:t>
      </w:r>
    </w:p>
    <w:bookmarkStart w:id="59"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rPr>
          <w:vertAlign w:val="superscript"/>
        </w:rP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hiperparâmetros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color w:val="0563C1"/>
            <w:u w:val="single"/>
          </w:rPr>
          <w:t xml:space="preserve">Figura 4</w:t>
        </w:r>
      </w:hyperlink>
      <w:r>
        <w:t xml:space="preserve"> </w:t>
      </w:r>
      <w:r>
        <w:t xml:space="preserve">apresenta o desenho do estudo.</w:t>
      </w:r>
    </w:p>
    <w:p>
      <w:pPr>
        <w:pStyle w:val="Compact"/>
        <w:jc w:val="center"/>
      </w:pPr>
      <w:bookmarkStart w:id="58" w:name="fig-study-design"/>
      <w:r>
        <w:drawing>
          <wp:inline>
            <wp:extent cx="5687999" cy="4159880"/>
            <wp:effectExtent b="0" l="0" r="0" t="0"/>
            <wp:docPr descr="" title="" id="56" name="Picture"/>
            <a:graphic>
              <a:graphicData uri="http://schemas.openxmlformats.org/drawingml/2006/picture">
                <pic:pic>
                  <pic:nvPicPr>
                    <pic:cNvPr descr="../figures/main/pt/png/Fig1_StudyDesign_PT.png" id="57" name="Picture"/>
                    <pic:cNvPicPr>
                      <a:picLocks noChangeArrowheads="1" noChangeAspect="1"/>
                    </pic:cNvPicPr>
                  </pic:nvPicPr>
                  <pic:blipFill>
                    <a:blip r:embed="rId55"/>
                    <a:stretch>
                      <a:fillRect/>
                    </a:stretch>
                  </pic:blipFill>
                  <pic:spPr bwMode="auto">
                    <a:xfrm>
                      <a:off x="0" y="0"/>
                      <a:ext cx="5687999" cy="4159880"/>
                    </a:xfrm>
                    <a:prstGeom prst="rect">
                      <a:avLst/>
                    </a:prstGeom>
                    <a:noFill/>
                    <a:ln w="9525">
                      <a:noFill/>
                      <a:headEnd/>
                      <a:tailEnd/>
                    </a:ln>
                  </pic:spPr>
                </pic:pic>
              </a:graphicData>
            </a:graphic>
          </wp:inline>
        </w:drawing>
      </w:r>
    </w:p>
    <w:p>
      <w:pPr>
        <w:jc w:val="left"/>
        <w:spacing w:before="200"/>
        <w:pStyle w:val="ImageCaption"/>
      </w:pPr>
      <w:r>
        <w:t xml:space="preserve">Figura 4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8"/>
    <w:p>
      <w:pPr>
        <w:pStyle w:val="BodyText"/>
      </w:pPr>
      <w:r>
        <w:t xml:space="preserve">Na</w:t>
      </w:r>
      <w:r>
        <w:t xml:space="preserve"> </w:t>
      </w:r>
      <w:hyperlink w:anchor="fig-study-design">
        <w:r>
          <w:rPr>
            <w:rStyle w:val="Hyperlink"/>
            <w:color w:val="0563C1"/>
            <w:u w:val="single"/>
          </w:rPr>
          <w:t xml:space="preserve">Figura 4</w:t>
        </w:r>
      </w:hyperlink>
      <w:r>
        <w:t xml:space="preserve">, a leitura começa pelo primeiro quadro: a coorte SCAN-B entra como coorte de derivação. Ela é grande, moderna e medida por</w:t>
      </w:r>
      <w:r>
        <w:t xml:space="preserve"> </w:t>
      </w:r>
      <w:r>
        <w:rPr>
          <w:i/>
          <w:iCs/>
        </w:rPr>
        <w:t xml:space="preserve">RNA-seq</w:t>
      </w:r>
      <w:r>
        <w:t xml:space="preserve">, por isso funciona como um bom</w:t>
      </w:r>
      <w:r>
        <w:t xml:space="preserve"> </w:t>
      </w:r>
      <w:r>
        <w:t xml:space="preserve">“hospital-escola”</w:t>
      </w:r>
      <w:r>
        <w:t xml:space="preserve"> </w:t>
      </w:r>
      <w:r>
        <w:t xml:space="preserve">para o modelo: é ali que o CorePAM aprende quais genes carregar e que peso dar a cada um. O segundo bloco mostra a validação externa de sobrevida. Aqui a pergunta muda: os pesos aprendidos no SCAN-B são congelados e aplicados em TCGA-BRCA, METABRIC, GSE20685 e GSE1456. Essa etapa é análoga a testar uma conduta fora do centro onde ela foi criada. Se o escore só funcionasse no SCAN-B, seria apenas ajuste local; ao funcionar em coortes externas, ganha plausibilidade como sinal biológico. O terceiro bloco mostra as coortes de pCR. Elas não foram usadas para criar o escore, mas para fazer uma pergunta secundária: um escore prognóstico, ligado a agressividade e proliferação, também se associa à chance de resposta completa à quimioterapia? As setas da figura são importantes porque indicam direção única do fluxo: treino primeiro, validação depois, sem ida e volta.</w:t>
      </w:r>
    </w:p>
    <w:p>
      <w:pPr>
        <w:pStyle w:val="BodyText"/>
      </w:pPr>
      <w:r>
        <w:t xml:space="preserve">Mapa prático das análises:</w:t>
      </w:r>
    </w:p>
    <w:p>
      <w:pPr>
        <w:pStyle w:val="Compact"/>
        <w:numPr>
          <w:ilvl w:val="0"/>
          <w:numId w:val="1003"/>
        </w:numPr>
      </w:pPr>
      <w:r>
        <w:rPr>
          <w:b/>
          <w:bCs/>
        </w:rPr>
        <w:t xml:space="preserve">Selecionar genes:</w:t>
      </w:r>
      <w:r>
        <w:t xml:space="preserve"> </w:t>
      </w:r>
      <w:r>
        <w:t xml:space="preserve">regressão de Cox com penalização</w:t>
      </w:r>
      <w:r>
        <w:t xml:space="preserve"> </w:t>
      </w:r>
      <w:r>
        <w:rPr>
          <w:i/>
          <w:iCs/>
        </w:rPr>
        <w:t xml:space="preserve">elastic-net</w:t>
      </w:r>
      <w:r>
        <w:t xml:space="preserve">, porque o desfecho principal é tempo até evento e os genes do PAM50 são correlacionados entre si.</w:t>
      </w:r>
    </w:p>
    <w:p>
      <w:pPr>
        <w:pStyle w:val="Compact"/>
        <w:numPr>
          <w:ilvl w:val="0"/>
          <w:numId w:val="1003"/>
        </w:numPr>
      </w:pPr>
      <w:r>
        <w:rPr>
          <w:b/>
          <w:bCs/>
        </w:rPr>
        <w:t xml:space="preserve">Evitar otimismo:</w:t>
      </w:r>
      <w:r>
        <w:t xml:space="preserve"> </w:t>
      </w:r>
      <w:r>
        <w:t xml:space="preserve">validação cruzada</w:t>
      </w:r>
      <w:r>
        <w:t xml:space="preserve"> </w:t>
      </w:r>
      <w:r>
        <w:rPr>
          <w:i/>
          <w:iCs/>
        </w:rPr>
        <w:t xml:space="preserve">out-of-fold</w:t>
      </w:r>
      <w:r>
        <w:t xml:space="preserve">, porque cada paciente precisa ser avaliada por um modelo que não usou seus próprios dados no treino.</w:t>
      </w:r>
    </w:p>
    <w:p>
      <w:pPr>
        <w:pStyle w:val="Compact"/>
        <w:numPr>
          <w:ilvl w:val="0"/>
          <w:numId w:val="1003"/>
        </w:numPr>
      </w:pPr>
      <w:r>
        <w:rPr>
          <w:b/>
          <w:bCs/>
        </w:rPr>
        <w:t xml:space="preserve">Escolher o tamanho do escore:</w:t>
      </w:r>
      <w:r>
        <w:t xml:space="preserve"> </w:t>
      </w:r>
      <w:r>
        <w:t xml:space="preserve">margem de não inferioridade no</w:t>
      </w:r>
      <w:r>
        <w:t xml:space="preserve"> </w:t>
      </w:r>
      <w:r>
        <w:rPr>
          <w:i/>
          <w:iCs/>
        </w:rPr>
        <w:t xml:space="preserve">C-index</w:t>
      </w:r>
      <w:r>
        <w:t xml:space="preserve">, porque a pergunta não é</w:t>
      </w:r>
      <w:r>
        <w:t xml:space="preserve"> </w:t>
      </w:r>
      <w:r>
        <w:t xml:space="preserve">“qual modelo é numericamente máximo?”</w:t>
      </w:r>
      <w:r>
        <w:t xml:space="preserve">, mas</w:t>
      </w:r>
      <w:r>
        <w:t xml:space="preserve"> </w:t>
      </w:r>
      <w:r>
        <w:t xml:space="preserve">“qual é o menor modelo que praticamente não perde desempenho?”</w:t>
      </w:r>
      <w:r>
        <w:t xml:space="preserve">.</w:t>
      </w:r>
    </w:p>
    <w:p>
      <w:pPr>
        <w:pStyle w:val="Compact"/>
        <w:numPr>
          <w:ilvl w:val="0"/>
          <w:numId w:val="1003"/>
        </w:numPr>
      </w:pPr>
      <w:r>
        <w:rPr>
          <w:b/>
          <w:bCs/>
        </w:rPr>
        <w:t xml:space="preserve">Testar se generaliza:</w:t>
      </w:r>
      <w:r>
        <w:t xml:space="preserve"> </w:t>
      </w:r>
      <w:r>
        <w:t xml:space="preserve">validação externa em coortes de plataformas diferentes, porque um escore clinicamente útil precisa funcionar fora do ambiente em que foi criado.</w:t>
      </w:r>
    </w:p>
    <w:p>
      <w:pPr>
        <w:pStyle w:val="Compact"/>
        <w:numPr>
          <w:ilvl w:val="0"/>
          <w:numId w:val="1003"/>
        </w:numPr>
      </w:pPr>
      <w:r>
        <w:rPr>
          <w:b/>
          <w:bCs/>
        </w:rPr>
        <w:t xml:space="preserve">Medir utilidade clínica:</w:t>
      </w:r>
      <w:r>
        <w:t xml:space="preserve"> </w:t>
      </w:r>
      <w:r>
        <w:t xml:space="preserve">modelos de Cox, curvas de Kaplan-Meier,</w:t>
      </w:r>
      <w:r>
        <w:t xml:space="preserve"> </w:t>
      </w:r>
      <w:r>
        <w:rPr>
          <w:i/>
          <w:iCs/>
        </w:rPr>
        <w:t xml:space="preserve">C-index</w:t>
      </w:r>
      <w:r>
        <w:t xml:space="preserve">, calibração, curva de decisão e meta-análise, cada um respondendo a uma pergunta distinta: associação, visualização, discriminação, risco absoluto, benefício líquido e consistência entre coortes.</w:t>
      </w:r>
    </w:p>
    <w:p>
      <w:pPr>
        <w:pStyle w:val="FirstParagraph"/>
      </w:pPr>
      <w:r>
        <w:t xml:space="preserve">O desenho também exigiu decisões para contornar dificuldades previsíveis em estudos multicoorte. A primeira dificuldade foi evitar vazamento de informação: se as coortes externas influenciassem a escolha dos genes, a validação deixaria de ser externa. Por isso, genes, pesos e parâmetros centrais foram definidos no SCAN-B e congelados antes da aplicação nas demais coortes. A segunda dificuldade foi a heterogeneidade técnica:</w:t>
      </w:r>
      <w:r>
        <w:t xml:space="preserve"> </w:t>
      </w:r>
      <w:r>
        <w:rPr>
          <w:i/>
          <w:iCs/>
        </w:rPr>
        <w:t xml:space="preserve">RNA-seq</w:t>
      </w:r>
      <w:r>
        <w:t xml:space="preserve">,</w:t>
      </w:r>
      <w:r>
        <w:t xml:space="preserve"> </w:t>
      </w:r>
      <w:r>
        <w:rPr>
          <w:i/>
          <w:iCs/>
        </w:rPr>
        <w:t xml:space="preserve">Illumina microarray</w:t>
      </w:r>
      <w:r>
        <w:t xml:space="preserve"> </w:t>
      </w:r>
      <w:r>
        <w:t xml:space="preserve">e</w:t>
      </w:r>
      <w:r>
        <w:t xml:space="preserve"> </w:t>
      </w:r>
      <w:r>
        <w:rPr>
          <w:i/>
          <w:iCs/>
        </w:rPr>
        <w:t xml:space="preserve">Affymetrix microarray</w:t>
      </w:r>
      <w:r>
        <w:t xml:space="preserve"> </w:t>
      </w:r>
      <w:r>
        <w:t xml:space="preserve">não medem expressão na mesma escala. Para reduzir esse problema sem misturar matrizes, cada coorte foi normalizada separadamente por</w:t>
      </w:r>
      <w:r>
        <w:t xml:space="preserve"> </w:t>
      </w:r>
      <w:r>
        <w:rPr>
          <w:i/>
          <w:iCs/>
        </w:rPr>
        <w:t xml:space="preserve">z-score</w:t>
      </w:r>
      <w:r>
        <w:t xml:space="preserve">, permitindo comparar a posição relativa de cada tumor dentro da sua própria coorte.</w:t>
      </w:r>
    </w:p>
    <w:p>
      <w:pPr>
        <w:pStyle w:val="BodyText"/>
      </w:pPr>
      <w:r>
        <w:t xml:space="preserve">Uma terceira dificuldade foi a cobertura incompleta de genes em algumas plataformas. TCGA-BRCA não continha um dos 24 genes do CorePAM, e GSE1456 continha 21 dos 24. Excluir essas coortes reduziria a validade externa justamente nos cenários mais difíceis; imputar genes ausentes criaria informação artificial. A solução foi pré-especificar um limiar mínimo de cobertura e reescalar o escore pelo somatório dos pesos dos genes efetivamente presentes. A quarta dificuldade foi a diferença de desfechos e tempos de seguimento. METABRIC usa sobrevida doença-específica, enquanto as demais coortes de sobrevida usam sobrevida global; TCGA-BRCA tem seguimento mais curto. Por isso, as análises mantiveram os desfechos identificados, usaram meta-análise de efeitos aleatórios e encurtaram o horizonte de calibração da TCGA-BRCA para 24 meses.</w:t>
      </w:r>
    </w:p>
    <w:p>
      <w:pPr>
        <w:pStyle w:val="BodyText"/>
      </w:pPr>
      <w:r>
        <w:t xml:space="preserve">Por fim, havia dificuldade clínica e estatística no tamanho do escore. Escolher arbitrariamente</w:t>
      </w:r>
      <w:r>
        <w:t xml:space="preserve"> </w:t>
      </w:r>
      <w:r>
        <w:t xml:space="preserve">“10”</w:t>
      </w:r>
      <w:r>
        <w:t xml:space="preserve">,</w:t>
      </w:r>
      <w:r>
        <w:t xml:space="preserve"> </w:t>
      </w:r>
      <w:r>
        <w:t xml:space="preserve">“20”</w:t>
      </w:r>
      <w:r>
        <w:t xml:space="preserve"> </w:t>
      </w:r>
      <w:r>
        <w:t xml:space="preserve">ou</w:t>
      </w:r>
      <w:r>
        <w:t xml:space="preserve"> </w:t>
      </w:r>
      <w:r>
        <w:t xml:space="preserve">“30”</w:t>
      </w:r>
      <w:r>
        <w:t xml:space="preserve"> </w:t>
      </w:r>
      <w:r>
        <w:t xml:space="preserve">genes facilitaria a narrativa, mas introduziria preferência do pesquisador. O estudo contornou isso definindo previamente a margem de não inferioridade e deixando o número de genes emergir dos dados. Essa estratégia se aproxima da prática clínica: não se escolhe um exame porque ele é bonito ou compacto, mas porque entrega informação suficiente com o menor custo e a menor fragilidade possível.</w:t>
      </w:r>
    </w:p>
    <w:bookmarkEnd w:id="59"/>
    <w:bookmarkStart w:id="60" w:name="aspectos-éticos"/>
    <w:p>
      <w:pPr>
        <w:pStyle w:val="Heading3"/>
      </w:pPr>
      <w:r>
        <w:t xml:space="preserve">3.1.2 Aspectos éticos</w:t>
      </w:r>
    </w:p>
    <w:p>
      <w:pPr>
        <w:pStyle w:val="FirstParagraph"/>
      </w:pPr>
      <w:r>
        <w:t xml:space="preserve">Houve dispensa de submissão a novo Comitê de Ética em Pesquisa para esta tese porque o estudo utilizou exclusivamente dados secundários, públicos e desidentificados, oriundos de repositórios internacionais (GEO, TCGA/cBioPortal e European Genome-phenome Archive). Não houve recrutamento de participantes, contato com pacientes, intervenção clínica, coleta de material biológico, acesso a prontuários identificáveis ou tentativa de reidentificação. Na prática, a análise partiu de matrizes de expressão e tabelas clínicas já publicadas ou disponibilizadas por consórcios, sem nomes, documentos, datas de nascimento, endereços ou qualquer identificador direto. Esse enquadramento é compatível com a Resolução CNS 510/2016 (Brasil), que prevê que pesquisas com informações de domínio público ou bancos agregados sem possibilidade de identificação individual não sejam registradas nem avaliadas pelo sistema CEP/CONEP, e com a</w:t>
      </w:r>
      <w:r>
        <w:t xml:space="preserve"> </w:t>
      </w:r>
      <w:r>
        <w:rPr>
          <w:i/>
          <w:iCs/>
        </w:rPr>
        <w:t xml:space="preserve">Common Rule</w:t>
      </w:r>
      <w:r>
        <w:t xml:space="preserve"> </w:t>
      </w:r>
      <w:r>
        <w:t xml:space="preserve">dos Estados Unidos (45 CFR 46.104(d)(4)), que contempla isenção para pesquisa secundária com informações publicamente disponíveis ou registradas de modo que a identidade dos participantes não possa ser prontamente determinada. Todas as coortes originais haviam sido aprovadas pelos respectivos comitês de ética das instituições geradoras, conforme documentado nas publicações primárias</w:t>
      </w:r>
      <w:r>
        <w:rPr>
          <w:vertAlign w:val="superscript"/>
        </w:rPr>
        <w:t xml:space="preserve">11,37,39–42,44,45</w:t>
      </w:r>
      <w:r>
        <w:t xml:space="preserve">.</w:t>
      </w:r>
    </w:p>
    <w:bookmarkEnd w:id="60"/>
    <w:bookmarkStart w:id="61"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rPr>
          <w:vertAlign w:val="superscript"/>
        </w:rPr>
        <w:t xml:space="preserve">47–49</w:t>
      </w:r>
      <w:r>
        <w:t xml:space="preserve">:</w:t>
      </w:r>
    </w:p>
    <w:p>
      <w:pPr>
        <w:pStyle w:val="Compact"/>
        <w:numPr>
          <w:ilvl w:val="0"/>
          <w:numId w:val="1004"/>
        </w:numPr>
      </w:pPr>
      <w:r>
        <w:rPr>
          <w:b/>
          <w:bCs/>
        </w:rPr>
        <w:t xml:space="preserve">Independência completa</w:t>
      </w:r>
      <w:r>
        <w:t xml:space="preserve"> </w:t>
      </w:r>
      <w:r>
        <w:t xml:space="preserve">— nenhum registro das coortes de validação foi acessado durante a fase de derivação. Os pesos do modelo foram congelados no SCAN-B e aplicados posteriormente.</w:t>
      </w:r>
    </w:p>
    <w:p>
      <w:pPr>
        <w:pStyle w:val="Compact"/>
        <w:numPr>
          <w:ilvl w:val="0"/>
          <w:numId w:val="1004"/>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4"/>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4"/>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rPr>
          <w:vertAlign w:val="superscript"/>
        </w:rPr>
        <w:t xml:space="preserve">35,36</w:t>
      </w:r>
      <w:r>
        <w:t xml:space="preserve">. Esta escolha é discutida em detalhe adiante.</w:t>
      </w:r>
    </w:p>
    <w:bookmarkEnd w:id="61"/>
    <w:bookmarkStart w:id="62" w:name="disponibilidade-de-dados-e-código"/>
    <w:p>
      <w:pPr>
        <w:pStyle w:val="Heading3"/>
      </w:pPr>
      <w:r>
        <w:t xml:space="preserve">3.1.4 Disponibilidade de dados e código</w:t>
      </w:r>
    </w:p>
    <w:p>
      <w:pPr>
        <w:pStyle w:val="FirstParagraph"/>
      </w:pPr>
      <w:r>
        <w:t xml:space="preserve">Todos os dados utilizados neste estudo são de acesso público. O código-fonte completo, incluindo scripts de</w:t>
      </w:r>
      <w:r>
        <w:t xml:space="preserve"> </w:t>
      </w:r>
      <w:r>
        <w:rPr>
          <w:i/>
          <w:iCs/>
        </w:rPr>
        <w:t xml:space="preserve">download</w:t>
      </w:r>
      <w:r>
        <w:t xml:space="preserve">, harmonização, derivação,</w:t>
      </w:r>
      <w:r>
        <w:t xml:space="preserve"> </w:t>
      </w:r>
      <w:r>
        <w:rPr>
          <w:i/>
          <w:iCs/>
        </w:rPr>
        <w:t xml:space="preserve">scoring</w:t>
      </w:r>
      <w:r>
        <w:t xml:space="preserve">, análise de sobrevida, meta-análise, análises de sensibilidade e geração de figuras, encontra-se disponível no repositório público</w:t>
      </w:r>
      <w:r>
        <w:t xml:space="preserve"> </w:t>
      </w:r>
      <w:r>
        <w:rPr>
          <w:rStyle w:val="VerbatimChar"/>
        </w:rPr>
        <w:t xml:space="preserve">https://github.com/RafaelBotan/CorePAM-Study</w:t>
      </w:r>
      <w:r>
        <w:t xml:space="preserve">, sob licença permissiva, acompanhado do arquivo de configuração congelado (</w:t>
      </w:r>
      <w:r>
        <w:rPr>
          <w:rStyle w:val="VerbatimChar"/>
        </w:rPr>
        <w:t xml:space="preserve">00_setup.R</w:t>
      </w:r>
      <w:r>
        <w:t xml:space="preserve">) que define todos os parâmetros analíticos pré-especificados. A lista completa dos scripts, numerados sequencialmente e organizados em blocos temáticos, encontra-se no APÊNDICE A. A reprodução integral dos resultados depende apenas do</w:t>
      </w:r>
      <w:r>
        <w:t xml:space="preserve"> </w:t>
      </w:r>
      <w:r>
        <w:rPr>
          <w:i/>
          <w:iCs/>
        </w:rPr>
        <w:t xml:space="preserve">download</w:t>
      </w:r>
      <w:r>
        <w:t xml:space="preserve"> </w:t>
      </w:r>
      <w:r>
        <w:t xml:space="preserve">dos dados públicos e da execução dos scripts na ordem numérica, não havendo qualquer componente proprietário ou dependência de dados sob embargo.</w:t>
      </w:r>
    </w:p>
    <w:bookmarkEnd w:id="62"/>
    <w:bookmarkStart w:id="63" w:name="X90d7fb16a61f490ee9bcc64a0dcf5fca9530f5e"/>
    <w:p>
      <w:pPr>
        <w:pStyle w:val="Heading3"/>
      </w:pPr>
      <w:r>
        <w:t xml:space="preserve">3.1.5 Uso de modelos de linguagem de grande escala</w:t>
      </w:r>
    </w:p>
    <w:p>
      <w:pPr>
        <w:pStyle w:val="FirstParagraph"/>
      </w:pPr>
      <w:r>
        <w:t xml:space="preserve">A redação e a formatação do presente manuscrito receberam assistência de um modelo de linguagem de grande escala (</w:t>
      </w:r>
      <w:r>
        <w:rPr>
          <w:i/>
          <w:iCs/>
        </w:rPr>
        <w:t xml:space="preserve">large language model</w:t>
      </w:r>
      <w:r>
        <w:t xml:space="preserve">, LLM) — Claude (Anthropic, modelo Opus) — empregado como ferramenta de apoio nas seguintes tarefas circunscritas: revisão ortográfica e de estilo em português acadêmico, verificação cruzada de referências bibliográficas e seus respectivos identificadores DOI, pareamento entre descrição textual dos métodos e os scripts R correspondentes do</w:t>
      </w:r>
      <w:r>
        <w:t xml:space="preserve"> </w:t>
      </w:r>
      <w:r>
        <w:rPr>
          <w:i/>
          <w:iCs/>
        </w:rPr>
        <w:t xml:space="preserve">pipeline</w:t>
      </w:r>
      <w:r>
        <w:t xml:space="preserve">, geração dos esquemas didáticos incluídos na Introdução e nos Métodos (subtipos moleculares, linha do tempo das assinaturas gênicas, fluxograma de coortes e esquema de derivação) e adequação da formatação do documento às normas da Associação Brasileira de Normas Técnicas (ABNT NBR 14724). O modelo não participou do desenho do estudo, da execução das análises estatísticas, da interpretação dos resultados nem da formulação das conclusões científicas, as quais são de responsabilidade exclusiva do autor. Todas as decisões metodológicas e os achados quantitativos foram verificados diretamente contra a saída dos scripts analíticos versionados no repositório público do estudo.</w:t>
      </w:r>
    </w:p>
    <w:bookmarkEnd w:id="63"/>
    <w:bookmarkEnd w:id="64"/>
    <w:bookmarkStart w:id="71" w:name="coortes-do-estudo"/>
    <w:p>
      <w:pPr>
        <w:pStyle w:val="Heading2"/>
      </w:pPr>
      <w:r>
        <w:t xml:space="preserve">3.2 Coortes do estudo</w:t>
      </w:r>
    </w:p>
    <w:p>
      <w:pPr>
        <w:pStyle w:val="FirstParagraph"/>
      </w:pPr>
      <w:r>
        <w:t xml:space="preserve">O estudo integrou nove coortes públicas, divididas em dois blocos clínicos: coortes de sobrevida e coortes de quimioterapia neoadjuvante. As coortes não foram escolhidas por serem iguais; foram escolhidas justamente por serem diferentes. Essa heterogeneidade é parte do teste. Um escore que só funciona na coorte onde foi criado tem pouco valor clínico; um escore que preserva sinal em tecnologias, populações e tempos de seguimento distintos passa por um teste mais próximo da prática real.</w:t>
      </w:r>
    </w:p>
    <w:p>
      <w:pPr>
        <w:pStyle w:val="BodyText"/>
      </w:pPr>
      <w:r>
        <w:t xml:space="preserve">A</w:t>
      </w:r>
      <w:r>
        <w:t xml:space="preserve"> </w:t>
      </w:r>
      <w:r>
        <w:rPr>
          <w:b/>
          <w:bCs/>
        </w:rPr>
        <w:t xml:space="preserve">SCAN-B</w:t>
      </w:r>
      <w:r>
        <w:t xml:space="preserve"> </w:t>
      </w:r>
      <w:r>
        <w:t xml:space="preserve">(GSE96058)</w:t>
      </w:r>
      <w:r>
        <w:rPr>
          <w:vertAlign w:val="superscript"/>
        </w:rPr>
        <w:t xml:space="preserve">37,38</w:t>
      </w:r>
      <w:r>
        <w:t xml:space="preserve"> </w:t>
      </w:r>
      <w:r>
        <w:t xml:space="preserve">foi usada como coorte de derivação. É uma coorte sueca, prospectiva, com tumores mamários primários operáveis medidos por sequenciamento de RNA (</w:t>
      </w:r>
      <w:r>
        <w:rPr>
          <w:i/>
          <w:iCs/>
        </w:rPr>
        <w:t xml:space="preserve">RNA-seq</w:t>
      </w:r>
      <w:r>
        <w:t xml:space="preserve">)</w:t>
      </w:r>
      <w:r>
        <w:t xml:space="preserve"> </w:t>
      </w:r>
      <w:r>
        <w:rPr>
          <w:i/>
          <w:iCs/>
        </w:rPr>
        <w:t xml:space="preserve">Illumina</w:t>
      </w:r>
      <w:r>
        <w:t xml:space="preserve">. A partir dela foram escolhidos os genes e congelados os pesos do CorePAM. As quatro coortes externas de sobrevida testaram perguntas complementares.</w:t>
      </w:r>
      <w:r>
        <w:t xml:space="preserve"> </w:t>
      </w:r>
      <w:r>
        <w:rPr>
          <w:b/>
          <w:bCs/>
        </w:rPr>
        <w:t xml:space="preserve">TCGA-BRCA</w:t>
      </w:r>
      <w:r>
        <w:rPr>
          <w:vertAlign w:val="superscript"/>
        </w:rPr>
        <w:t xml:space="preserve">39</w:t>
      </w:r>
      <w:r>
        <w:t xml:space="preserve"> </w:t>
      </w:r>
      <w:r>
        <w:t xml:space="preserve">avalia se o escore se mantém em outra fonte de</w:t>
      </w:r>
      <w:r>
        <w:t xml:space="preserve"> </w:t>
      </w:r>
      <w:r>
        <w:rPr>
          <w:i/>
          <w:iCs/>
        </w:rPr>
        <w:t xml:space="preserve">RNA-seq</w:t>
      </w:r>
      <w:r>
        <w:t xml:space="preserve">.</w:t>
      </w:r>
      <w:r>
        <w:t xml:space="preserve"> </w:t>
      </w:r>
      <w:r>
        <w:rPr>
          <w:b/>
          <w:bCs/>
        </w:rPr>
        <w:t xml:space="preserve">METABRIC</w:t>
      </w:r>
      <w:r>
        <w:rPr>
          <w:vertAlign w:val="superscript"/>
        </w:rPr>
        <w:t xml:space="preserve">11</w:t>
      </w:r>
      <w:r>
        <w:t xml:space="preserve"> </w:t>
      </w:r>
      <w:r>
        <w:t xml:space="preserve">testa uma plataforma</w:t>
      </w:r>
      <w:r>
        <w:t xml:space="preserve"> </w:t>
      </w:r>
      <w:r>
        <w:rPr>
          <w:i/>
          <w:iCs/>
        </w:rPr>
        <w:t xml:space="preserve">Illumina</w:t>
      </w:r>
      <w:r>
        <w:t xml:space="preserve"> </w:t>
      </w:r>
      <w:r>
        <w:t xml:space="preserve">de</w:t>
      </w:r>
      <w:r>
        <w:t xml:space="preserve"> </w:t>
      </w:r>
      <w:r>
        <w:rPr>
          <w:i/>
          <w:iCs/>
        </w:rPr>
        <w:t xml:space="preserve">microarray</w:t>
      </w:r>
      <w:r>
        <w:t xml:space="preserve">, com seguimento muito mais longo e desfecho de sobrevida doença-específica.</w:t>
      </w:r>
      <w:r>
        <w:t xml:space="preserve"> </w:t>
      </w:r>
      <w:r>
        <w:rPr>
          <w:b/>
          <w:bCs/>
        </w:rPr>
        <w:t xml:space="preserve">GSE20685</w:t>
      </w:r>
      <w:r>
        <w:rPr>
          <w:vertAlign w:val="superscript"/>
        </w:rPr>
        <w:t xml:space="preserve">40</w:t>
      </w:r>
      <w:r>
        <w:t xml:space="preserve"> </w:t>
      </w:r>
      <w:r>
        <w:t xml:space="preserve">acrescenta população asiática e plataforma</w:t>
      </w:r>
      <w:r>
        <w:t xml:space="preserve"> </w:t>
      </w:r>
      <w:r>
        <w:rPr>
          <w:i/>
          <w:iCs/>
        </w:rPr>
        <w:t xml:space="preserve">Affymetrix</w:t>
      </w:r>
      <w:r>
        <w:t xml:space="preserve">.</w:t>
      </w:r>
      <w:r>
        <w:t xml:space="preserve"> </w:t>
      </w:r>
      <w:r>
        <w:rPr>
          <w:b/>
          <w:bCs/>
        </w:rPr>
        <w:t xml:space="preserve">GSE1456</w:t>
      </w:r>
      <w:r>
        <w:rPr>
          <w:vertAlign w:val="superscript"/>
        </w:rPr>
        <w:t xml:space="preserve">41</w:t>
      </w:r>
      <w:r>
        <w:t xml:space="preserve">, de Estocolmo, testa o cenário mais difícil: menor tamanho amostral, plataforma mais antiga e cobertura parcial dos genes do escore.</w:t>
      </w:r>
    </w:p>
    <w:p>
      <w:pPr>
        <w:pStyle w:val="BodyText"/>
      </w:pPr>
      <w:r>
        <w:t xml:space="preserve">As coortes neoadjuvantes tiveram outra finalidade. Elas não foram usadas para treinar o escore de sobrevida; serviram para perguntar se o mesmo sinal biológico também antecipa resposta patológica completa à quimioterapia.</w:t>
      </w:r>
      <w:r>
        <w:t xml:space="preserve"> </w:t>
      </w:r>
      <w:r>
        <w:rPr>
          <w:b/>
          <w:bCs/>
        </w:rPr>
        <w:t xml:space="preserve">GSE25066</w:t>
      </w:r>
      <w:r>
        <w:t xml:space="preserve">,</w:t>
      </w:r>
      <w:r>
        <w:t xml:space="preserve"> </w:t>
      </w:r>
      <w:r>
        <w:rPr>
          <w:b/>
          <w:bCs/>
        </w:rPr>
        <w:t xml:space="preserve">GSE20194</w:t>
      </w:r>
      <w:r>
        <w:t xml:space="preserve">,</w:t>
      </w:r>
      <w:r>
        <w:t xml:space="preserve"> </w:t>
      </w:r>
      <w:r>
        <w:rPr>
          <w:b/>
          <w:bCs/>
        </w:rPr>
        <w:t xml:space="preserve">GSE32646</w:t>
      </w:r>
      <w:r>
        <w:t xml:space="preserve"> </w:t>
      </w:r>
      <w:r>
        <w:t xml:space="preserve">e</w:t>
      </w:r>
      <w:r>
        <w:t xml:space="preserve"> </w:t>
      </w:r>
      <w:r>
        <w:rPr>
          <w:b/>
          <w:bCs/>
        </w:rPr>
        <w:t xml:space="preserve">I-SPY1</w:t>
      </w:r>
      <w:r>
        <w:t xml:space="preserve"> </w:t>
      </w:r>
      <w:r>
        <w:t xml:space="preserve">formaram o conjunto primário de pCR</w:t>
      </w:r>
      <w:r>
        <w:rPr>
          <w:vertAlign w:val="superscript"/>
        </w:rPr>
        <w:t xml:space="preserve">34,42–44</w:t>
      </w:r>
      <w:r>
        <w:t xml:space="preserve">.</w:t>
      </w:r>
      <w:r>
        <w:t xml:space="preserve"> </w:t>
      </w:r>
      <w:r>
        <w:rPr>
          <w:b/>
          <w:bCs/>
        </w:rPr>
        <w:t xml:space="preserve">I-SPY2</w:t>
      </w:r>
      <w:r>
        <w:t xml:space="preserve"> </w:t>
      </w:r>
      <w:r>
        <w:t xml:space="preserve">foi mantida como coorte exploratória contemporânea, maior, mas clinicamente mais heterogênea</w:t>
      </w:r>
      <w:r>
        <w:rPr>
          <w:vertAlign w:val="superscript"/>
        </w:rPr>
        <w:t xml:space="preserve">45</w:t>
      </w:r>
      <w:r>
        <w:t xml:space="preserve">.</w:t>
      </w:r>
    </w:p>
    <w:p>
      <w:pPr>
        <w:pStyle w:val="BodyText"/>
      </w:pPr>
      <w:r>
        <w:t xml:space="preserve">Mapa de leitura das coortes:</w:t>
      </w:r>
    </w:p>
    <w:p>
      <w:pPr>
        <w:pStyle w:val="Compact"/>
        <w:numPr>
          <w:ilvl w:val="0"/>
          <w:numId w:val="1005"/>
        </w:numPr>
      </w:pPr>
      <w:r>
        <w:rPr>
          <w:b/>
          <w:bCs/>
        </w:rPr>
        <w:t xml:space="preserve">SCAN-B:</w:t>
      </w:r>
      <w:r>
        <w:t xml:space="preserve"> </w:t>
      </w:r>
      <w:r>
        <w:t xml:space="preserve">onde o CorePAM nasce. Serve para selecionar genes e definir pesos.</w:t>
      </w:r>
    </w:p>
    <w:p>
      <w:pPr>
        <w:pStyle w:val="Compact"/>
        <w:numPr>
          <w:ilvl w:val="0"/>
          <w:numId w:val="1005"/>
        </w:numPr>
      </w:pPr>
      <w:r>
        <w:rPr>
          <w:b/>
          <w:bCs/>
        </w:rPr>
        <w:t xml:space="preserve">TCGA-BRCA:</w:t>
      </w:r>
      <w:r>
        <w:t xml:space="preserve"> </w:t>
      </w:r>
      <w:r>
        <w:t xml:space="preserve">pergunta se o escore viaja de um</w:t>
      </w:r>
      <w:r>
        <w:t xml:space="preserve"> </w:t>
      </w:r>
      <w:r>
        <w:rPr>
          <w:i/>
          <w:iCs/>
        </w:rPr>
        <w:t xml:space="preserve">RNA-seq</w:t>
      </w:r>
      <w:r>
        <w:t xml:space="preserve"> </w:t>
      </w:r>
      <w:r>
        <w:t xml:space="preserve">para outro</w:t>
      </w:r>
      <w:r>
        <w:t xml:space="preserve"> </w:t>
      </w:r>
      <w:r>
        <w:rPr>
          <w:i/>
          <w:iCs/>
        </w:rPr>
        <w:t xml:space="preserve">RNA-seq</w:t>
      </w:r>
      <w:r>
        <w:t xml:space="preserve">.</w:t>
      </w:r>
    </w:p>
    <w:p>
      <w:pPr>
        <w:pStyle w:val="Compact"/>
        <w:numPr>
          <w:ilvl w:val="0"/>
          <w:numId w:val="1005"/>
        </w:numPr>
      </w:pPr>
      <w:r>
        <w:rPr>
          <w:b/>
          <w:bCs/>
        </w:rPr>
        <w:t xml:space="preserve">METABRIC:</w:t>
      </w:r>
      <w:r>
        <w:t xml:space="preserve"> </w:t>
      </w:r>
      <w:r>
        <w:t xml:space="preserve">pergunta se o escore resiste a seguimento longo, desfecho doença-específico e plataforma</w:t>
      </w:r>
      <w:r>
        <w:t xml:space="preserve"> </w:t>
      </w:r>
      <w:r>
        <w:rPr>
          <w:i/>
          <w:iCs/>
        </w:rPr>
        <w:t xml:space="preserve">microarray</w:t>
      </w:r>
      <w:r>
        <w:t xml:space="preserve"> </w:t>
      </w:r>
      <w:r>
        <w:rPr>
          <w:i/>
          <w:iCs/>
        </w:rPr>
        <w:t xml:space="preserve">Illumina</w:t>
      </w:r>
      <w:r>
        <w:t xml:space="preserve">.</w:t>
      </w:r>
    </w:p>
    <w:p>
      <w:pPr>
        <w:pStyle w:val="Compact"/>
        <w:numPr>
          <w:ilvl w:val="0"/>
          <w:numId w:val="1005"/>
        </w:numPr>
      </w:pPr>
      <w:r>
        <w:rPr>
          <w:b/>
          <w:bCs/>
        </w:rPr>
        <w:t xml:space="preserve">GSE20685:</w:t>
      </w:r>
      <w:r>
        <w:t xml:space="preserve"> </w:t>
      </w:r>
      <w:r>
        <w:t xml:space="preserve">pergunta se o escore se mantém em população asiática e</w:t>
      </w:r>
      <w:r>
        <w:t xml:space="preserve"> </w:t>
      </w:r>
      <w:r>
        <w:rPr>
          <w:i/>
          <w:iCs/>
        </w:rPr>
        <w:t xml:space="preserve">microarray</w:t>
      </w:r>
      <w:r>
        <w:t xml:space="preserve"> </w:t>
      </w:r>
      <w:r>
        <w:rPr>
          <w:i/>
          <w:iCs/>
        </w:rPr>
        <w:t xml:space="preserve">Affymetrix</w:t>
      </w:r>
      <w:r>
        <w:t xml:space="preserve">.</w:t>
      </w:r>
    </w:p>
    <w:p>
      <w:pPr>
        <w:pStyle w:val="Compact"/>
        <w:numPr>
          <w:ilvl w:val="0"/>
          <w:numId w:val="1005"/>
        </w:numPr>
      </w:pPr>
      <w:r>
        <w:rPr>
          <w:b/>
          <w:bCs/>
        </w:rPr>
        <w:t xml:space="preserve">GSE1456:</w:t>
      </w:r>
      <w:r>
        <w:t xml:space="preserve"> </w:t>
      </w:r>
      <w:r>
        <w:t xml:space="preserve">pergunta se o escore ainda funciona quando alguns genes não estão disponíveis.</w:t>
      </w:r>
    </w:p>
    <w:p>
      <w:pPr>
        <w:pStyle w:val="Compact"/>
        <w:numPr>
          <w:ilvl w:val="0"/>
          <w:numId w:val="1005"/>
        </w:numPr>
      </w:pPr>
      <w:r>
        <w:rPr>
          <w:b/>
          <w:bCs/>
        </w:rPr>
        <w:t xml:space="preserve">Coortes pCR:</w:t>
      </w:r>
      <w:r>
        <w:t xml:space="preserve"> </w:t>
      </w:r>
      <w:r>
        <w:t xml:space="preserve">perguntam se o sinal prognóstico também carrega informação sobre quimiossensibilidade.</w:t>
      </w:r>
    </w:p>
    <w:p>
      <w:pPr>
        <w:pStyle w:val="FirstParagraph"/>
      </w:pPr>
      <w:r>
        <w:t xml:space="preserve">A</w:t>
      </w:r>
      <w:r>
        <w:t xml:space="preserve"> </w:t>
      </w:r>
      <w:hyperlink w:anchor="tbl-cohorts-survival">
        <w:r>
          <w:rPr>
            <w:rStyle w:val="Hyperlink"/>
            <w:color w:val="0563C1"/>
            <w:u w:val="single"/>
          </w:rPr>
          <w:t xml:space="preserve">Tabela 3</w:t>
        </w:r>
      </w:hyperlink>
      <w:r>
        <w:t xml:space="preserve"> </w:t>
      </w:r>
      <w:r>
        <w:t xml:space="preserve">e a</w:t>
      </w:r>
      <w:r>
        <w:t xml:space="preserve"> </w:t>
      </w:r>
      <w:hyperlink w:anchor="tbl-cohorts-pcr">
        <w:r>
          <w:rPr>
            <w:rStyle w:val="Hyperlink"/>
            <w:color w:val="0563C1"/>
            <w:u w:val="single"/>
          </w:rPr>
          <w:t xml:space="preserve">Tabela 4</w:t>
        </w:r>
      </w:hyperlink>
      <w:r>
        <w:t xml:space="preserve"> </w:t>
      </w:r>
      <w:r>
        <w:t xml:space="preserve">resumem os dados essenciais. Na</w:t>
      </w:r>
      <w:r>
        <w:t xml:space="preserve"> </w:t>
      </w:r>
      <w:hyperlink w:anchor="tbl-cohorts-survival">
        <w:r>
          <w:rPr>
            <w:rStyle w:val="Hyperlink"/>
            <w:color w:val="0563C1"/>
            <w:u w:val="single"/>
          </w:rPr>
          <w:t xml:space="preserve">Tabela 3</w:t>
        </w:r>
      </w:hyperlink>
      <w:r>
        <w:t xml:space="preserve">,</w:t>
      </w:r>
      <w:r>
        <w:t xml:space="preserve"> </w:t>
      </w:r>
      <w:r>
        <w:t xml:space="preserve">“N/eventos”</w:t>
      </w:r>
      <w:r>
        <w:t xml:space="preserve"> </w:t>
      </w:r>
      <w:r>
        <w:t xml:space="preserve">mostra primeiro o número de pacientes analisadas e, depois da barra, o número de óbitos ou eventos do desfecho. Essa forma evita quebrar números na página e facilita a leitura clínica.</w:t>
      </w:r>
    </w:p>
    <w:p>
      <w:pPr>
        <w:jc w:val="left"/>
        <w:spacing w:before="200"/>
        <w:pStyle w:val="ImageCaption"/>
      </w:pPr>
      <w:bookmarkStart w:id="65" w:name="tbl-cohorts-survival"/>
      <w:r>
        <w:t xml:space="preserve">Tabela 3 — Características das coortes de sobrevida</w:t>
      </w:r>
    </w:p>
    <w:tbl>
      <w:tblPr>
        <w:tblStyle w:val="Table"/>
        <w:tblW w:type="dxa" w:w="9070"/>
        <w:tblLayout w:type="fixed"/>
        <w:tblLook w:firstRow="1" w:lastRow="0" w:firstColumn="0" w:lastColumn="0" w:noHBand="0" w:noVBand="0" w:val="0020"/>
      </w:tblPr>
      <w:tblGrid>
        <w:gridCol w:w="1600"/>
        <w:gridCol w:w="1486"/>
        <w:gridCol w:w="2746"/>
        <w:gridCol w:w="1486"/>
        <w:gridCol w:w="1752"/>
      </w:tblGrid>
      <w:tr>
        <w:trPr>
          <w:tblHeader w:val="on"/>
        </w:trPr>
        <w:tc>
          <w:tcPr>
            <w:tcW w:w="1600" w:type="dxa"/>
          </w:tcPr>
          <w:p>
            <w:pPr>
              <w:pStyle w:val="Compact"/>
              <w:jc w:val="left"/>
              <w:jc w:val="center"/>
            </w:pPr>
            <w:r>
              <w:t xml:space="preserve">Coorte</w:t>
            </w:r>
          </w:p>
        </w:tc>
        <w:tc>
          <w:tcPr>
            <w:tcW w:w="1486" w:type="dxa"/>
          </w:tcPr>
          <w:p>
            <w:pPr>
              <w:pStyle w:val="Compact"/>
              <w:jc w:val="left"/>
              <w:jc w:val="center"/>
            </w:pPr>
            <w:r>
              <w:t xml:space="preserve">Papel</w:t>
            </w:r>
          </w:p>
        </w:tc>
        <w:tc>
          <w:tcPr>
            <w:tcW w:w="2746" w:type="dxa"/>
          </w:tcPr>
          <w:p>
            <w:pPr>
              <w:pStyle w:val="Compact"/>
              <w:jc w:val="left"/>
              <w:jc w:val="center"/>
            </w:pPr>
            <w:r>
              <w:t xml:space="preserve">Tecnologia e desfecho</w:t>
            </w:r>
          </w:p>
        </w:tc>
        <w:tc>
          <w:tcPr>
            <w:tcW w:w="1486" w:type="dxa"/>
          </w:tcPr>
          <w:p>
            <w:pPr>
              <w:pStyle w:val="Compact"/>
              <w:jc w:val="left"/>
              <w:jc w:val="center"/>
            </w:pPr>
            <w:r>
              <w:t xml:space="preserve">N/eventos</w:t>
            </w:r>
          </w:p>
        </w:tc>
        <w:tc>
          <w:tcPr>
            <w:tcW w:w="1752" w:type="dxa"/>
          </w:tcPr>
          <w:p>
            <w:pPr>
              <w:pStyle w:val="Compact"/>
              <w:jc w:val="left"/>
              <w:jc w:val="center"/>
            </w:pPr>
            <w:r>
              <w:t xml:space="preserve">Seguimento</w:t>
            </w:r>
          </w:p>
        </w:tc>
      </w:tr>
      <w:tr>
        <w:tc>
          <w:tcPr>
            <w:tcW w:w="1600" w:type="dxa"/>
          </w:tcPr>
          <w:p>
            <w:pPr>
              <w:pStyle w:val="Compact"/>
              <w:jc w:val="left"/>
              <w:jc w:val="center"/>
            </w:pPr>
            <w:r>
              <w:t xml:space="preserve">SCAN-B</w:t>
            </w:r>
          </w:p>
        </w:tc>
        <w:tc>
          <w:tcPr>
            <w:tcW w:w="1486" w:type="dxa"/>
          </w:tcPr>
          <w:p>
            <w:pPr>
              <w:pStyle w:val="Compact"/>
              <w:jc w:val="left"/>
              <w:jc w:val="center"/>
            </w:pPr>
            <w:r>
              <w:t xml:space="preserve">Derivação</w:t>
            </w:r>
          </w:p>
        </w:tc>
        <w:tc>
          <w:tcPr>
            <w:tcW w:w="2746" w:type="dxa"/>
          </w:tcPr>
          <w:p>
            <w:pPr>
              <w:pStyle w:val="Compact"/>
              <w:jc w:val="left"/>
              <w:jc w:val="center"/>
            </w:pPr>
            <w:r>
              <w:rPr>
                <w:i/>
                <w:iCs/>
              </w:rPr>
              <w:t xml:space="preserve">RNA-seq</w:t>
            </w:r>
            <w:r>
              <w:t xml:space="preserve"> </w:t>
            </w:r>
            <w:r>
              <w:rPr>
                <w:i/>
                <w:iCs/>
              </w:rPr>
              <w:t xml:space="preserve">Illumina</w:t>
            </w:r>
            <w:r>
              <w:t xml:space="preserve">; OS</w:t>
            </w:r>
          </w:p>
        </w:tc>
        <w:tc>
          <w:tcPr>
            <w:tcW w:w="1486" w:type="dxa"/>
          </w:tcPr>
          <w:p>
            <w:pPr>
              <w:pStyle w:val="Compact"/>
              <w:jc w:val="left"/>
              <w:jc w:val="center"/>
            </w:pPr>
            <w:r>
              <w:t xml:space="preserve">3.069/322</w:t>
            </w:r>
          </w:p>
        </w:tc>
        <w:tc>
          <w:tcPr>
            <w:tcW w:w="1752" w:type="dxa"/>
          </w:tcPr>
          <w:p>
            <w:pPr>
              <w:pStyle w:val="Compact"/>
              <w:jc w:val="left"/>
              <w:jc w:val="center"/>
            </w:pPr>
            <w:r>
              <w:t xml:space="preserve">54,9 meses</w:t>
            </w:r>
          </w:p>
        </w:tc>
      </w:tr>
      <w:tr>
        <w:tc>
          <w:tcPr>
            <w:tcW w:w="1600" w:type="dxa"/>
          </w:tcPr>
          <w:p>
            <w:pPr>
              <w:pStyle w:val="Compact"/>
              <w:jc w:val="left"/>
              <w:jc w:val="center"/>
            </w:pPr>
            <w:r>
              <w:t xml:space="preserve">TCGA-BRCA</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RNA-seq</w:t>
            </w:r>
            <w:r>
              <w:t xml:space="preserve"> </w:t>
            </w:r>
            <w:r>
              <w:t xml:space="preserve">GDC; OS</w:t>
            </w:r>
          </w:p>
        </w:tc>
        <w:tc>
          <w:tcPr>
            <w:tcW w:w="1486" w:type="dxa"/>
          </w:tcPr>
          <w:p>
            <w:pPr>
              <w:pStyle w:val="Compact"/>
              <w:jc w:val="left"/>
              <w:jc w:val="center"/>
            </w:pPr>
            <w:r>
              <w:t xml:space="preserve">1.072/150</w:t>
            </w:r>
          </w:p>
        </w:tc>
        <w:tc>
          <w:tcPr>
            <w:tcW w:w="1752" w:type="dxa"/>
          </w:tcPr>
          <w:p>
            <w:pPr>
              <w:pStyle w:val="Compact"/>
              <w:jc w:val="left"/>
              <w:jc w:val="center"/>
            </w:pPr>
            <w:r>
              <w:t xml:space="preserve">32,0 meses</w:t>
            </w:r>
          </w:p>
        </w:tc>
      </w:tr>
      <w:tr>
        <w:tc>
          <w:tcPr>
            <w:tcW w:w="1600" w:type="dxa"/>
          </w:tcPr>
          <w:p>
            <w:pPr>
              <w:pStyle w:val="Compact"/>
              <w:jc w:val="left"/>
              <w:jc w:val="center"/>
            </w:pPr>
            <w:r>
              <w:t xml:space="preserve">METABRIC</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Illumina</w:t>
            </w:r>
            <w:r>
              <w:t xml:space="preserve">; DSS</w:t>
            </w:r>
          </w:p>
        </w:tc>
        <w:tc>
          <w:tcPr>
            <w:tcW w:w="1486" w:type="dxa"/>
          </w:tcPr>
          <w:p>
            <w:pPr>
              <w:pStyle w:val="Compact"/>
              <w:jc w:val="left"/>
              <w:jc w:val="center"/>
            </w:pPr>
            <w:r>
              <w:t xml:space="preserve">1.978/646</w:t>
            </w:r>
          </w:p>
        </w:tc>
        <w:tc>
          <w:tcPr>
            <w:tcW w:w="1752" w:type="dxa"/>
          </w:tcPr>
          <w:p>
            <w:pPr>
              <w:pStyle w:val="Compact"/>
              <w:jc w:val="left"/>
              <w:jc w:val="center"/>
            </w:pPr>
            <w:r>
              <w:t xml:space="preserve">159,0 meses</w:t>
            </w:r>
          </w:p>
        </w:tc>
      </w:tr>
      <w:tr>
        <w:tc>
          <w:tcPr>
            <w:tcW w:w="1600" w:type="dxa"/>
          </w:tcPr>
          <w:p>
            <w:pPr>
              <w:pStyle w:val="Compact"/>
              <w:jc w:val="left"/>
              <w:jc w:val="center"/>
            </w:pPr>
            <w:r>
              <w:t xml:space="preserve">GSE20685</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327/83</w:t>
            </w:r>
          </w:p>
        </w:tc>
        <w:tc>
          <w:tcPr>
            <w:tcW w:w="1752" w:type="dxa"/>
          </w:tcPr>
          <w:p>
            <w:pPr>
              <w:pStyle w:val="Compact"/>
              <w:jc w:val="left"/>
              <w:jc w:val="center"/>
            </w:pPr>
            <w:r>
              <w:t xml:space="preserve">112,8 meses</w:t>
            </w:r>
          </w:p>
        </w:tc>
      </w:tr>
      <w:tr>
        <w:tc>
          <w:tcPr>
            <w:tcW w:w="1600" w:type="dxa"/>
          </w:tcPr>
          <w:p>
            <w:pPr>
              <w:pStyle w:val="Compact"/>
              <w:jc w:val="left"/>
              <w:jc w:val="center"/>
            </w:pPr>
            <w:r>
              <w:t xml:space="preserve">GSE1456</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159/40</w:t>
            </w:r>
          </w:p>
        </w:tc>
        <w:tc>
          <w:tcPr>
            <w:tcW w:w="1752" w:type="dxa"/>
          </w:tcPr>
          <w:p>
            <w:pPr>
              <w:pStyle w:val="Compact"/>
              <w:jc w:val="left"/>
              <w:jc w:val="center"/>
            </w:pPr>
            <w:r>
              <w:t xml:space="preserve">91,0 meses</w:t>
            </w:r>
          </w:p>
        </w:tc>
      </w:tr>
    </w:tbl>
    <w:bookmarkEnd w:id="65"/>
    <w:p/>
    <w:p>
      <w:pPr>
        <w:pStyle w:val="BodyText"/>
      </w:pPr>
      <w:r>
        <w:t xml:space="preserve">OS indica sobrevida global; DSS indica sobrevida doença-específica. A diferença é importante: OS inclui qualquer causa de morte, enquanto DSS tenta isolar mortes atribuídas ao câncer de mama. Por isso, METABRIC não é uma repetição das demais; ela responde a uma pergunta levemente diferente, porém clinicamente útil.</w:t>
      </w:r>
    </w:p>
    <w:p>
      <w:r>
        <w:br w:type="page"/>
      </w:r>
    </w:p>
    <w:p>
      <w:pPr>
        <w:jc w:val="left"/>
        <w:spacing w:before="200"/>
        <w:pStyle w:val="ImageCaption"/>
      </w:pPr>
      <w:bookmarkStart w:id="66" w:name="tbl-cohorts-pcr"/>
      <w:r>
        <w:t xml:space="preserve">Tabela 4 — Características das coortes neoadjuvantes (pCR)</w:t>
      </w:r>
    </w:p>
    <w:tbl>
      <w:tblPr>
        <w:tblStyle w:val="Table"/>
        <w:tblW w:type="dxa" w:w="9070"/>
        <w:tblLayout w:type="fixed"/>
        <w:tblLook w:firstRow="1" w:lastRow="0" w:firstColumn="0" w:lastColumn="0" w:noHBand="0" w:noVBand="0" w:val="0020"/>
      </w:tblPr>
      <w:tblGrid>
        <w:gridCol w:w="1665"/>
        <w:gridCol w:w="2293"/>
        <w:gridCol w:w="2798"/>
        <w:gridCol w:w="2314"/>
      </w:tblGrid>
      <w:tr>
        <w:trPr>
          <w:tblHeader w:val="on"/>
        </w:trPr>
        <w:tc>
          <w:tcPr>
            <w:tcW w:w="1665" w:type="dxa"/>
          </w:tcPr>
          <w:p>
            <w:pPr>
              <w:pStyle w:val="Compact"/>
              <w:jc w:val="left"/>
              <w:jc w:val="center"/>
            </w:pPr>
            <w:r>
              <w:t xml:space="preserve">Coorte</w:t>
            </w:r>
          </w:p>
        </w:tc>
        <w:tc>
          <w:tcPr>
            <w:tcW w:w="2293" w:type="dxa"/>
          </w:tcPr>
          <w:p>
            <w:pPr>
              <w:pStyle w:val="Compact"/>
              <w:jc w:val="left"/>
              <w:jc w:val="center"/>
            </w:pPr>
            <w:r>
              <w:t xml:space="preserve">Plataforma</w:t>
            </w:r>
          </w:p>
        </w:tc>
        <w:tc>
          <w:tcPr>
            <w:tcW w:w="2798" w:type="dxa"/>
          </w:tcPr>
          <w:p>
            <w:pPr>
              <w:pStyle w:val="Compact"/>
              <w:jc w:val="left"/>
              <w:jc w:val="center"/>
            </w:pPr>
            <w:r>
              <w:t xml:space="preserve">N/pCR</w:t>
            </w:r>
          </w:p>
        </w:tc>
        <w:tc>
          <w:tcPr>
            <w:tcW w:w="2314" w:type="dxa"/>
          </w:tcPr>
          <w:p>
            <w:pPr>
              <w:pStyle w:val="Compact"/>
              <w:jc w:val="left"/>
              <w:jc w:val="center"/>
            </w:pPr>
            <w:r>
              <w:t xml:space="preserve">Papel</w:t>
            </w:r>
          </w:p>
        </w:tc>
      </w:tr>
      <w:tr>
        <w:tc>
          <w:tcPr>
            <w:tcW w:w="1665" w:type="dxa"/>
          </w:tcPr>
          <w:p>
            <w:pPr>
              <w:pStyle w:val="Compact"/>
              <w:jc w:val="left"/>
              <w:jc w:val="center"/>
            </w:pPr>
            <w:r>
              <w:t xml:space="preserve">GSE25066</w:t>
            </w:r>
          </w:p>
        </w:tc>
        <w:tc>
          <w:tcPr>
            <w:tcW w:w="2293" w:type="dxa"/>
          </w:tcPr>
          <w:p>
            <w:pPr>
              <w:pStyle w:val="Compact"/>
              <w:jc w:val="left"/>
              <w:jc w:val="center"/>
            </w:pPr>
            <w:r>
              <w:t xml:space="preserve">HGU133A</w:t>
            </w:r>
          </w:p>
        </w:tc>
        <w:tc>
          <w:tcPr>
            <w:tcW w:w="2798" w:type="dxa"/>
          </w:tcPr>
          <w:p>
            <w:pPr>
              <w:pStyle w:val="Compact"/>
              <w:jc w:val="left"/>
              <w:jc w:val="center"/>
            </w:pPr>
            <w:r>
              <w:t xml:space="preserve">182/42 (23,1%)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GSE20194</w:t>
            </w:r>
          </w:p>
        </w:tc>
        <w:tc>
          <w:tcPr>
            <w:tcW w:w="2293" w:type="dxa"/>
          </w:tcPr>
          <w:p>
            <w:pPr>
              <w:pStyle w:val="Compact"/>
              <w:jc w:val="left"/>
              <w:jc w:val="center"/>
            </w:pPr>
            <w:r>
              <w:t xml:space="preserve">HGU133Plus2</w:t>
            </w:r>
          </w:p>
        </w:tc>
        <w:tc>
          <w:tcPr>
            <w:tcW w:w="2798" w:type="dxa"/>
          </w:tcPr>
          <w:p>
            <w:pPr>
              <w:pStyle w:val="Compact"/>
              <w:jc w:val="left"/>
              <w:jc w:val="center"/>
            </w:pPr>
            <w:r>
              <w:t xml:space="preserve">278/56 (20,1%)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GSE32646</w:t>
            </w:r>
          </w:p>
        </w:tc>
        <w:tc>
          <w:tcPr>
            <w:tcW w:w="2293" w:type="dxa"/>
          </w:tcPr>
          <w:p>
            <w:pPr>
              <w:pStyle w:val="Compact"/>
              <w:jc w:val="left"/>
              <w:jc w:val="center"/>
            </w:pPr>
            <w:r>
              <w:t xml:space="preserve">HGU133Plus2</w:t>
            </w:r>
          </w:p>
        </w:tc>
        <w:tc>
          <w:tcPr>
            <w:tcW w:w="2798" w:type="dxa"/>
          </w:tcPr>
          <w:p>
            <w:pPr>
              <w:pStyle w:val="Compact"/>
              <w:jc w:val="left"/>
              <w:jc w:val="center"/>
            </w:pPr>
            <w:r>
              <w:t xml:space="preserve">115/27 (23,5%)</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I-SPY1</w:t>
            </w:r>
          </w:p>
        </w:tc>
        <w:tc>
          <w:tcPr>
            <w:tcW w:w="2293" w:type="dxa"/>
          </w:tcPr>
          <w:p>
            <w:pPr>
              <w:pStyle w:val="Compact"/>
              <w:jc w:val="left"/>
              <w:jc w:val="center"/>
            </w:pPr>
            <w:r>
              <w:rPr>
                <w:i/>
                <w:iCs/>
              </w:rPr>
              <w:t xml:space="preserve">Agilent</w:t>
            </w:r>
            <w:r>
              <w:t xml:space="preserve"> </w:t>
            </w:r>
            <w:r>
              <w:t xml:space="preserve">44K</w:t>
            </w:r>
          </w:p>
        </w:tc>
        <w:tc>
          <w:tcPr>
            <w:tcW w:w="2798" w:type="dxa"/>
          </w:tcPr>
          <w:p>
            <w:pPr>
              <w:pStyle w:val="Compact"/>
              <w:jc w:val="left"/>
              <w:jc w:val="center"/>
            </w:pPr>
            <w:r>
              <w:t xml:space="preserve">122/32 (26,2%)</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I-SPY2</w:t>
            </w:r>
          </w:p>
        </w:tc>
        <w:tc>
          <w:tcPr>
            <w:tcW w:w="2293" w:type="dxa"/>
          </w:tcPr>
          <w:p>
            <w:pPr>
              <w:pStyle w:val="Compact"/>
              <w:jc w:val="left"/>
              <w:jc w:val="center"/>
            </w:pPr>
            <w:r>
              <w:rPr>
                <w:i/>
                <w:iCs/>
              </w:rPr>
              <w:t xml:space="preserve">RNA-seq</w:t>
            </w:r>
          </w:p>
        </w:tc>
        <w:tc>
          <w:tcPr>
            <w:tcW w:w="2798" w:type="dxa"/>
          </w:tcPr>
          <w:p>
            <w:pPr>
              <w:pStyle w:val="Compact"/>
              <w:jc w:val="left"/>
              <w:jc w:val="center"/>
            </w:pPr>
            <w:r>
              <w:t xml:space="preserve">986/319 (32,4%)</w:t>
            </w:r>
          </w:p>
        </w:tc>
        <w:tc>
          <w:tcPr>
            <w:tcW w:w="2314" w:type="dxa"/>
          </w:tcPr>
          <w:p>
            <w:pPr>
              <w:pStyle w:val="Compact"/>
              <w:jc w:val="left"/>
              <w:jc w:val="center"/>
            </w:pPr>
            <w:r>
              <w:t xml:space="preserve">Exploratória</w:t>
            </w:r>
          </w:p>
        </w:tc>
      </w:tr>
    </w:tbl>
    <w:bookmarkEnd w:id="66"/>
    <w:p/>
    <w:bookmarkStart w:id="70" w:name="fig-fluxograma-coortes"/>
    <w:p>
      <w:pPr>
        <w:pStyle w:val="Compact"/>
        <w:jc w:val="center"/>
      </w:pPr>
      <w:r>
        <w:drawing>
          <wp:inline>
            <wp:extent cx="5687999" cy="4800288"/>
            <wp:effectExtent b="0" l="0" r="0" t="0"/>
            <wp:docPr descr="" title="" id="68" name="Picture"/>
            <a:graphic>
              <a:graphicData uri="http://schemas.openxmlformats.org/drawingml/2006/picture">
                <pic:pic>
                  <pic:nvPicPr>
                    <pic:cNvPr descr="../figures/didaticas/pt/png/B6_Fluxograma_Coortes_PT.png" id="69" name="Picture"/>
                    <pic:cNvPicPr>
                      <a:picLocks noChangeArrowheads="1" noChangeAspect="1"/>
                    </pic:cNvPicPr>
                  </pic:nvPicPr>
                  <pic:blipFill>
                    <a:blip r:embed="rId67"/>
                    <a:stretch>
                      <a:fillRect/>
                    </a:stretch>
                  </pic:blipFill>
                  <pic:spPr bwMode="auto">
                    <a:xfrm>
                      <a:off x="0" y="0"/>
                      <a:ext cx="5687999" cy="4800288"/>
                    </a:xfrm>
                    <a:prstGeom prst="rect">
                      <a:avLst/>
                    </a:prstGeom>
                    <a:noFill/>
                    <a:ln w="9525">
                      <a:noFill/>
                      <a:headEnd/>
                      <a:tailEnd/>
                    </a:ln>
                  </pic:spPr>
                </pic:pic>
              </a:graphicData>
            </a:graphic>
          </wp:inline>
        </w:drawing>
      </w:r>
    </w:p>
    <w:p>
      <w:pPr>
        <w:jc w:val="left"/>
        <w:spacing w:before="200"/>
        <w:pStyle w:val="ImageCaption"/>
      </w:pPr>
      <w:r>
        <w:t xml:space="preserve">Figura 5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70"/>
    <w:p>
      <w:pPr>
        <w:pStyle w:val="BodyText"/>
      </w:pPr>
      <w:r>
        <w:t xml:space="preserve">Na</w:t>
      </w:r>
      <w:r>
        <w:t xml:space="preserve"> </w:t>
      </w:r>
      <w:hyperlink w:anchor="fig-fluxograma-coortes">
        <w:r>
          <w:rPr>
            <w:rStyle w:val="Hyperlink"/>
            <w:color w:val="0563C1"/>
            <w:u w:val="single"/>
          </w:rPr>
          <w:t xml:space="preserve">Figura 5</w:t>
        </w:r>
      </w:hyperlink>
      <w:r>
        <w:t xml:space="preserve">, o leitor deve observar primeiro a separação entre os dois blocos clínicos. O bloco de sobrevida responde à pergunta prognóstica: quem tem maior risco de evento ao longo do tempo? O bloco de pCR responde a uma pergunta preditiva: quem tem maior chance de desaparecer patologicamente com quimioterapia neoadjuvante? Dentro do bloco de sobrevida, SCAN-B aparece com papel diferente das demais: é derivação, não validação. TCGA-BRCA testa outro</w:t>
      </w:r>
      <w:r>
        <w:t xml:space="preserve"> </w:t>
      </w:r>
      <w:r>
        <w:rPr>
          <w:i/>
          <w:iCs/>
        </w:rPr>
        <w:t xml:space="preserve">RNA-seq</w:t>
      </w:r>
      <w:r>
        <w:t xml:space="preserve">; METABRIC testa microarray Illumina e seguimento longo; GSE20685 e GSE1456 testam plataformas Affymetrix e populações ou condições mais difíceis. No bloco de pCR, as coortes primárias avaliam consistência em estudos neoadjuvantes já conhecidos, enquanto I-SPY2 funciona como uma leitura contemporânea e exploratória. A figura é, portanto, o roteiro do estudo: cada caixa existe porque responde a uma pergunta diferente, não porque era apenas mais uma base disponível.</w:t>
      </w:r>
    </w:p>
    <w:bookmarkEnd w:id="71"/>
    <w:bookmarkStart w:id="76"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00_setup.R</w:t>
      </w:r>
      <w:r>
        <w:t xml:space="preserve"> </w:t>
      </w:r>
      <w:r>
        <w:t xml:space="preserve">do</w:t>
      </w:r>
      <w:r>
        <w:t xml:space="preserve"> </w:t>
      </w:r>
      <w:r>
        <w:rPr>
          <w:i/>
          <w:iCs/>
        </w:rPr>
        <w:t xml:space="preserve">pipeline</w:t>
      </w:r>
      <w:r>
        <w:t xml:space="preserve">) antes de qualquer análise substantiva. Essa pré-especificação permite que o desempenho observado seja interpretado sem suspeita de seleção retrospectiva de análise favorável.</w:t>
      </w:r>
    </w:p>
    <w:p>
      <w:pPr>
        <w:pStyle w:val="BodyText"/>
      </w:pPr>
      <w:r>
        <w:t xml:space="preserve">A</w:t>
      </w:r>
      <w:r>
        <w:t xml:space="preserve"> </w:t>
      </w:r>
      <w:hyperlink w:anchor="tbl-freeze">
        <w:r>
          <w:rPr>
            <w:rStyle w:val="Hyperlink"/>
            <w:color w:val="0563C1"/>
            <w:u w:val="single"/>
          </w:rPr>
          <w:t xml:space="preserve">Tabela 5</w:t>
        </w:r>
      </w:hyperlink>
      <w:r>
        <w:t xml:space="preserve"> </w:t>
      </w:r>
      <w:r>
        <w:t xml:space="preserve">apresenta os parâmetros congelados.</w:t>
      </w:r>
    </w:p>
    <w:p>
      <w:pPr>
        <w:jc w:val="left"/>
        <w:spacing w:before="200"/>
        <w:pStyle w:val="ImageCaption"/>
      </w:pPr>
      <w:bookmarkStart w:id="72" w:name="tbl-freeze"/>
      <w:r>
        <w:t xml:space="preserve">Tabela 5 — Parâmetros analíticos congelados antes da análise</w:t>
      </w:r>
    </w:p>
    <w:tbl>
      <w:tblPr>
        <w:tblStyle w:val="Table"/>
        <w:tblW w:type="dxa" w:w="9070"/>
        <w:tblLayout w:type="fixed"/>
        <w:tblLook w:firstRow="1" w:lastRow="0" w:firstColumn="0" w:lastColumn="0" w:noHBand="0" w:noVBand="0" w:val="0020"/>
      </w:tblPr>
      <w:tblGrid>
        <w:gridCol w:w="2662"/>
        <w:gridCol w:w="2817"/>
        <w:gridCol w:w="3591"/>
      </w:tblGrid>
      <w:tr>
        <w:trPr>
          <w:tblHeader w:val="on"/>
        </w:trPr>
        <w:tc>
          <w:tcPr>
            <w:tcW w:w="2662" w:type="dxa"/>
          </w:tcPr>
          <w:p>
            <w:pPr>
              <w:pStyle w:val="Compact"/>
              <w:jc w:val="center"/>
            </w:pPr>
            <w:r>
              <w:t xml:space="preserve">Parâmetro</w:t>
            </w:r>
          </w:p>
        </w:tc>
        <w:tc>
          <w:tcPr>
            <w:tcW w:w="2817" w:type="dxa"/>
          </w:tcPr>
          <w:p>
            <w:pPr>
              <w:pStyle w:val="Compact"/>
              <w:jc w:val="center"/>
            </w:pPr>
            <w:r>
              <w:t xml:space="preserve">Valor</w:t>
            </w:r>
          </w:p>
        </w:tc>
        <w:tc>
          <w:tcPr>
            <w:tcW w:w="3591" w:type="dxa"/>
          </w:tcPr>
          <w:p>
            <w:pPr>
              <w:pStyle w:val="Compact"/>
              <w:jc w:val="center"/>
            </w:pPr>
            <w:r>
              <w:t xml:space="preserve">Justificativa</w:t>
            </w:r>
          </w:p>
        </w:tc>
      </w:tr>
      <w:tr>
        <w:tc>
          <w:tcPr>
            <w:tcW w:w="2662" w:type="dxa"/>
          </w:tcPr>
          <w:p>
            <w:pPr>
              <w:pStyle w:val="Compact"/>
              <w:jc w:val="center"/>
            </w:pPr>
            <w:r>
              <w:t xml:space="preserve">Margem de não inferioridade (Delta-</w:t>
            </w:r>
            <w:r>
              <w:rPr>
                <w:i/>
                <w:iCs/>
              </w:rPr>
              <w:t xml:space="preserve">C-index</w:t>
            </w:r>
            <w:r>
              <w:t xml:space="preserve">)</w:t>
            </w:r>
          </w:p>
        </w:tc>
        <w:tc>
          <w:tcPr>
            <w:tcW w:w="2817" w:type="dxa"/>
          </w:tcPr>
          <w:p>
            <w:pPr>
              <w:pStyle w:val="Compact"/>
              <w:jc w:val="center"/>
            </w:pPr>
            <w:r>
              <w:t xml:space="preserve">0,010</w:t>
            </w:r>
          </w:p>
        </w:tc>
        <w:tc>
          <w:tcPr>
            <w:tcW w:w="3591" w:type="dxa"/>
          </w:tcPr>
          <w:p>
            <w:pPr>
              <w:pStyle w:val="Compact"/>
              <w:jc w:val="center"/>
            </w:pPr>
            <w:r>
              <w:t xml:space="preserve">&lt; 1/2 EP do</w:t>
            </w:r>
            <w:r>
              <w:t xml:space="preserve"> </w:t>
            </w:r>
            <w:r>
              <w:rPr>
                <w:i/>
                <w:iCs/>
              </w:rPr>
              <w:t xml:space="preserve">C-index</w:t>
            </w:r>
            <w:r>
              <w:t xml:space="preserve"> </w:t>
            </w:r>
            <w:r>
              <w:t xml:space="preserve">OOF</w:t>
            </w:r>
          </w:p>
        </w:tc>
      </w:tr>
      <w:tr>
        <w:tc>
          <w:tcPr>
            <w:tcW w:w="2662"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817" w:type="dxa"/>
          </w:tcPr>
          <w:p>
            <w:pPr>
              <w:pStyle w:val="Compact"/>
              <w:jc w:val="center"/>
            </w:pPr>
            <w:r>
              <w:t xml:space="preserve">0,5</w:t>
            </w:r>
          </w:p>
        </w:tc>
        <w:tc>
          <w:tcPr>
            <w:tcW w:w="3591" w:type="dxa"/>
          </w:tcPr>
          <w:p>
            <w:pPr>
              <w:pStyle w:val="Compact"/>
              <w:jc w:val="center"/>
            </w:pPr>
            <w:r>
              <w:t xml:space="preserve">Balanço entre esparsidade (L1) e estabilidade de grupo (L2)</w:t>
            </w:r>
          </w:p>
        </w:tc>
      </w:tr>
      <w:tr>
        <w:tc>
          <w:tcPr>
            <w:tcW w:w="2662" w:type="dxa"/>
          </w:tcPr>
          <w:p>
            <w:pPr>
              <w:pStyle w:val="Compact"/>
              <w:jc w:val="center"/>
            </w:pPr>
            <w:r>
              <w:t xml:space="preserve">Folds de validação cruzada (K)</w:t>
            </w:r>
          </w:p>
        </w:tc>
        <w:tc>
          <w:tcPr>
            <w:tcW w:w="2817" w:type="dxa"/>
          </w:tcPr>
          <w:p>
            <w:pPr>
              <w:pStyle w:val="Compact"/>
              <w:jc w:val="center"/>
            </w:pPr>
            <w:r>
              <w:t xml:space="preserve">10</w:t>
            </w:r>
          </w:p>
        </w:tc>
        <w:tc>
          <w:tcPr>
            <w:tcW w:w="3591" w:type="dxa"/>
          </w:tcPr>
          <w:p>
            <w:pPr>
              <w:pStyle w:val="Compact"/>
              <w:jc w:val="center"/>
            </w:pPr>
            <w:r>
              <w:t xml:space="preserve">Padrão da literatura</w:t>
            </w:r>
          </w:p>
        </w:tc>
      </w:tr>
      <w:tr>
        <w:tc>
          <w:tcPr>
            <w:tcW w:w="2662" w:type="dxa"/>
          </w:tcPr>
          <w:p>
            <w:pPr>
              <w:pStyle w:val="Compact"/>
              <w:jc w:val="center"/>
            </w:pPr>
            <w:r>
              <w:t xml:space="preserve">Atribuição de</w:t>
            </w:r>
            <w:r>
              <w:t xml:space="preserve"> </w:t>
            </w:r>
            <w:r>
              <w:rPr>
                <w:i/>
                <w:iCs/>
              </w:rPr>
              <w:t xml:space="preserve">folds</w:t>
            </w:r>
          </w:p>
        </w:tc>
        <w:tc>
          <w:tcPr>
            <w:tcW w:w="2817" w:type="dxa"/>
          </w:tcPr>
          <w:p>
            <w:pPr>
              <w:pStyle w:val="Compact"/>
              <w:jc w:val="center"/>
            </w:pPr>
            <w:r>
              <w:t xml:space="preserve">Determinística: SHA-256 do ID do paciente</w:t>
            </w:r>
          </w:p>
        </w:tc>
        <w:tc>
          <w:tcPr>
            <w:tcW w:w="3591" w:type="dxa"/>
          </w:tcPr>
          <w:p>
            <w:pPr>
              <w:pStyle w:val="Compact"/>
              <w:jc w:val="center"/>
            </w:pPr>
            <w:r>
              <w:t xml:space="preserve">Reprodutibilidade exata</w:t>
            </w:r>
          </w:p>
        </w:tc>
      </w:tr>
      <w:tr>
        <w:tc>
          <w:tcPr>
            <w:tcW w:w="2662" w:type="dxa"/>
          </w:tcPr>
          <w:p>
            <w:pPr>
              <w:pStyle w:val="Compact"/>
              <w:jc w:val="center"/>
            </w:pPr>
            <w:r>
              <w:t xml:space="preserve">Estratificação de</w:t>
            </w:r>
            <w:r>
              <w:t xml:space="preserve"> </w:t>
            </w:r>
            <w:r>
              <w:rPr>
                <w:i/>
                <w:iCs/>
              </w:rPr>
              <w:t xml:space="preserve">folds</w:t>
            </w:r>
          </w:p>
        </w:tc>
        <w:tc>
          <w:tcPr>
            <w:tcW w:w="2817" w:type="dxa"/>
          </w:tcPr>
          <w:p>
            <w:pPr>
              <w:pStyle w:val="Compact"/>
              <w:jc w:val="center"/>
            </w:pPr>
            <w:r>
              <w:t xml:space="preserve">Por status de evento</w:t>
            </w:r>
          </w:p>
        </w:tc>
        <w:tc>
          <w:tcPr>
            <w:tcW w:w="3591" w:type="dxa"/>
          </w:tcPr>
          <w:p>
            <w:pPr>
              <w:pStyle w:val="Compact"/>
              <w:jc w:val="center"/>
            </w:pPr>
            <w:r>
              <w:t xml:space="preserve">Representatividade de eventos</w:t>
            </w:r>
          </w:p>
        </w:tc>
      </w:tr>
      <w:tr>
        <w:tc>
          <w:tcPr>
            <w:tcW w:w="2662" w:type="dxa"/>
          </w:tcPr>
          <w:p>
            <w:pPr>
              <w:pStyle w:val="Compact"/>
              <w:jc w:val="center"/>
            </w:pPr>
            <w:r>
              <w:t xml:space="preserve">Cobertura mínima de genes</w:t>
            </w:r>
          </w:p>
        </w:tc>
        <w:tc>
          <w:tcPr>
            <w:tcW w:w="2817" w:type="dxa"/>
          </w:tcPr>
          <w:p>
            <w:pPr>
              <w:pStyle w:val="Compact"/>
              <w:jc w:val="center"/>
            </w:pPr>
            <w:r>
              <w:t xml:space="preserve">80% dos 24 genes CorePAM</w:t>
            </w:r>
          </w:p>
        </w:tc>
        <w:tc>
          <w:tcPr>
            <w:tcW w:w="3591" w:type="dxa"/>
          </w:tcPr>
          <w:p>
            <w:pPr>
              <w:pStyle w:val="Compact"/>
              <w:jc w:val="center"/>
            </w:pPr>
            <w:r>
              <w:t xml:space="preserve">Equilíbrio inclusividade/integridade</w:t>
            </w:r>
          </w:p>
        </w:tc>
      </w:tr>
      <w:tr>
        <w:tc>
          <w:tcPr>
            <w:tcW w:w="2662" w:type="dxa"/>
          </w:tcPr>
          <w:p>
            <w:pPr>
              <w:pStyle w:val="Compact"/>
              <w:jc w:val="center"/>
            </w:pPr>
            <w:r>
              <w:t xml:space="preserve">Número de genes</w:t>
            </w:r>
          </w:p>
        </w:tc>
        <w:tc>
          <w:tcPr>
            <w:tcW w:w="2817" w:type="dxa"/>
          </w:tcPr>
          <w:p>
            <w:pPr>
              <w:pStyle w:val="Compact"/>
              <w:jc w:val="center"/>
            </w:pPr>
            <w:r>
              <w:rPr>
                <w:b/>
                <w:bCs/>
              </w:rPr>
              <w:t xml:space="preserve">Não pré-especificado</w:t>
            </w:r>
          </w:p>
        </w:tc>
        <w:tc>
          <w:tcPr>
            <w:tcW w:w="3591" w:type="dxa"/>
          </w:tcPr>
          <w:p>
            <w:pPr>
              <w:pStyle w:val="Compact"/>
              <w:jc w:val="center"/>
            </w:pPr>
            <w:r>
              <w:t xml:space="preserve">Resultado da análise, não parâmetro</w:t>
            </w:r>
          </w:p>
        </w:tc>
      </w:tr>
    </w:tbl>
    <w:bookmarkEnd w:id="72"/>
    <w:p/>
    <w:bookmarkStart w:id="73"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é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73"/>
    <w:bookmarkStart w:id="74"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6"/>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6"/>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6"/>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é aproximadamente uniforme mesmo com N moderado (N = 3 069 no SCAN-B produz</w:t>
      </w:r>
      <w:r>
        <w:t xml:space="preserve"> </w:t>
      </w:r>
      <w:r>
        <w:rPr>
          <w:i/>
          <w:iCs/>
        </w:rPr>
        <w:t xml:space="preserve">folds</w:t>
      </w:r>
      <w:r>
        <w:t xml:space="preserve"> </w:t>
      </w:r>
      <w:r>
        <w:t xml:space="preserve">de tamanhos entre 295 e 320).</w:t>
      </w:r>
    </w:p>
    <w:bookmarkEnd w:id="74"/>
    <w:bookmarkStart w:id="75"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75"/>
    <w:bookmarkEnd w:id="76"/>
    <w:bookmarkStart w:id="80"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realístico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36</w:t>
      </w:r>
      <w:r>
        <w:t xml:space="preserve">.</w:t>
      </w:r>
    </w:p>
    <w:bookmarkStart w:id="77"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77"/>
    <w:bookmarkStart w:id="79"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8" w:name="tbl-gene-coverage"/>
      <w:r>
        <w:t xml:space="preserve">Tabela 6 — Cobertura de genes CorePAM por coorte de validação</w:t>
      </w:r>
    </w:p>
    <w:tbl>
      <w:tblPr>
        <w:tblStyle w:val="Table"/>
        <w:tblW w:type="dxa" w:w="9070"/>
        <w:tblLayout w:type="fixed"/>
        <w:tblLook w:firstRow="1" w:lastRow="0" w:firstColumn="0" w:lastColumn="0" w:noHBand="0" w:noVBand="0" w:val="0020"/>
      </w:tblPr>
      <w:tblGrid>
        <w:gridCol w:w="1600"/>
        <w:gridCol w:w="2612"/>
        <w:gridCol w:w="938"/>
        <w:gridCol w:w="1453"/>
        <w:gridCol w:w="2467"/>
      </w:tblGrid>
      <w:tr>
        <w:trPr>
          <w:tblHeader w:val="on"/>
        </w:trPr>
        <w:tc>
          <w:tcPr>
            <w:tcW w:w="1600" w:type="dxa"/>
          </w:tcPr>
          <w:p>
            <w:pPr>
              <w:pStyle w:val="Compact"/>
              <w:jc w:val="left"/>
              <w:jc w:val="center"/>
            </w:pPr>
            <w:r>
              <w:t xml:space="preserve">Coorte</w:t>
            </w:r>
          </w:p>
        </w:tc>
        <w:tc>
          <w:tcPr>
            <w:tcW w:w="2612" w:type="dxa"/>
          </w:tcPr>
          <w:p>
            <w:pPr>
              <w:pStyle w:val="Compact"/>
              <w:jc w:val="left"/>
              <w:jc w:val="center"/>
            </w:pPr>
            <w:r>
              <w:t xml:space="preserve">Plataforma</w:t>
            </w:r>
          </w:p>
        </w:tc>
        <w:tc>
          <w:tcPr>
            <w:tcW w:w="938" w:type="dxa"/>
          </w:tcPr>
          <w:p>
            <w:pPr>
              <w:pStyle w:val="Compact"/>
              <w:jc w:val="center"/>
              <w:jc w:val="center"/>
            </w:pPr>
            <w:r>
              <w:t xml:space="preserve">Genes</w:t>
            </w:r>
          </w:p>
        </w:tc>
        <w:tc>
          <w:tcPr>
            <w:tcW w:w="1453" w:type="dxa"/>
          </w:tcPr>
          <w:p>
            <w:pPr>
              <w:pStyle w:val="Compact"/>
              <w:jc w:val="center"/>
              <w:jc w:val="center"/>
            </w:pPr>
            <w:r>
              <w:t xml:space="preserve">Cobertura</w:t>
            </w:r>
          </w:p>
        </w:tc>
        <w:tc>
          <w:tcPr>
            <w:tcW w:w="2467" w:type="dxa"/>
          </w:tcPr>
          <w:p>
            <w:pPr>
              <w:pStyle w:val="Compact"/>
              <w:jc w:val="left"/>
              <w:jc w:val="center"/>
            </w:pPr>
            <w:r>
              <w:t xml:space="preserve">Ausentes</w:t>
            </w:r>
          </w:p>
        </w:tc>
      </w:tr>
      <w:tr>
        <w:tc>
          <w:tcPr>
            <w:tcW w:w="1600" w:type="dxa"/>
          </w:tcPr>
          <w:p>
            <w:pPr>
              <w:pStyle w:val="Compact"/>
              <w:jc w:val="left"/>
              <w:jc w:val="center"/>
            </w:pPr>
            <w:r>
              <w:t xml:space="preserve">SCAN-B</w:t>
            </w:r>
          </w:p>
        </w:tc>
        <w:tc>
          <w:tcPr>
            <w:tcW w:w="2612" w:type="dxa"/>
          </w:tcPr>
          <w:p>
            <w:pPr>
              <w:pStyle w:val="Compact"/>
              <w:jc w:val="left"/>
              <w:jc w:val="center"/>
            </w:pPr>
            <w:r>
              <w:t xml:space="preserve">RNA-seq Illumina</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TCGA-BRCA</w:t>
            </w:r>
          </w:p>
        </w:tc>
        <w:tc>
          <w:tcPr>
            <w:tcW w:w="2612" w:type="dxa"/>
          </w:tcPr>
          <w:p>
            <w:pPr>
              <w:pStyle w:val="Compact"/>
              <w:jc w:val="left"/>
              <w:jc w:val="center"/>
            </w:pPr>
            <w:r>
              <w:t xml:space="preserve">RNA-seq STAR/GDC</w:t>
            </w:r>
          </w:p>
        </w:tc>
        <w:tc>
          <w:tcPr>
            <w:tcW w:w="938" w:type="dxa"/>
          </w:tcPr>
          <w:p>
            <w:pPr>
              <w:pStyle w:val="Compact"/>
              <w:jc w:val="center"/>
              <w:jc w:val="center"/>
            </w:pPr>
            <w:r>
              <w:t xml:space="preserve">23/24</w:t>
            </w:r>
          </w:p>
        </w:tc>
        <w:tc>
          <w:tcPr>
            <w:tcW w:w="1453" w:type="dxa"/>
          </w:tcPr>
          <w:p>
            <w:pPr>
              <w:pStyle w:val="Compact"/>
              <w:jc w:val="center"/>
              <w:jc w:val="center"/>
            </w:pPr>
            <w:r>
              <w:t xml:space="preserve">95,8%</w:t>
            </w:r>
          </w:p>
        </w:tc>
        <w:tc>
          <w:tcPr>
            <w:tcW w:w="2467" w:type="dxa"/>
          </w:tcPr>
          <w:p>
            <w:pPr>
              <w:pStyle w:val="Compact"/>
              <w:jc w:val="left"/>
              <w:jc w:val="center"/>
            </w:pPr>
            <w:r>
              <w:t xml:space="preserve">MIA</w:t>
            </w:r>
          </w:p>
        </w:tc>
      </w:tr>
      <w:tr>
        <w:tc>
          <w:tcPr>
            <w:tcW w:w="1600" w:type="dxa"/>
          </w:tcPr>
          <w:p>
            <w:pPr>
              <w:pStyle w:val="Compact"/>
              <w:jc w:val="left"/>
              <w:jc w:val="center"/>
            </w:pPr>
            <w:r>
              <w:t xml:space="preserve">METABRIC</w:t>
            </w:r>
          </w:p>
        </w:tc>
        <w:tc>
          <w:tcPr>
            <w:tcW w:w="2612" w:type="dxa"/>
          </w:tcPr>
          <w:p>
            <w:pPr>
              <w:pStyle w:val="Compact"/>
              <w:jc w:val="left"/>
              <w:jc w:val="center"/>
            </w:pPr>
            <w:r>
              <w:t xml:space="preserve">Illumina HT-12</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GSE20685</w:t>
            </w:r>
          </w:p>
        </w:tc>
        <w:tc>
          <w:tcPr>
            <w:tcW w:w="2612" w:type="dxa"/>
          </w:tcPr>
          <w:p>
            <w:pPr>
              <w:pStyle w:val="Compact"/>
              <w:jc w:val="left"/>
              <w:jc w:val="center"/>
            </w:pPr>
            <w:r>
              <w:t xml:space="preserve">Affymetrix HG-U133+</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GSE1456</w:t>
            </w:r>
          </w:p>
        </w:tc>
        <w:tc>
          <w:tcPr>
            <w:tcW w:w="2612" w:type="dxa"/>
          </w:tcPr>
          <w:p>
            <w:pPr>
              <w:pStyle w:val="Compact"/>
              <w:jc w:val="left"/>
              <w:jc w:val="center"/>
            </w:pPr>
            <w:r>
              <w:t xml:space="preserve">Affymetrix HGU133A</w:t>
            </w:r>
          </w:p>
        </w:tc>
        <w:tc>
          <w:tcPr>
            <w:tcW w:w="938" w:type="dxa"/>
          </w:tcPr>
          <w:p>
            <w:pPr>
              <w:pStyle w:val="Compact"/>
              <w:jc w:val="center"/>
              <w:jc w:val="center"/>
            </w:pPr>
            <w:r>
              <w:t xml:space="preserve">21/24</w:t>
            </w:r>
          </w:p>
        </w:tc>
        <w:tc>
          <w:tcPr>
            <w:tcW w:w="1453" w:type="dxa"/>
          </w:tcPr>
          <w:p>
            <w:pPr>
              <w:pStyle w:val="Compact"/>
              <w:jc w:val="center"/>
              <w:jc w:val="center"/>
            </w:pPr>
            <w:r>
              <w:t xml:space="preserve">87,5%</w:t>
            </w:r>
          </w:p>
        </w:tc>
        <w:tc>
          <w:tcPr>
            <w:tcW w:w="2467" w:type="dxa"/>
          </w:tcPr>
          <w:p>
            <w:pPr>
              <w:pStyle w:val="Compact"/>
              <w:jc w:val="left"/>
              <w:jc w:val="center"/>
            </w:pPr>
            <w:r>
              <w:t xml:space="preserve">GPR160; CXXC5; KRT17</w:t>
            </w:r>
          </w:p>
        </w:tc>
      </w:tr>
    </w:tbl>
    <w:bookmarkEnd w:id="78"/>
    <w:p/>
    <w:p>
      <w:pPr>
        <w:pStyle w:val="BodyText"/>
      </w:pPr>
      <w:r>
        <w:t xml:space="preserve">Esta tabela evita uma possível leitura equivocada. O CorePAM é, por definição, um escore de</w:t>
      </w:r>
      <w:r>
        <w:t xml:space="preserve"> </w:t>
      </w:r>
      <w:r>
        <w:rPr>
          <w:b/>
          <w:bCs/>
        </w:rPr>
        <w:t xml:space="preserve">24 genes</w:t>
      </w:r>
      <w:r>
        <w:t xml:space="preserve">. Quando a</w:t>
      </w:r>
      <w:r>
        <w:t xml:space="preserve"> </w:t>
      </w:r>
      <w:hyperlink w:anchor="tbl-gene-coverage">
        <w:r>
          <w:rPr>
            <w:rStyle w:val="Hyperlink"/>
            <w:color w:val="0563C1"/>
            <w:u w:val="single"/>
          </w:rPr>
          <w:t xml:space="preserve">Tabela 6</w:t>
        </w:r>
      </w:hyperlink>
      <w:r>
        <w:t xml:space="preserve"> </w:t>
      </w:r>
      <w:r>
        <w:t xml:space="preserve">mostra 23/24 em TCGA-BRCA ou 21/24 em GSE1456, isso não significa que o modelo mudou de tamanho. Significa apenas que aquela plataforma pública não mediu todos os 24 genes com qualidade suficiente. Nesses casos, o escore foi calculado com os genes disponíveis e reescalonado pelo somatório dos pesos presentes, regra definida antes da validação. Essa decisão preserva a coorte no estudo sem imputar artificialmente genes ausentes.</w:t>
      </w:r>
    </w:p>
    <w:bookmarkEnd w:id="79"/>
    <w:bookmarkEnd w:id="80"/>
    <w:bookmarkStart w:id="89" w:name="derivação-do-corepam"/>
    <w:p>
      <w:pPr>
        <w:pStyle w:val="Heading2"/>
      </w:pPr>
      <w:r>
        <w:t xml:space="preserve">3.5 Derivação do CorePAM</w:t>
      </w:r>
    </w:p>
    <w:p>
      <w:pPr>
        <w:pStyle w:val="Compact"/>
        <w:jc w:val="center"/>
      </w:pPr>
      <w:bookmarkStart w:id="84" w:name="fig-derivacao"/>
      <w:r>
        <w:drawing>
          <wp:inline>
            <wp:extent cx="5687999" cy="5191048"/>
            <wp:effectExtent b="0" l="0" r="0" t="0"/>
            <wp:docPr descr="" title="" id="82" name="Picture"/>
            <a:graphic>
              <a:graphicData uri="http://schemas.openxmlformats.org/drawingml/2006/picture">
                <pic:pic>
                  <pic:nvPicPr>
                    <pic:cNvPr descr="../figures/didaticas/pt/png/B9_Derivacao_CorePAM_PT.png" id="83" name="Picture"/>
                    <pic:cNvPicPr>
                      <a:picLocks noChangeArrowheads="1" noChangeAspect="1"/>
                    </pic:cNvPicPr>
                  </pic:nvPicPr>
                  <pic:blipFill>
                    <a:blip r:embed="rId81"/>
                    <a:stretch>
                      <a:fillRect/>
                    </a:stretch>
                  </pic:blipFill>
                  <pic:spPr bwMode="auto">
                    <a:xfrm>
                      <a:off x="0" y="0"/>
                      <a:ext cx="5687999" cy="5191048"/>
                    </a:xfrm>
                    <a:prstGeom prst="rect">
                      <a:avLst/>
                    </a:prstGeom>
                    <a:noFill/>
                    <a:ln w="9525">
                      <a:noFill/>
                      <a:headEnd/>
                      <a:tailEnd/>
                    </a:ln>
                  </pic:spPr>
                </pic:pic>
              </a:graphicData>
            </a:graphic>
          </wp:inline>
        </w:drawing>
      </w:r>
    </w:p>
    <w:p>
      <w:pPr>
        <w:jc w:val="left"/>
        <w:spacing w:before="200"/>
        <w:pStyle w:val="ImageCaption"/>
      </w:pPr>
      <w:r>
        <w:t xml:space="preserve">Figura 6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84"/>
    <w:p>
      <w:pPr>
        <w:pStyle w:val="BodyText"/>
      </w:pPr>
      <w:r>
        <w:t xml:space="preserve">Na</w:t>
      </w:r>
      <w:r>
        <w:t xml:space="preserve"> </w:t>
      </w:r>
      <w:hyperlink w:anchor="fig-derivacao">
        <w:r>
          <w:rPr>
            <w:rStyle w:val="Hyperlink"/>
            <w:color w:val="0563C1"/>
            <w:u w:val="single"/>
          </w:rPr>
          <w:t xml:space="preserve">Figura 6</w:t>
        </w:r>
      </w:hyperlink>
      <w:r>
        <w:t xml:space="preserve">, o fluxo deve ser lido da esquerda para a direita. Primeiro entram os 50 genes do PAM50 candidatos no SCAN-B. Em seguida, a regressão de Cox</w:t>
      </w:r>
      <w:r>
        <w:t xml:space="preserve"> </w:t>
      </w:r>
      <w:r>
        <w:rPr>
          <w:i/>
          <w:iCs/>
        </w:rPr>
        <w:t xml:space="preserve">elastic-net</w:t>
      </w:r>
      <w:r>
        <w:t xml:space="preserve"> </w:t>
      </w:r>
      <w:r>
        <w:t xml:space="preserve">funciona como uma triagem disciplinada: genes redundantes ou instáveis tendem a perder peso, enquanto genes que contribuem para ordenar o risco permanecem. A validação cruzada</w:t>
      </w:r>
      <w:r>
        <w:t xml:space="preserve"> </w:t>
      </w:r>
      <w:r>
        <w:rPr>
          <w:i/>
          <w:iCs/>
        </w:rPr>
        <w:t xml:space="preserve">out-of-fold</w:t>
      </w:r>
      <w:r>
        <w:t xml:space="preserve"> </w:t>
      </w:r>
      <w:r>
        <w:t xml:space="preserve">é o mecanismo de proteção contra autoengano estatístico: cada paciente é avaliada por um modelo que não a viu no treino, como se fosse uma paciente nova no ambulatório. O critério de não inferioridade entra no final da seleção e muda a pergunta de</w:t>
      </w:r>
      <w:r>
        <w:t xml:space="preserve"> </w:t>
      </w:r>
      <w:r>
        <w:t xml:space="preserve">“qual modelo tem o maior número possível?”</w:t>
      </w:r>
      <w:r>
        <w:t xml:space="preserve"> </w:t>
      </w:r>
      <w:r>
        <w:t xml:space="preserve">para</w:t>
      </w:r>
      <w:r>
        <w:t xml:space="preserve"> </w:t>
      </w:r>
      <w:r>
        <w:t xml:space="preserve">“qual é o menor modelo que praticamente não perde desempenho?”</w:t>
      </w:r>
      <w:r>
        <w:t xml:space="preserve">. O resultado do diagrama é o CorePAM com 24 genes. Só depois disso o escore vai para validação externa, já congelado. Essa sequência é fundamental: se a validação pudesse influenciar a escolha dos genes, deixaria de ser validação.</w:t>
      </w:r>
    </w:p>
    <w:bookmarkStart w:id="85"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 foi escolhida porque o desfecho principal é tempo até evento: não basta saber se a paciente morreu ou não morreu; importa também</w:t>
      </w:r>
      <w:r>
        <w:t xml:space="preserve"> </w:t>
      </w:r>
      <w:r>
        <w:rPr>
          <w:b/>
          <w:bCs/>
        </w:rPr>
        <w:t xml:space="preserve">quando</w:t>
      </w:r>
      <w:r>
        <w:t xml:space="preserve"> </w:t>
      </w:r>
      <w:r>
        <w:t xml:space="preserve">isso ocorreu e por quanto tempo as demais pacientes foram acompanhadas sem evento. A versão</w:t>
      </w:r>
      <w:r>
        <w:t xml:space="preserve"> </w:t>
      </w:r>
      <w:r>
        <w:rPr>
          <w:i/>
          <w:iCs/>
        </w:rPr>
        <w:t xml:space="preserve">elastic-net</w:t>
      </w:r>
      <w:r>
        <w:t xml:space="preserve"> </w:t>
      </w:r>
      <w:r>
        <w:t xml:space="preserve">acrescenta uma penalização aos coeficientes do modelo</w:t>
      </w:r>
      <w:r>
        <w:rPr>
          <w:vertAlign w:val="superscript"/>
        </w:rPr>
        <w:t xml:space="preserve">52–56</w:t>
      </w:r>
      <w:r>
        <w:t xml:space="preserve">. Em linguagem prática, essa penalização funciona como um freio: impede que genes com sinal fraco ou instável recebam peso exagerado apenas porque se ajustaram bem ao acaso da coorte de treinamento.</w:t>
      </w:r>
    </w:p>
    <w:p>
      <w:pPr>
        <w:pStyle w:val="BodyText"/>
      </w:pPr>
      <w:r>
        <w:t xml:space="preserve">O</w:t>
      </w:r>
      <w:r>
        <w:t xml:space="preserve"> </w:t>
      </w:r>
      <w:r>
        <w:rPr>
          <w:i/>
          <w:iCs/>
        </w:rPr>
        <w:t xml:space="preserve">elastic-net</w:t>
      </w:r>
      <w:r>
        <w:t xml:space="preserve"> </w:t>
      </w:r>
      <w:r>
        <w:t xml:space="preserve">combina duas ideias complementares. A parte chamada</w:t>
      </w:r>
      <w:r>
        <w:t xml:space="preserve"> </w:t>
      </w:r>
      <w:r>
        <w:rPr>
          <w:i/>
          <w:iCs/>
        </w:rPr>
        <w:t xml:space="preserve">lasso</w:t>
      </w:r>
      <w:r>
        <w:t xml:space="preserve"> </w:t>
      </w:r>
      <w:r>
        <w:t xml:space="preserve">ajuda a zerar coeficientes pequenos e, portanto, seleciona genes. A parte chamada</w:t>
      </w:r>
      <w:r>
        <w:t xml:space="preserve"> </w:t>
      </w:r>
      <w:r>
        <w:rPr>
          <w:i/>
          <w:iCs/>
        </w:rPr>
        <w:t xml:space="preserve">ridge</w:t>
      </w:r>
      <w:r>
        <w:t xml:space="preserve"> </w:t>
      </w:r>
      <w:r>
        <w:t xml:space="preserve">estabiliza os pesos quando vários genes medem aspectos parecidos da biologia tumoral. Essa combinação é particularmente adequada ao PAM50, porque muitos genes pertencem aos mesmos programas biológicos, como proliferação ou diferenciação luminal. Um método que escolhesse apenas um gene representante de cada bloco poderia parecer mais simples, mas seria biologicamente frágil.</w:t>
      </w:r>
    </w:p>
    <w:p>
      <w:pPr>
        <w:pStyle w:val="BodyText"/>
      </w:pPr>
      <w:r>
        <w:t xml:space="preserve">O parâmetro de mistura foi congelado em</w:t>
      </w:r>
      <w:r>
        <w:t xml:space="preserve"> </w:t>
      </w:r>
      <w:r>
        <w:rPr>
          <w:b/>
          <w:bCs/>
          <w:i/>
          <w:iCs/>
        </w:rPr>
        <w:t xml:space="preserve">alpha</w:t>
      </w:r>
      <w:r>
        <w:rPr>
          <w:b/>
          <w:bCs/>
        </w:rPr>
        <w:t xml:space="preserve"> </w:t>
      </w:r>
      <w:r>
        <w:rPr>
          <w:b/>
          <w:bCs/>
        </w:rPr>
        <w:t xml:space="preserve">= 0,5</w:t>
      </w:r>
      <w:r>
        <w:t xml:space="preserve">, isto é, metade</w:t>
      </w:r>
      <w:r>
        <w:t xml:space="preserve"> </w:t>
      </w:r>
      <w:r>
        <w:rPr>
          <w:i/>
          <w:iCs/>
        </w:rPr>
        <w:t xml:space="preserve">lasso</w:t>
      </w:r>
      <w:r>
        <w:t xml:space="preserve"> </w:t>
      </w:r>
      <w:r>
        <w:t xml:space="preserve">e metade</w:t>
      </w:r>
      <w:r>
        <w:t xml:space="preserve"> </w:t>
      </w:r>
      <w:r>
        <w:rPr>
          <w:i/>
          <w:iCs/>
        </w:rPr>
        <w:t xml:space="preserve">ridge</w:t>
      </w:r>
      <w:r>
        <w:t xml:space="preserve">. A decisão foi tomada antes das análises principais porque equilibrava três necessidades: reduzir o número de genes, manter estabilidade entre genes correlacionados e evitar um modelo excessivamente adaptado ao SCAN-B. O parâmetro</w:t>
      </w:r>
      <w:r>
        <w:t xml:space="preserve"> </w:t>
      </w:r>
      <w:r>
        <w:rPr>
          <w:i/>
          <w:iCs/>
        </w:rPr>
        <w:t xml:space="preserve">lambda</w:t>
      </w:r>
      <w:r>
        <w:t xml:space="preserve">, que controla a intensidade da penalização, foi avaliado em 100 valores. Para cada valor, o estudo registrou quantos genes permaneciam no modelo e qual era o desempenho fora da amostra de treino.</w:t>
      </w:r>
    </w:p>
    <w:bookmarkEnd w:id="85"/>
    <w:bookmarkStart w:id="86"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durante a derivação foi medido por validação cruzada de 10 partes (</w:t>
      </w:r>
      <w:r>
        <w:rPr>
          <w:i/>
          <w:iCs/>
        </w:rPr>
        <w:t xml:space="preserve">10-fold cross-validation</w:t>
      </w:r>
      <w:r>
        <w:t xml:space="preserve">). A lógica é simples: divide-se a coorte SCAN-B em 10 grupos; em cada rodada, o modelo aprende em nove grupos e prediz o grupo que ficou de fora. Assim, cada paciente recebe uma predição feita por um modelo que não a utilizou no treinamento. Essa predição fora do treino é chamada</w:t>
      </w:r>
      <w:r>
        <w:t xml:space="preserve"> </w:t>
      </w:r>
      <w:r>
        <w:rPr>
          <w:i/>
          <w:iCs/>
        </w:rPr>
        <w:t xml:space="preserve">out-of-fold</w:t>
      </w:r>
      <w:r>
        <w:t xml:space="preserve">.</w:t>
      </w:r>
    </w:p>
    <w:p>
      <w:pPr>
        <w:pStyle w:val="BodyText"/>
      </w:pPr>
      <w:r>
        <w:t xml:space="preserve">Ao final, as predições dos 10 grupos foram reunidas e o</w:t>
      </w:r>
      <w:r>
        <w:t xml:space="preserve"> </w:t>
      </w:r>
      <w:r>
        <w:rPr>
          <w:i/>
          <w:iCs/>
        </w:rPr>
        <w:t xml:space="preserve">C-index</w:t>
      </w:r>
      <w:r>
        <w:t xml:space="preserve"> </w:t>
      </w:r>
      <w:r>
        <w:t xml:space="preserve">foi calculado uma única vez sobre todas as pacientes. Essa escolha evita uma média instável de resultados pequenos por grupo e produz uma estimativa mais limpa do desempenho esperado em pacientes novas.</w:t>
      </w:r>
    </w:p>
    <w:bookmarkEnd w:id="86"/>
    <w:bookmarkStart w:id="87" w:name="X7b617c6abbdaf85a2844f60bf9a6aa03312b489"/>
    <w:p>
      <w:pPr>
        <w:pStyle w:val="Heading3"/>
      </w:pPr>
      <w:r>
        <w:t xml:space="preserve">3.5.3 Critério de seleção: não inferioridade e fronteira de Pareto</w:t>
      </w:r>
    </w:p>
    <w:p>
      <w:pPr>
        <w:pStyle w:val="FirstParagraph"/>
      </w:pPr>
      <w:r>
        <w:t xml:space="preserve">Para cada intensidade de penalização, o estudo observou duas coisas: o número de genes ainda presentes no modelo e o</w:t>
      </w:r>
      <w:r>
        <w:t xml:space="preserve"> </w:t>
      </w:r>
      <w:r>
        <w:rPr>
          <w:i/>
          <w:iCs/>
        </w:rPr>
        <w:t xml:space="preserve">C-index</w:t>
      </w:r>
      <w:r>
        <w:t xml:space="preserve"> </w:t>
      </w:r>
      <w:r>
        <w:rPr>
          <w:i/>
          <w:iCs/>
        </w:rPr>
        <w:t xml:space="preserve">out-of-fold</w:t>
      </w:r>
      <w:r>
        <w:t xml:space="preserve">. A fronteira de Pareto organiza essa troca entre simplicidade e desempenho. Um ponto da fronteira é interessante quando não existe outro modelo ao mesmo tempo menor e melhor.</w:t>
      </w:r>
    </w:p>
    <w:p>
      <w:pPr>
        <w:pStyle w:val="BodyText"/>
      </w:pPr>
      <w:r>
        <w:t xml:space="preserve">O CorePAM foi definido como o menor modelo cujo</w:t>
      </w:r>
      <w:r>
        <w:t xml:space="preserve"> </w:t>
      </w:r>
      <w:r>
        <w:rPr>
          <w:i/>
          <w:iCs/>
        </w:rPr>
        <w:t xml:space="preserve">C-index</w:t>
      </w:r>
      <w:r>
        <w:t xml:space="preserve"> </w:t>
      </w:r>
      <w:r>
        <w:t xml:space="preserve">estivesse no máximo 0,010 abaixo do melhor</w:t>
      </w:r>
      <w:r>
        <w:t xml:space="preserve"> </w:t>
      </w:r>
      <w:r>
        <w:rPr>
          <w:i/>
          <w:iCs/>
        </w:rPr>
        <w:t xml:space="preserve">C-index</w:t>
      </w:r>
      <w:r>
        <w:t xml:space="preserve"> </w:t>
      </w:r>
      <w:r>
        <w:t xml:space="preserve">observado. Essa é a margem de não inferioridade. A pergunta, portanto, não foi</w:t>
      </w:r>
      <w:r>
        <w:t xml:space="preserve"> </w:t>
      </w:r>
      <w:r>
        <w:t xml:space="preserve">“qual ponto tem o maior número na terceira casa decimal?”</w:t>
      </w:r>
      <w:r>
        <w:t xml:space="preserve">, mas</w:t>
      </w:r>
      <w:r>
        <w:t xml:space="preserve"> </w:t>
      </w:r>
      <w:r>
        <w:t xml:space="preserve">“qual é o menor conjunto de genes que preserva praticamente todo o desempenho?”</w:t>
      </w:r>
      <w:r>
        <w:t xml:space="preserve">. O resultado foi</w:t>
      </w:r>
      <w:r>
        <w:t xml:space="preserve"> </w:t>
      </w:r>
      <w:r>
        <w:rPr>
          <w:b/>
          <w:bCs/>
        </w:rPr>
        <w:t xml:space="preserve">24 genes</w:t>
      </w:r>
      <w:r>
        <w:t xml:space="preserve">, com</w:t>
      </w:r>
      <w:r>
        <w:t xml:space="preserve"> </w:t>
      </w:r>
      <w:r>
        <w:rPr>
          <w:i/>
          <w:iCs/>
        </w:rPr>
        <w:t xml:space="preserve">C-index</w:t>
      </w:r>
      <w:r>
        <w:t xml:space="preserve"> </w:t>
      </w:r>
      <w:r>
        <w:rPr>
          <w:i/>
          <w:iCs/>
        </w:rPr>
        <w:t xml:space="preserve">out-of-fold</w:t>
      </w:r>
      <w:r>
        <w:t xml:space="preserve"> </w:t>
      </w:r>
      <w:r>
        <w:t xml:space="preserve">=</w:t>
      </w:r>
      <w:r>
        <w:t xml:space="preserve"> </w:t>
      </w:r>
      <w:r>
        <w:rPr>
          <w:b/>
          <w:bCs/>
        </w:rPr>
        <w:t xml:space="preserve">0,670</w:t>
      </w:r>
      <w:r>
        <w:t xml:space="preserve">. O máximo observado foi</w:t>
      </w:r>
      <w:r>
        <w:t xml:space="preserve"> </w:t>
      </w:r>
      <w:r>
        <w:rPr>
          <w:b/>
          <w:bCs/>
        </w:rPr>
        <w:t xml:space="preserve">0,679</w:t>
      </w:r>
      <w:r>
        <w:t xml:space="preserve">, diferença de</w:t>
      </w:r>
      <w:r>
        <w:t xml:space="preserve"> </w:t>
      </w:r>
      <w:r>
        <w:rPr>
          <w:b/>
          <w:bCs/>
        </w:rPr>
        <w:t xml:space="preserve">0,009</w:t>
      </w:r>
      <w:r>
        <w:t xml:space="preserve">, dentro da margem definida antes da análise.</w:t>
      </w:r>
    </w:p>
    <w:bookmarkEnd w:id="87"/>
    <w:bookmarkStart w:id="88" w:name="análises-de-estabilidade-da-seleção"/>
    <w:p>
      <w:pPr>
        <w:pStyle w:val="Heading3"/>
      </w:pPr>
      <w:r>
        <w:t xml:space="preserve">3.5.4 Análises de estabilidade da seleção</w:t>
      </w:r>
    </w:p>
    <w:p>
      <w:pPr>
        <w:pStyle w:val="FirstParagraph"/>
      </w:pPr>
      <w:r>
        <w:t xml:space="preserve">Depois de congelar os 24 genes, foram feitas três verificações de robustez. O objetivo não era escolher genes novamente, mas entender se o conjunto final dependia de uma coincidência estatística.</w:t>
      </w:r>
    </w:p>
    <w:p>
      <w:pPr>
        <w:pStyle w:val="Compact"/>
        <w:numPr>
          <w:ilvl w:val="0"/>
          <w:numId w:val="1007"/>
        </w:numPr>
      </w:pPr>
      <w:r>
        <w:rPr>
          <w:b/>
          <w:bCs/>
        </w:rPr>
        <w:t xml:space="preserve">Bootstrap (B = 200):</w:t>
      </w:r>
      <w:r>
        <w:t xml:space="preserve"> </w:t>
      </w:r>
      <w:r>
        <w:t xml:space="preserve">a SCAN-B foi reamostrada 200 vezes, e o procedimento de seleção foi repetido. Genes que reaparecem com frequência alta são mais estáveis.</w:t>
      </w:r>
    </w:p>
    <w:p>
      <w:pPr>
        <w:pStyle w:val="Compact"/>
        <w:numPr>
          <w:ilvl w:val="0"/>
          <w:numId w:val="1007"/>
        </w:numPr>
      </w:pPr>
      <w:r>
        <w:rPr>
          <w:b/>
          <w:bCs/>
        </w:rPr>
        <w:t xml:space="preserve">Leave-one-gene-out:</w:t>
      </w:r>
      <w:r>
        <w:t xml:space="preserve"> </w:t>
      </w:r>
      <w:r>
        <w:t xml:space="preserve">cada gene do CorePAM foi removido uma vez, e o modelo foi recalculado com os 23 genes restantes. Se a retirada de um único gene derrubasse muito o desempenho, o escore dependeria demais dele.</w:t>
      </w:r>
    </w:p>
    <w:p>
      <w:pPr>
        <w:pStyle w:val="Compact"/>
        <w:numPr>
          <w:ilvl w:val="0"/>
          <w:numId w:val="1007"/>
        </w:numPr>
      </w:pPr>
      <w:r>
        <w:rPr>
          <w:b/>
          <w:bCs/>
        </w:rPr>
        <w:t xml:space="preserve">Direção dos pesos:</w:t>
      </w:r>
      <w:r>
        <w:t xml:space="preserve"> </w:t>
      </w:r>
      <w:r>
        <w:t xml:space="preserve">os sinais dos coeficientes foram comparados com a biologia esperada. Genes de proliferação deveriam, em geral, apontar para maior risco; genes de diferenciação luminal deveriam apontar para comportamento mais favorável.</w:t>
      </w:r>
    </w:p>
    <w:bookmarkEnd w:id="88"/>
    <w:bookmarkEnd w:id="89"/>
    <w:bookmarkStart w:id="91"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90"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mão da referência intra-coorte. A concordância entre os dois modos (intra-coorte vs congelado) foi avaliada por coeficiente de correlação de Pearson e por</w:t>
      </w:r>
      <w:r>
        <w:t xml:space="preserve"> </w:t>
      </w:r>
      <w:r>
        <w:rPr>
          <w:i/>
          <w:iCs/>
        </w:rPr>
        <w:t xml:space="preserve">C-index</w:t>
      </w:r>
      <w:r>
        <w:t xml:space="preserve"> </w:t>
      </w:r>
      <w:r>
        <w:t xml:space="preserve">na mesma coorte.</w:t>
      </w:r>
    </w:p>
    <w:bookmarkEnd w:id="90"/>
    <w:bookmarkEnd w:id="91"/>
    <w:bookmarkStart w:id="99" w:name="análise-de-sobrevida"/>
    <w:p>
      <w:pPr>
        <w:pStyle w:val="Heading2"/>
      </w:pPr>
      <w:r>
        <w:t xml:space="preserve">3.7 Análise de sobrevida</w:t>
      </w:r>
    </w:p>
    <w:bookmarkStart w:id="92" w:name="modelos-de-cox"/>
    <w:p>
      <w:pPr>
        <w:pStyle w:val="Heading3"/>
      </w:pPr>
      <w:r>
        <w:t xml:space="preserve">3.7.1 Modelos de Cox</w:t>
      </w:r>
    </w:p>
    <w:p>
      <w:pPr>
        <w:pStyle w:val="FirstParagraph"/>
      </w:pPr>
      <w:r>
        <w:t xml:space="preserve">Foram ajustados modelos de Cox simples e ajustados. No modelo simples, o único preditor foi o escore CorePAM. Nos modelos ajustados, o escore foi combinado com variáveis clínicas disponíveis, principalmente idade e status do receptor de estrogênio. O resultado principal foi o</w:t>
      </w:r>
      <w:r>
        <w:t xml:space="preserve"> </w:t>
      </w:r>
      <w:r>
        <w:rPr>
          <w:i/>
          <w:iCs/>
        </w:rPr>
        <w:t xml:space="preserve">hazard ratio</w:t>
      </w:r>
      <w:r>
        <w:t xml:space="preserve"> </w:t>
      </w:r>
      <w:r>
        <w:t xml:space="preserve">por aumento de 1 desvio-padrão do escore. Essa escala foi escolhida porque permite comparar coortes medidas em plataformas diferentes: em vez de depender de uma unidade laboratorial específica, pergunta-se o que acontece quando a paciente está um desvio-padrão acima da média daquela coorte.</w:t>
      </w:r>
    </w:p>
    <w:p>
      <w:pPr>
        <w:pStyle w:val="BodyText"/>
      </w:pPr>
      <w:r>
        <w:t xml:space="preserve">A suposição de riscos proporcionais foi avaliada pelo teste de Grambsch-Therneau</w:t>
      </w:r>
      <w:r>
        <w:rPr>
          <w:vertAlign w:val="superscript"/>
        </w:rPr>
        <w:t xml:space="preserve">57,58</w:t>
      </w:r>
      <w:r>
        <w:t xml:space="preserve">. Quando havia sinal de violação, a análise era repetida de forma estratificada pela covariável problemática. Essa checagem é importante porque o modelo de Cox pressupõe que a razão de risco entre grupos seja aproximadamente estável ao longo do tempo.</w:t>
      </w:r>
    </w:p>
    <w:bookmarkEnd w:id="92"/>
    <w:bookmarkStart w:id="93"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 foi a métrica principal de discriminação</w:t>
      </w:r>
      <w:r>
        <w:rPr>
          <w:vertAlign w:val="superscript"/>
        </w:rPr>
        <w:t xml:space="preserve">59</w:t>
      </w:r>
      <w:r>
        <w:t xml:space="preserve">. Ele pode ser lido como a probabilidade de o modelo ordenar corretamente duas pacientes comparáveis: a paciente que tem evento mais cedo deveria receber risco maior. Um</w:t>
      </w:r>
      <w:r>
        <w:t xml:space="preserve"> </w:t>
      </w:r>
      <w:r>
        <w:rPr>
          <w:i/>
          <w:iCs/>
        </w:rPr>
        <w:t xml:space="preserve">C-index</w:t>
      </w:r>
      <w:r>
        <w:t xml:space="preserve"> </w:t>
      </w:r>
      <w:r>
        <w:t xml:space="preserve">de 0,5 equivale a sorte; valores acima disso indicam ordenação prognóstica progressivamente melhor. Os intervalos de confiança foram estimados por</w:t>
      </w:r>
      <w:r>
        <w:t xml:space="preserve"> </w:t>
      </w:r>
      <w:r>
        <w:rPr>
          <w:i/>
          <w:iCs/>
        </w:rPr>
        <w:t xml:space="preserve">bootstrap</w:t>
      </w:r>
      <w:r>
        <w:t xml:space="preserve"> </w:t>
      </w:r>
      <w:r>
        <w:t xml:space="preserve">com 1.000 reamostras</w:t>
      </w:r>
      <w:r>
        <w:rPr>
          <w:vertAlign w:val="superscript"/>
        </w:rPr>
        <w:t xml:space="preserve">60</w:t>
      </w:r>
      <w:r>
        <w:t xml:space="preserve">.</w:t>
      </w:r>
    </w:p>
    <w:p>
      <w:pPr>
        <w:pStyle w:val="BodyText"/>
      </w:pPr>
      <w:r>
        <w:t xml:space="preserve">Como análise de sensibilidade, foi calculada a estatística C de Uno</w:t>
      </w:r>
      <w:r>
        <w:rPr>
          <w:vertAlign w:val="superscript"/>
        </w:rPr>
        <w:t xml:space="preserve">61</w:t>
      </w:r>
      <w:r>
        <w:t xml:space="preserve">, menos sensível a padrões de censura, e a AUC tempo-dependente em horizontes clinicamente relevantes pelo método de Blanche et al.</w:t>
      </w:r>
      <w:r>
        <w:rPr>
          <w:vertAlign w:val="superscript"/>
        </w:rPr>
        <w:t xml:space="preserve">62</w:t>
      </w:r>
      <w:r>
        <w:t xml:space="preserve">. Essas métricas foram usadas para confirmar que o achado não dependia de uma única forma de medir discriminação.</w:t>
      </w:r>
    </w:p>
    <w:bookmarkEnd w:id="93"/>
    <w:bookmarkStart w:id="94" w:name="curvas-de-kaplan-meier"/>
    <w:p>
      <w:pPr>
        <w:pStyle w:val="Heading3"/>
      </w:pPr>
      <w:r>
        <w:t xml:space="preserve">3.7.3 Curvas de Kaplan-Meier</w:t>
      </w:r>
    </w:p>
    <w:p>
      <w:pPr>
        <w:pStyle w:val="FirstParagraph"/>
      </w:pPr>
      <w:r>
        <w:t xml:space="preserve">As curvas de Kaplan-Meier foram usadas para visualização. O escore foi dividido pela mediana de cada coorte, criando grupos de maior e menor risco. Essa divisão facilita a leitura visual, mas não foi usada como análise principal, porque transformar um escore contínuo em dois grupos desperdiça informação. As estimativas principais permaneceram baseadas no escore contínuo.</w:t>
      </w:r>
    </w:p>
    <w:p>
      <w:pPr>
        <w:pStyle w:val="BodyText"/>
      </w:pPr>
      <w:r>
        <w:t xml:space="preserve">Na METABRIC, o desfecho principal foi sobrevida doença-específica. Como mortes por outras causas competem com morte por câncer de mama, foi realizada análise de sensibilidade pelo modelo de Fine-Gray</w:t>
      </w:r>
      <w:r>
        <w:rPr>
          <w:vertAlign w:val="superscript"/>
        </w:rPr>
        <w:t xml:space="preserve">63</w:t>
      </w:r>
      <w:r>
        <w:t xml:space="preserve">.</w:t>
      </w:r>
    </w:p>
    <w:bookmarkEnd w:id="94"/>
    <w:bookmarkStart w:id="95" w:name="valor-incremental-delta-c-index"/>
    <w:p>
      <w:pPr>
        <w:pStyle w:val="Heading3"/>
      </w:pPr>
      <w:r>
        <w:t xml:space="preserve">3.7.4 Valor incremental: Delta-</w:t>
      </w:r>
      <w:r>
        <w:rPr>
          <w:i/>
          <w:iCs/>
        </w:rPr>
        <w:t xml:space="preserve">C-index</w:t>
      </w:r>
    </w:p>
    <w:p>
      <w:pPr>
        <w:pStyle w:val="FirstParagraph"/>
      </w:pPr>
      <w:r>
        <w:t xml:space="preserve">O valor incremental pergunta se o CorePAM acrescenta algo ao que o médico já sabe por variáveis clínicas simples. Para isso, comparou-se o</w:t>
      </w:r>
      <w:r>
        <w:t xml:space="preserve"> </w:t>
      </w:r>
      <w:r>
        <w:rPr>
          <w:i/>
          <w:iCs/>
        </w:rPr>
        <w:t xml:space="preserve">C-index</w:t>
      </w:r>
      <w:r>
        <w:t xml:space="preserve"> </w:t>
      </w:r>
      <w:r>
        <w:t xml:space="preserve">do modelo clínico basal (CORE-A) com o</w:t>
      </w:r>
      <w:r>
        <w:t xml:space="preserve"> </w:t>
      </w:r>
      <w:r>
        <w:rPr>
          <w:i/>
          <w:iCs/>
        </w:rPr>
        <w:t xml:space="preserve">C-index</w:t>
      </w:r>
      <w:r>
        <w:t xml:space="preserve"> </w:t>
      </w:r>
      <w:r>
        <w:t xml:space="preserve">do mesmo modelo após acrescentar o CorePAM. A diferença entre os dois é o Delta-</w:t>
      </w:r>
      <w:r>
        <w:rPr>
          <w:i/>
          <w:iCs/>
        </w:rPr>
        <w:t xml:space="preserve">C-index</w:t>
      </w:r>
      <w:r>
        <w:t xml:space="preserve">. Valores positivos indicam que o escore molecular melhora a ordenação prognóstica. O intervalo de confiança foi obtido por</w:t>
      </w:r>
      <w:r>
        <w:t xml:space="preserve"> </w:t>
      </w:r>
      <w:r>
        <w:rPr>
          <w:i/>
          <w:iCs/>
        </w:rPr>
        <w:t xml:space="preserve">bootstrap</w:t>
      </w:r>
      <w:r>
        <w:t xml:space="preserve"> </w:t>
      </w:r>
      <w:r>
        <w:t xml:space="preserve">com 1.000 reamostras.</w:t>
      </w:r>
    </w:p>
    <w:p>
      <w:pPr>
        <w:pStyle w:val="BodyText"/>
      </w:pPr>
      <w:r>
        <w:t xml:space="preserve">Métricas alternativas, como NRI e IDI, foram calculadas apenas como sensibilidade, pois podem ser instáveis e superinterpretadas em estudos prognósticos</w:t>
      </w:r>
      <w:r>
        <w:rPr>
          <w:vertAlign w:val="superscript"/>
        </w:rPr>
        <w:t xml:space="preserve">64</w:t>
      </w:r>
      <w:r>
        <w:t xml:space="preserve">.</w:t>
      </w:r>
    </w:p>
    <w:bookmarkEnd w:id="95"/>
    <w:bookmarkStart w:id="96" w:name="calibração"/>
    <w:p>
      <w:pPr>
        <w:pStyle w:val="Heading3"/>
      </w:pPr>
      <w:r>
        <w:t xml:space="preserve">3.7.5 Calibração</w:t>
      </w:r>
    </w:p>
    <w:p>
      <w:pPr>
        <w:pStyle w:val="FirstParagraph"/>
      </w:pPr>
      <w:r>
        <w:t xml:space="preserve">Calibração é diferente de discriminação. A discriminação avalia se o modelo ordena corretamente as pacientes; a calibração avalia se a probabilidade prevista corresponde à frequência observada de eventos. Um modelo pode ordenar bem e, ainda assim, errar a probabilidade absoluta. Por isso foram construídas curvas de risco predito versus observado, seguindo a hierarquia proposta por Van Calster et al.</w:t>
      </w:r>
      <w:r>
        <w:rPr>
          <w:vertAlign w:val="superscript"/>
        </w:rPr>
        <w:t xml:space="preserve">64,65</w:t>
      </w:r>
      <w:r>
        <w:t xml:space="preserve">.</w:t>
      </w:r>
    </w:p>
    <w:p>
      <w:pPr>
        <w:pStyle w:val="BodyText"/>
      </w:pPr>
      <w:r>
        <w:t xml:space="preserve">O</w:t>
      </w:r>
      <w:r>
        <w:t xml:space="preserve"> </w:t>
      </w:r>
      <w:r>
        <w:rPr>
          <w:i/>
          <w:iCs/>
        </w:rPr>
        <w:t xml:space="preserve">slope</w:t>
      </w:r>
      <w:r>
        <w:t xml:space="preserve"> </w:t>
      </w:r>
      <w:r>
        <w:t xml:space="preserve">de calibração foi usado como resumo numérico. Valor próximo de 1 indica calibração ideal.</w:t>
      </w:r>
      <w:r>
        <w:t xml:space="preserve"> </w:t>
      </w:r>
      <w:r>
        <w:rPr>
          <w:i/>
          <w:iCs/>
        </w:rPr>
        <w:t xml:space="preserve">Slope</w:t>
      </w:r>
      <w:r>
        <w:t xml:space="preserve"> </w:t>
      </w:r>
      <w:r>
        <w:t xml:space="preserve">maior que 1 indica subconfiança: o modelo separa as pacientes corretamente, mas comprime demais as diferenças de risco.</w:t>
      </w:r>
      <w:r>
        <w:t xml:space="preserve"> </w:t>
      </w:r>
      <w:r>
        <w:rPr>
          <w:i/>
          <w:iCs/>
        </w:rPr>
        <w:t xml:space="preserve">Slope</w:t>
      </w:r>
      <w:r>
        <w:t xml:space="preserve"> </w:t>
      </w:r>
      <w:r>
        <w:t xml:space="preserve">menor que 1 indica o oposto, isto é, previsões exageradamente separadas.</w:t>
      </w:r>
    </w:p>
    <w:bookmarkEnd w:id="96"/>
    <w:bookmarkStart w:id="97" w:name="análise-de-curva-de-decisão-dca"/>
    <w:p>
      <w:pPr>
        <w:pStyle w:val="Heading3"/>
      </w:pPr>
      <w:r>
        <w:t xml:space="preserve">3.7.6 Análise de curva de decisão (DCA)</w:t>
      </w:r>
    </w:p>
    <w:p>
      <w:pPr>
        <w:pStyle w:val="FirstParagraph"/>
      </w:pPr>
      <w:r>
        <w:t xml:space="preserve">A análise de curva de decisão foi incluída para aproximar a estatística da decisão clínica</w:t>
      </w:r>
      <w:r>
        <w:rPr>
          <w:vertAlign w:val="superscript"/>
        </w:rPr>
        <w:t xml:space="preserve">66</w:t>
      </w:r>
      <w:r>
        <w:t xml:space="preserve">. Ela pergunta: se um médico adotar determinado limiar de risco para indicar tratamento, o modelo ajuda mais do que tratar todas as pacientes ou não tratar nenhuma? O resultado é o benefício líquido, que pondera acertos e falsos positivos de acordo com o limiar escolhido.</w:t>
      </w:r>
    </w:p>
    <w:p>
      <w:pPr>
        <w:pStyle w:val="BodyText"/>
      </w:pPr>
      <w:r>
        <w:t xml:space="preserve">O limiar de decisão é a menor probabilidade de evento que justificaria uma ação clínica. Em sobrevida, por exemplo, um limiar de 10% em 5 anos significa:</w:t>
      </w:r>
      <w:r>
        <w:t xml:space="preserve"> </w:t>
      </w:r>
      <w:r>
        <w:t xml:space="preserve">“eu aceitaria indicar uma intervenção adicional se o risco estimado de evento fosse pelo menos 10%”</w:t>
      </w:r>
      <w:r>
        <w:t xml:space="preserve">. Em pCR, um limiar de 25% significa:</w:t>
      </w:r>
      <w:r>
        <w:t xml:space="preserve"> </w:t>
      </w:r>
      <w:r>
        <w:t xml:space="preserve">“eu consideraria a estratégia neoadjuvante, intensificação ou entrada em protocolo se a chance de resposta completa fosse pelo menos 25%”</w:t>
      </w:r>
      <w:r>
        <w:t xml:space="preserve">. A DCA transforma esse raciocínio em curva: para cada limiar, calcula quantos verdadeiros benefícios o modelo entrega, descontando o custo dos falsos positivos segundo a gravidade implícita naquele limiar.</w:t>
      </w:r>
    </w:p>
    <w:p>
      <w:pPr>
        <w:pStyle w:val="BodyText"/>
      </w:pPr>
      <w:r>
        <w:t xml:space="preserve">Três referências ajudam a ler a figura. A estratégia</w:t>
      </w:r>
      <w:r>
        <w:t xml:space="preserve"> </w:t>
      </w:r>
      <w:r>
        <w:rPr>
          <w:b/>
          <w:bCs/>
        </w:rPr>
        <w:t xml:space="preserve">tratar nenhum</w:t>
      </w:r>
      <w:r>
        <w:t xml:space="preserve"> </w:t>
      </w:r>
      <w:r>
        <w:t xml:space="preserve">é a linha horizontal em zero: se nada é feito, não há falsos positivos, mas também não há ganho por identificar pacientes de maior risco. A estratégia</w:t>
      </w:r>
      <w:r>
        <w:t xml:space="preserve"> </w:t>
      </w:r>
      <w:r>
        <w:rPr>
          <w:b/>
          <w:bCs/>
        </w:rPr>
        <w:t xml:space="preserve">tratar todos</w:t>
      </w:r>
      <w:r>
        <w:t xml:space="preserve"> </w:t>
      </w:r>
      <w:r>
        <w:t xml:space="preserve">costuma começar alta quando o limiar é muito baixo, porque quase qualquer risco justificaria intervenção, mas cai e pode ficar negativa conforme o limiar aumenta, pois falsos positivos passam a pesar mais. A curva do modelo só tem utilidade clínica quando fica acima das duas referências. Se a curva do CorePAM estiver abaixo de</w:t>
      </w:r>
      <w:r>
        <w:t xml:space="preserve"> </w:t>
      </w:r>
      <w:r>
        <w:t xml:space="preserve">“tratar todos”</w:t>
      </w:r>
      <w:r>
        <w:t xml:space="preserve"> </w:t>
      </w:r>
      <w:r>
        <w:t xml:space="preserve">ou de</w:t>
      </w:r>
      <w:r>
        <w:t xml:space="preserve"> </w:t>
      </w:r>
      <w:r>
        <w:t xml:space="preserve">“tratar nenhum”</w:t>
      </w:r>
      <w:r>
        <w:t xml:space="preserve">, o escore pode até ter associação estatística, mas não melhora a decisão naquele intervalo de limiares.</w:t>
      </w:r>
    </w:p>
    <w:p>
      <w:pPr>
        <w:pStyle w:val="BodyText"/>
      </w:pPr>
      <w:r>
        <w:t xml:space="preserve">A análise foi feita principalmente no horizonte de 60 meses. Na TCGA-BRCA, o horizonte foi encurtado para 24 meses nas análises de calibração e sensibilidade porque o seguimento mediano é curto; usar 60 meses ali produziria estimativas instáveis e artificialmente dependentes de poucas pacientes ainda sob risco.</w:t>
      </w:r>
    </w:p>
    <w:bookmarkEnd w:id="97"/>
    <w:bookmarkStart w:id="98" w:name="modelos-expandidos-com-estadiamento"/>
    <w:p>
      <w:pPr>
        <w:pStyle w:val="Heading3"/>
      </w:pPr>
      <w:r>
        <w:t xml:space="preserve">3.7.7 Modelos expandidos com estadiamento</w:t>
      </w:r>
    </w:p>
    <w:p>
      <w:pPr>
        <w:pStyle w:val="FirstParagraph"/>
      </w:pPr>
      <w:r>
        <w:t xml:space="preserve">Para testar se o CorePAM traz informação independente do estadiamento anatômico, foram ajustados modelos com variáveis como T, N, grau histológico, HER2 e tamanho tumoral, conforme disponibilidade em cada coorte. Essa etapa responde a uma pergunta clínica direta: o escore molecular ainda informa risco depois que se conhece o tamanho do tumor, o acometimento linfonodal e outros dados de rotina?</w:t>
      </w:r>
    </w:p>
    <w:bookmarkEnd w:id="98"/>
    <w:bookmarkEnd w:id="99"/>
    <w:bookmarkStart w:id="100" w:name="meta-análise"/>
    <w:p>
      <w:pPr>
        <w:pStyle w:val="Heading2"/>
      </w:pPr>
      <w:r>
        <w:t xml:space="preserve">3.8 Meta-análise</w:t>
      </w:r>
    </w:p>
    <w:p>
      <w:pPr>
        <w:pStyle w:val="FirstParagraph"/>
      </w:pPr>
      <w:r>
        <w:t xml:space="preserve">A meta-análise foi usada para resumir os resultados das coortes sem fingir que elas são idênticas. Para sobrevida, foi adotado modelo de efeitos aleatórios com estimador REML</w:t>
      </w:r>
      <w:r>
        <w:rPr>
          <w:vertAlign w:val="superscript"/>
        </w:rPr>
        <w:t xml:space="preserve">67</w:t>
      </w:r>
      <w:r>
        <w:t xml:space="preserve">, apropriado quando se espera alguma variação real entre estudos. Essa era a situação aqui: as coortes diferem em plataforma, país, tamanho, seguimento e desfecho.</w:t>
      </w:r>
    </w:p>
    <w:p>
      <w:pPr>
        <w:pStyle w:val="BodyText"/>
      </w:pPr>
      <w:r>
        <w:t xml:space="preserve">A heterogeneidade foi quantificada pelo I-quadrado</w:t>
      </w:r>
      <w:r>
        <w:rPr>
          <w:vertAlign w:val="superscript"/>
        </w:rPr>
        <w:t xml:space="preserve">68</w:t>
      </w:r>
      <w:r>
        <w:t xml:space="preserve">. Em termos simples, ele estima que proporção da variação entre resultados parece decorrer de diferenças reais entre coortes, e não apenas de erro amostral. Como havia poucas coortes, também foi aplicada a correção de Hartung-Knapp</w:t>
      </w:r>
      <w:r>
        <w:rPr>
          <w:vertAlign w:val="superscript"/>
        </w:rPr>
        <w:t xml:space="preserve">69</w:t>
      </w:r>
      <w:r>
        <w:t xml:space="preserve">, que torna o intervalo de confiança mais conservador. Para pCR, foi usado DerSimonian-Laird</w:t>
      </w:r>
      <w:r>
        <w:rPr>
          <w:vertAlign w:val="superscript"/>
        </w:rPr>
        <w:t xml:space="preserve">70</w:t>
      </w:r>
      <w:r>
        <w:t xml:space="preserve">, escolha tradicional em meta-análises de desfechos binários e mantida por comparabilidade com a literatura.</w:t>
      </w:r>
    </w:p>
    <w:bookmarkEnd w:id="100"/>
    <w:bookmarkStart w:id="101"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um modelo PAM50-full ajustado no mesmo</w:t>
      </w:r>
      <w:r>
        <w:t xml:space="preserve"> </w:t>
      </w:r>
      <w:r>
        <w:rPr>
          <w:i/>
          <w:iCs/>
        </w:rPr>
        <w:t xml:space="preserve">pipeline</w:t>
      </w:r>
      <w:r>
        <w:t xml:space="preserve">. O PAM50 canônico continua tendo</w:t>
      </w:r>
      <w:r>
        <w:t xml:space="preserve"> </w:t>
      </w:r>
      <w:r>
        <w:rPr>
          <w:b/>
          <w:bCs/>
        </w:rPr>
        <w:t xml:space="preserve">50 genes</w:t>
      </w:r>
      <w:r>
        <w:t xml:space="preserve">. O número 49 aparece apenas porque, ao ajustar no SCAN-B um modelo Cox</w:t>
      </w:r>
      <w:r>
        <w:t xml:space="preserve"> </w:t>
      </w:r>
      <w:r>
        <w:rPr>
          <w:i/>
          <w:iCs/>
        </w:rPr>
        <w:t xml:space="preserve">elastic-net</w:t>
      </w:r>
      <w:r>
        <w:t xml:space="preserve"> </w:t>
      </w:r>
      <w:r>
        <w:t xml:space="preserve">usando os 50 genes PAM50 como candidatos, o maior modelo efetivamente obtido na trajetória penalizada manteve</w:t>
      </w:r>
      <w:r>
        <w:t xml:space="preserve"> </w:t>
      </w:r>
      <w:r>
        <w:rPr>
          <w:b/>
          <w:bCs/>
        </w:rPr>
        <w:t xml:space="preserve">49 coeficientes não-zero</w:t>
      </w:r>
      <w:r>
        <w:t xml:space="preserve">; um gene recebeu coeficiente zero pela própria penalização. Portanto,</w:t>
      </w:r>
      <w:r>
        <w:t xml:space="preserve"> </w:t>
      </w:r>
      <w:r>
        <w:t xml:space="preserve">“PAM50-full (49)”</w:t>
      </w:r>
      <w:r>
        <w:t xml:space="preserve"> </w:t>
      </w:r>
      <w:r>
        <w:t xml:space="preserve">nesta tese não significa PAM50 incompleto nem altera a definição original do PAM50; significa o maior comparador penalizado estimável dentro do nosso procedimento. Esta comparação garante que ambos os modelos tenham sido derivados na mesma coorte e com o mesmo método, diferindo apenas no grau de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bookmarkEnd w:id="101"/>
    <w:bookmarkEnd w:id="102"/>
    <w:bookmarkStart w:id="220" w:name="resultados"/>
    <w:p>
      <w:pPr>
        <w:pageBreakBefore/>
        <w:pStyle w:val="Heading1"/>
      </w:pPr>
      <w:r>
        <w:t xml:space="preserve">4. RESULTADOS</w:t>
      </w:r>
    </w:p>
    <w:bookmarkStart w:id="120"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color w:val="0563C1"/>
            <w:u w:val="single"/>
          </w:rPr>
          <w:t xml:space="preserve">Figura 7</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106" w:name="fig-pareto"/>
      <w:r>
        <w:drawing>
          <wp:inline>
            <wp:extent cx="5687999" cy="3554999"/>
            <wp:effectExtent b="0" l="0" r="0" t="0"/>
            <wp:docPr descr="" title="" id="104" name="Picture"/>
            <a:graphic>
              <a:graphicData uri="http://schemas.openxmlformats.org/drawingml/2006/picture">
                <pic:pic>
                  <pic:nvPicPr>
                    <pic:cNvPr descr="../figures/supp/pt/png/FigS_Pareto_CorePAM_PT.png" id="105" name="Picture"/>
                    <pic:cNvPicPr>
                      <a:picLocks noChangeArrowheads="1" noChangeAspect="1"/>
                    </pic:cNvPicPr>
                  </pic:nvPicPr>
                  <pic:blipFill>
                    <a:blip r:embed="rId103"/>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7 — Fronteira de Pareto: C-index out-of-fold em função do número de genes (graus de liberdade) ao longo do caminho de regularização elastic-net. A linha tracejada indica o critério de não inferioridade (C-index máximo - 0,010). O ponto de intersecção ocorre em df = 24. Observa-se um platô de desempenho a partir de aproximadamente 20 genes, indicando redundância funcional nos genes excedentes.</w:t>
      </w:r>
    </w:p>
    <w:bookmarkEnd w:id="106"/>
    <w:p>
      <w:pPr>
        <w:pStyle w:val="BodyText"/>
      </w:pPr>
      <w:r>
        <w:t xml:space="preserve">Na</w:t>
      </w:r>
      <w:r>
        <w:t xml:space="preserve"> </w:t>
      </w:r>
      <w:hyperlink w:anchor="fig-pareto">
        <w:r>
          <w:rPr>
            <w:rStyle w:val="Hyperlink"/>
            <w:color w:val="0563C1"/>
            <w:u w:val="single"/>
          </w:rPr>
          <w:t xml:space="preserve">Figura 7</w:t>
        </w:r>
      </w:hyperlink>
      <w:r>
        <w:t xml:space="preserve">, cada ponto representa uma versão possível do escore, com mais ou menos genes. O eixo horizontal mostra complexidade; o eixo vertical mostra desempenho prognóstico fora do treino. A leitura clínica é semelhante à escolha de um esquema terapêutico: adicionar mais componentes só vale a pena se houver ganho real. A curva sobe no início porque poucos genes capturam apenas parte da biologia. Depois ela achata, indicando que novos genes acrescentam pouco ao desempenho. A linha tracejada marca o limite aceitável de perda. O ponto de 24 genes é o primeiro que cruza esse limite; por isso ele é escolhido. Os pontos à direita podem ter desempenho numericamente parecido, mas carregam mais genes, custo e fragilidade técnica sem ganho proporcional.</w:t>
      </w:r>
    </w:p>
    <w:p>
      <w:r>
        <w:br w:type="page"/>
      </w:r>
    </w:p>
    <w:p>
      <w:pPr>
        <w:jc w:val="left"/>
        <w:spacing w:before="200"/>
        <w:pStyle w:val="ImageCaption"/>
      </w:pPr>
      <w:bookmarkStart w:id="107" w:name="tbl-genes"/>
      <w:r>
        <w:t xml:space="preserve">Tabela 7 — Lista completa dos 24 genes CorePAM com pesos</w:t>
      </w:r>
      <w:r>
        <w:t xml:space="preserve"> </w:t>
      </w:r>
      <w:r>
        <w:rPr>
          <w:i/>
          <w:iCs/>
        </w:rPr>
        <w:t xml:space="preserve">elastic-net</w:t>
      </w:r>
    </w:p>
    <w:tbl>
      <w:tblPr>
        <w:tblStyle w:val="Table"/>
        <w:tblW w:type="dxa" w:w="9070"/>
        <w:tblLayout w:type="fixed"/>
        <w:tblLook w:firstRow="1" w:lastRow="0" w:firstColumn="0" w:lastColumn="0" w:noHBand="0" w:noVBand="0" w:val="0020"/>
      </w:tblPr>
      <w:tblGrid>
        <w:gridCol w:w="921"/>
        <w:gridCol w:w="1214"/>
        <w:gridCol w:w="1654"/>
        <w:gridCol w:w="2094"/>
        <w:gridCol w:w="3187"/>
      </w:tblGrid>
      <w:tr>
        <w:trPr>
          <w:tblHeader w:val="on"/>
        </w:trPr>
        <w:tc>
          <w:tcPr>
            <w:tcW w:w="921" w:type="dxa"/>
          </w:tcPr>
          <w:p>
            <w:pPr>
              <w:pStyle w:val="Compact"/>
              <w:jc w:val="center"/>
            </w:pPr>
            <w:r>
              <w:t xml:space="preserve">Rank</w:t>
            </w:r>
          </w:p>
        </w:tc>
        <w:tc>
          <w:tcPr>
            <w:tcW w:w="1214" w:type="dxa"/>
          </w:tcPr>
          <w:p>
            <w:pPr>
              <w:pStyle w:val="Compact"/>
              <w:jc w:val="center"/>
            </w:pPr>
            <w:r>
              <w:t xml:space="preserve">Gene</w:t>
            </w:r>
          </w:p>
        </w:tc>
        <w:tc>
          <w:tcPr>
            <w:tcW w:w="1654" w:type="dxa"/>
          </w:tcPr>
          <w:p>
            <w:pPr>
              <w:pStyle w:val="Compact"/>
              <w:jc w:val="center"/>
            </w:pPr>
            <w:r>
              <w:t xml:space="preserve">Peso (w</w:t>
            </w:r>
            <w:r>
              <w:rPr>
                <w:vertAlign w:val="subscript"/>
              </w:rPr>
              <w:t xml:space="preserve">i</w:t>
            </w:r>
            <w:r>
              <w:t xml:space="preserve">)</w:t>
            </w:r>
          </w:p>
        </w:tc>
        <w:tc>
          <w:tcPr>
            <w:tcW w:w="2094" w:type="dxa"/>
          </w:tcPr>
          <w:p>
            <w:pPr>
              <w:pStyle w:val="Compact"/>
              <w:jc w:val="center"/>
            </w:pPr>
            <w:r>
              <w:t xml:space="preserve">Direção</w:t>
            </w:r>
          </w:p>
        </w:tc>
        <w:tc>
          <w:tcPr>
            <w:tcW w:w="3187" w:type="dxa"/>
          </w:tcPr>
          <w:p>
            <w:pPr>
              <w:pStyle w:val="Compact"/>
              <w:jc w:val="center"/>
            </w:pPr>
            <w:r>
              <w:t xml:space="preserve">Via biológica principal</w:t>
            </w:r>
          </w:p>
        </w:tc>
      </w:tr>
      <w:tr>
        <w:tc>
          <w:tcPr>
            <w:tcW w:w="921" w:type="dxa"/>
          </w:tcPr>
          <w:p>
            <w:pPr>
              <w:pStyle w:val="Compact"/>
              <w:jc w:val="center"/>
            </w:pPr>
            <w:r>
              <w:t xml:space="preserve">1</w:t>
            </w:r>
          </w:p>
        </w:tc>
        <w:tc>
          <w:tcPr>
            <w:tcW w:w="1214" w:type="dxa"/>
          </w:tcPr>
          <w:p>
            <w:pPr>
              <w:pStyle w:val="Compact"/>
              <w:jc w:val="center"/>
            </w:pPr>
            <w:r>
              <w:t xml:space="preserve">EXO1</w:t>
            </w:r>
          </w:p>
        </w:tc>
        <w:tc>
          <w:tcPr>
            <w:tcW w:w="1654" w:type="dxa"/>
          </w:tcPr>
          <w:p>
            <w:pPr>
              <w:pStyle w:val="Compact"/>
              <w:jc w:val="center"/>
            </w:pPr>
            <w:r>
              <w:t xml:space="preserve">+0,2174</w:t>
            </w:r>
          </w:p>
        </w:tc>
        <w:tc>
          <w:tcPr>
            <w:tcW w:w="2094" w:type="dxa"/>
          </w:tcPr>
          <w:p>
            <w:pPr>
              <w:pStyle w:val="Compact"/>
              <w:jc w:val="center"/>
            </w:pPr>
            <w:r>
              <w:t xml:space="preserve">Risco (+)</w:t>
            </w:r>
          </w:p>
        </w:tc>
        <w:tc>
          <w:tcPr>
            <w:tcW w:w="3187" w:type="dxa"/>
          </w:tcPr>
          <w:p>
            <w:pPr>
              <w:pStyle w:val="Compact"/>
              <w:jc w:val="center"/>
            </w:pPr>
            <w:r>
              <w:t xml:space="preserve">Proliferação / reparo de DNA</w:t>
            </w:r>
          </w:p>
        </w:tc>
      </w:tr>
      <w:tr>
        <w:tc>
          <w:tcPr>
            <w:tcW w:w="921" w:type="dxa"/>
          </w:tcPr>
          <w:p>
            <w:pPr>
              <w:pStyle w:val="Compact"/>
              <w:jc w:val="center"/>
            </w:pPr>
            <w:r>
              <w:t xml:space="preserve">2</w:t>
            </w:r>
          </w:p>
        </w:tc>
        <w:tc>
          <w:tcPr>
            <w:tcW w:w="1214" w:type="dxa"/>
          </w:tcPr>
          <w:p>
            <w:pPr>
              <w:pStyle w:val="Compact"/>
              <w:jc w:val="center"/>
            </w:pPr>
            <w:r>
              <w:t xml:space="preserve">NAT1</w:t>
            </w:r>
          </w:p>
        </w:tc>
        <w:tc>
          <w:tcPr>
            <w:tcW w:w="1654" w:type="dxa"/>
          </w:tcPr>
          <w:p>
            <w:pPr>
              <w:pStyle w:val="Compact"/>
              <w:jc w:val="center"/>
            </w:pPr>
            <w:r>
              <w:t xml:space="preserve">-0,2052</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3</w:t>
            </w:r>
          </w:p>
        </w:tc>
        <w:tc>
          <w:tcPr>
            <w:tcW w:w="1214" w:type="dxa"/>
          </w:tcPr>
          <w:p>
            <w:pPr>
              <w:pStyle w:val="Compact"/>
              <w:jc w:val="center"/>
            </w:pPr>
            <w:r>
              <w:t xml:space="preserve">BLVRA</w:t>
            </w:r>
          </w:p>
        </w:tc>
        <w:tc>
          <w:tcPr>
            <w:tcW w:w="1654" w:type="dxa"/>
          </w:tcPr>
          <w:p>
            <w:pPr>
              <w:pStyle w:val="Compact"/>
              <w:jc w:val="center"/>
            </w:pPr>
            <w:r>
              <w:t xml:space="preserve">-0,1848</w:t>
            </w:r>
          </w:p>
        </w:tc>
        <w:tc>
          <w:tcPr>
            <w:tcW w:w="2094" w:type="dxa"/>
          </w:tcPr>
          <w:p>
            <w:pPr>
              <w:pStyle w:val="Compact"/>
              <w:jc w:val="center"/>
            </w:pPr>
            <w:r>
              <w:t xml:space="preserve">Protetor (-)</w:t>
            </w:r>
          </w:p>
        </w:tc>
        <w:tc>
          <w:tcPr>
            <w:tcW w:w="3187" w:type="dxa"/>
          </w:tcPr>
          <w:p>
            <w:pPr>
              <w:pStyle w:val="Compact"/>
              <w:jc w:val="center"/>
            </w:pPr>
            <w:r>
              <w:t xml:space="preserve">Metabolismo / estresse oxidativo</w:t>
            </w:r>
          </w:p>
        </w:tc>
      </w:tr>
      <w:tr>
        <w:tc>
          <w:tcPr>
            <w:tcW w:w="921" w:type="dxa"/>
          </w:tcPr>
          <w:p>
            <w:pPr>
              <w:pStyle w:val="Compact"/>
              <w:jc w:val="center"/>
            </w:pPr>
            <w:r>
              <w:t xml:space="preserve">4</w:t>
            </w:r>
          </w:p>
        </w:tc>
        <w:tc>
          <w:tcPr>
            <w:tcW w:w="1214" w:type="dxa"/>
          </w:tcPr>
          <w:p>
            <w:pPr>
              <w:pStyle w:val="Compact"/>
              <w:jc w:val="center"/>
            </w:pPr>
            <w:r>
              <w:t xml:space="preserve">ACTR3B</w:t>
            </w:r>
          </w:p>
        </w:tc>
        <w:tc>
          <w:tcPr>
            <w:tcW w:w="1654" w:type="dxa"/>
          </w:tcPr>
          <w:p>
            <w:pPr>
              <w:pStyle w:val="Compact"/>
              <w:jc w:val="center"/>
            </w:pPr>
            <w:r>
              <w:t xml:space="preserve">-0,1405</w:t>
            </w:r>
          </w:p>
        </w:tc>
        <w:tc>
          <w:tcPr>
            <w:tcW w:w="2094" w:type="dxa"/>
          </w:tcPr>
          <w:p>
            <w:pPr>
              <w:pStyle w:val="Compact"/>
              <w:jc w:val="center"/>
            </w:pPr>
            <w:r>
              <w:t xml:space="preserve">Protetor (-)</w:t>
            </w:r>
          </w:p>
        </w:tc>
        <w:tc>
          <w:tcPr>
            <w:tcW w:w="3187" w:type="dxa"/>
          </w:tcPr>
          <w:p>
            <w:pPr>
              <w:pStyle w:val="Compact"/>
              <w:jc w:val="center"/>
            </w:pPr>
            <w:r>
              <w:t xml:space="preserve">Citoesqueleto / motilidade celular</w:t>
            </w:r>
          </w:p>
        </w:tc>
      </w:tr>
      <w:tr>
        <w:tc>
          <w:tcPr>
            <w:tcW w:w="921" w:type="dxa"/>
          </w:tcPr>
          <w:p>
            <w:pPr>
              <w:pStyle w:val="Compact"/>
              <w:jc w:val="center"/>
            </w:pPr>
            <w:r>
              <w:t xml:space="preserve">5</w:t>
            </w:r>
          </w:p>
        </w:tc>
        <w:tc>
          <w:tcPr>
            <w:tcW w:w="1214" w:type="dxa"/>
          </w:tcPr>
          <w:p>
            <w:pPr>
              <w:pStyle w:val="Compact"/>
              <w:jc w:val="center"/>
            </w:pPr>
            <w:r>
              <w:t xml:space="preserve">MIA</w:t>
            </w:r>
          </w:p>
        </w:tc>
        <w:tc>
          <w:tcPr>
            <w:tcW w:w="1654" w:type="dxa"/>
          </w:tcPr>
          <w:p>
            <w:pPr>
              <w:pStyle w:val="Compact"/>
              <w:jc w:val="center"/>
            </w:pPr>
            <w:r>
              <w:t xml:space="preserve">-0,1193</w:t>
            </w:r>
          </w:p>
        </w:tc>
        <w:tc>
          <w:tcPr>
            <w:tcW w:w="2094" w:type="dxa"/>
          </w:tcPr>
          <w:p>
            <w:pPr>
              <w:pStyle w:val="Compact"/>
              <w:jc w:val="center"/>
            </w:pPr>
            <w:r>
              <w:t xml:space="preserve">Protetor (-)</w:t>
            </w:r>
          </w:p>
        </w:tc>
        <w:tc>
          <w:tcPr>
            <w:tcW w:w="3187" w:type="dxa"/>
          </w:tcPr>
          <w:p>
            <w:pPr>
              <w:pStyle w:val="Compact"/>
              <w:jc w:val="center"/>
            </w:pPr>
            <w:r>
              <w:t xml:space="preserve">Marcador</w:t>
            </w:r>
            <w:r>
              <w:t xml:space="preserve"> </w:t>
            </w:r>
            <w:r>
              <w:rPr>
                <w:i/>
                <w:iCs/>
              </w:rPr>
              <w:t xml:space="preserve">HER2-enriched</w:t>
            </w:r>
          </w:p>
        </w:tc>
      </w:tr>
      <w:tr>
        <w:tc>
          <w:tcPr>
            <w:tcW w:w="921" w:type="dxa"/>
          </w:tcPr>
          <w:p>
            <w:pPr>
              <w:pStyle w:val="Compact"/>
              <w:jc w:val="center"/>
            </w:pPr>
            <w:r>
              <w:t xml:space="preserve">6</w:t>
            </w:r>
          </w:p>
        </w:tc>
        <w:tc>
          <w:tcPr>
            <w:tcW w:w="1214" w:type="dxa"/>
          </w:tcPr>
          <w:p>
            <w:pPr>
              <w:pStyle w:val="Compact"/>
              <w:jc w:val="center"/>
            </w:pPr>
            <w:r>
              <w:t xml:space="preserve">MYBL2</w:t>
            </w:r>
          </w:p>
        </w:tc>
        <w:tc>
          <w:tcPr>
            <w:tcW w:w="1654" w:type="dxa"/>
          </w:tcPr>
          <w:p>
            <w:pPr>
              <w:pStyle w:val="Compact"/>
              <w:jc w:val="center"/>
            </w:pPr>
            <w:r>
              <w:t xml:space="preserve">-0,1183</w:t>
            </w:r>
          </w:p>
        </w:tc>
        <w:tc>
          <w:tcPr>
            <w:tcW w:w="2094" w:type="dxa"/>
          </w:tcPr>
          <w:p>
            <w:pPr>
              <w:pStyle w:val="Compact"/>
              <w:jc w:val="center"/>
            </w:pPr>
            <w:r>
              <w:t xml:space="preserve">Protetor (-)</w:t>
            </w:r>
          </w:p>
        </w:tc>
        <w:tc>
          <w:tcPr>
            <w:tcW w:w="3187" w:type="dxa"/>
          </w:tcPr>
          <w:p>
            <w:pPr>
              <w:pStyle w:val="Compact"/>
              <w:jc w:val="center"/>
            </w:pPr>
            <w:r>
              <w:t xml:space="preserve">Proliferação / ciclo celular</w:t>
            </w:r>
          </w:p>
        </w:tc>
      </w:tr>
      <w:tr>
        <w:tc>
          <w:tcPr>
            <w:tcW w:w="921" w:type="dxa"/>
          </w:tcPr>
          <w:p>
            <w:pPr>
              <w:pStyle w:val="Compact"/>
              <w:jc w:val="center"/>
            </w:pPr>
            <w:r>
              <w:t xml:space="preserve">7</w:t>
            </w:r>
          </w:p>
        </w:tc>
        <w:tc>
          <w:tcPr>
            <w:tcW w:w="1214" w:type="dxa"/>
          </w:tcPr>
          <w:p>
            <w:pPr>
              <w:pStyle w:val="Compact"/>
              <w:jc w:val="center"/>
            </w:pPr>
            <w:r>
              <w:t xml:space="preserve">PTTG1</w:t>
            </w:r>
          </w:p>
        </w:tc>
        <w:tc>
          <w:tcPr>
            <w:tcW w:w="1654" w:type="dxa"/>
          </w:tcPr>
          <w:p>
            <w:pPr>
              <w:pStyle w:val="Compact"/>
              <w:jc w:val="center"/>
            </w:pPr>
            <w:r>
              <w:t xml:space="preserve">+0,1140</w:t>
            </w:r>
          </w:p>
        </w:tc>
        <w:tc>
          <w:tcPr>
            <w:tcW w:w="2094" w:type="dxa"/>
          </w:tcPr>
          <w:p>
            <w:pPr>
              <w:pStyle w:val="Compact"/>
              <w:jc w:val="center"/>
            </w:pPr>
            <w:r>
              <w:t xml:space="preserve">Risco (+)</w:t>
            </w:r>
          </w:p>
        </w:tc>
        <w:tc>
          <w:tcPr>
            <w:tcW w:w="3187" w:type="dxa"/>
          </w:tcPr>
          <w:p>
            <w:pPr>
              <w:pStyle w:val="Compact"/>
              <w:jc w:val="center"/>
            </w:pPr>
            <w:r>
              <w:t xml:space="preserve">Proliferação / instabilidade cromossômica</w:t>
            </w:r>
          </w:p>
        </w:tc>
      </w:tr>
      <w:tr>
        <w:tc>
          <w:tcPr>
            <w:tcW w:w="921" w:type="dxa"/>
          </w:tcPr>
          <w:p>
            <w:pPr>
              <w:pStyle w:val="Compact"/>
              <w:jc w:val="center"/>
            </w:pPr>
            <w:r>
              <w:t xml:space="preserve">8</w:t>
            </w:r>
          </w:p>
        </w:tc>
        <w:tc>
          <w:tcPr>
            <w:tcW w:w="1214" w:type="dxa"/>
          </w:tcPr>
          <w:p>
            <w:pPr>
              <w:pStyle w:val="Compact"/>
              <w:jc w:val="center"/>
            </w:pPr>
            <w:r>
              <w:t xml:space="preserve">MDM2</w:t>
            </w:r>
          </w:p>
        </w:tc>
        <w:tc>
          <w:tcPr>
            <w:tcW w:w="1654" w:type="dxa"/>
          </w:tcPr>
          <w:p>
            <w:pPr>
              <w:pStyle w:val="Compact"/>
              <w:jc w:val="center"/>
            </w:pPr>
            <w:r>
              <w:t xml:space="preserve">-0,1074</w:t>
            </w:r>
          </w:p>
        </w:tc>
        <w:tc>
          <w:tcPr>
            <w:tcW w:w="2094" w:type="dxa"/>
          </w:tcPr>
          <w:p>
            <w:pPr>
              <w:pStyle w:val="Compact"/>
              <w:jc w:val="center"/>
            </w:pPr>
            <w:r>
              <w:t xml:space="preserve">Protetor (-)</w:t>
            </w:r>
          </w:p>
        </w:tc>
        <w:tc>
          <w:tcPr>
            <w:tcW w:w="3187" w:type="dxa"/>
          </w:tcPr>
          <w:p>
            <w:pPr>
              <w:pStyle w:val="Compact"/>
              <w:jc w:val="center"/>
            </w:pPr>
            <w:r>
              <w:t xml:space="preserve">Regulação de p53</w:t>
            </w:r>
          </w:p>
        </w:tc>
      </w:tr>
      <w:tr>
        <w:tc>
          <w:tcPr>
            <w:tcW w:w="921" w:type="dxa"/>
          </w:tcPr>
          <w:p>
            <w:pPr>
              <w:pStyle w:val="Compact"/>
              <w:jc w:val="center"/>
            </w:pPr>
            <w:r>
              <w:t xml:space="preserve">9</w:t>
            </w:r>
          </w:p>
        </w:tc>
        <w:tc>
          <w:tcPr>
            <w:tcW w:w="1214" w:type="dxa"/>
          </w:tcPr>
          <w:p>
            <w:pPr>
              <w:pStyle w:val="Compact"/>
              <w:jc w:val="center"/>
            </w:pPr>
            <w:r>
              <w:t xml:space="preserve">SFRP1</w:t>
            </w:r>
          </w:p>
        </w:tc>
        <w:tc>
          <w:tcPr>
            <w:tcW w:w="1654" w:type="dxa"/>
          </w:tcPr>
          <w:p>
            <w:pPr>
              <w:pStyle w:val="Compact"/>
              <w:jc w:val="center"/>
            </w:pPr>
            <w:r>
              <w:t xml:space="preserve">-0,0907</w:t>
            </w:r>
          </w:p>
        </w:tc>
        <w:tc>
          <w:tcPr>
            <w:tcW w:w="2094" w:type="dxa"/>
          </w:tcPr>
          <w:p>
            <w:pPr>
              <w:pStyle w:val="Compact"/>
              <w:jc w:val="center"/>
            </w:pPr>
            <w:r>
              <w:t xml:space="preserve">Protetor (-)</w:t>
            </w:r>
          </w:p>
        </w:tc>
        <w:tc>
          <w:tcPr>
            <w:tcW w:w="3187" w:type="dxa"/>
          </w:tcPr>
          <w:p>
            <w:pPr>
              <w:pStyle w:val="Compact"/>
              <w:jc w:val="center"/>
            </w:pPr>
            <w:r>
              <w:t xml:space="preserve">Via Wnt / supressor tumoral</w:t>
            </w:r>
          </w:p>
        </w:tc>
      </w:tr>
      <w:tr>
        <w:tc>
          <w:tcPr>
            <w:tcW w:w="921" w:type="dxa"/>
          </w:tcPr>
          <w:p>
            <w:pPr>
              <w:pStyle w:val="Compact"/>
              <w:jc w:val="center"/>
            </w:pPr>
            <w:r>
              <w:t xml:space="preserve">10</w:t>
            </w:r>
          </w:p>
        </w:tc>
        <w:tc>
          <w:tcPr>
            <w:tcW w:w="1214" w:type="dxa"/>
          </w:tcPr>
          <w:p>
            <w:pPr>
              <w:pStyle w:val="Compact"/>
              <w:jc w:val="center"/>
            </w:pPr>
            <w:r>
              <w:t xml:space="preserve">GPR160</w:t>
            </w:r>
          </w:p>
        </w:tc>
        <w:tc>
          <w:tcPr>
            <w:tcW w:w="1654" w:type="dxa"/>
          </w:tcPr>
          <w:p>
            <w:pPr>
              <w:pStyle w:val="Compact"/>
              <w:jc w:val="center"/>
            </w:pPr>
            <w:r>
              <w:t xml:space="preserve">-0,0841</w:t>
            </w:r>
          </w:p>
        </w:tc>
        <w:tc>
          <w:tcPr>
            <w:tcW w:w="2094" w:type="dxa"/>
          </w:tcPr>
          <w:p>
            <w:pPr>
              <w:pStyle w:val="Compact"/>
              <w:jc w:val="center"/>
            </w:pPr>
            <w:r>
              <w:t xml:space="preserve">Protetor (-)</w:t>
            </w:r>
          </w:p>
        </w:tc>
        <w:tc>
          <w:tcPr>
            <w:tcW w:w="3187" w:type="dxa"/>
          </w:tcPr>
          <w:p>
            <w:pPr>
              <w:pStyle w:val="Compact"/>
              <w:jc w:val="center"/>
            </w:pPr>
            <w:r>
              <w:t xml:space="preserve">Receptor acoplado a proteina G</w:t>
            </w:r>
          </w:p>
        </w:tc>
      </w:tr>
      <w:tr>
        <w:tc>
          <w:tcPr>
            <w:tcW w:w="921" w:type="dxa"/>
          </w:tcPr>
          <w:p>
            <w:pPr>
              <w:pStyle w:val="Compact"/>
              <w:jc w:val="center"/>
            </w:pPr>
            <w:r>
              <w:t xml:space="preserve">11</w:t>
            </w:r>
          </w:p>
        </w:tc>
        <w:tc>
          <w:tcPr>
            <w:tcW w:w="1214" w:type="dxa"/>
          </w:tcPr>
          <w:p>
            <w:pPr>
              <w:pStyle w:val="Compact"/>
              <w:jc w:val="center"/>
            </w:pPr>
            <w:r>
              <w:t xml:space="preserve">FOXC1</w:t>
            </w:r>
          </w:p>
        </w:tc>
        <w:tc>
          <w:tcPr>
            <w:tcW w:w="1654" w:type="dxa"/>
          </w:tcPr>
          <w:p>
            <w:pPr>
              <w:pStyle w:val="Compact"/>
              <w:jc w:val="center"/>
            </w:pPr>
            <w:r>
              <w:t xml:space="preserve">+0,0717</w:t>
            </w:r>
          </w:p>
        </w:tc>
        <w:tc>
          <w:tcPr>
            <w:tcW w:w="2094" w:type="dxa"/>
          </w:tcPr>
          <w:p>
            <w:pPr>
              <w:pStyle w:val="Compact"/>
              <w:jc w:val="center"/>
            </w:pPr>
            <w:r>
              <w:t xml:space="preserve">Risco (+)</w:t>
            </w:r>
          </w:p>
        </w:tc>
        <w:tc>
          <w:tcPr>
            <w:tcW w:w="3187" w:type="dxa"/>
          </w:tcPr>
          <w:p>
            <w:pPr>
              <w:pStyle w:val="Compact"/>
              <w:jc w:val="center"/>
            </w:pPr>
            <w:r>
              <w:t xml:space="preserve">Fenótipo basal</w:t>
            </w:r>
          </w:p>
        </w:tc>
      </w:tr>
      <w:tr>
        <w:tc>
          <w:tcPr>
            <w:tcW w:w="921" w:type="dxa"/>
          </w:tcPr>
          <w:p>
            <w:pPr>
              <w:pStyle w:val="Compact"/>
              <w:jc w:val="center"/>
            </w:pPr>
            <w:r>
              <w:t xml:space="preserve">12</w:t>
            </w:r>
          </w:p>
        </w:tc>
        <w:tc>
          <w:tcPr>
            <w:tcW w:w="1214" w:type="dxa"/>
          </w:tcPr>
          <w:p>
            <w:pPr>
              <w:pStyle w:val="Compact"/>
              <w:jc w:val="center"/>
            </w:pPr>
            <w:r>
              <w:t xml:space="preserve">PHGDH</w:t>
            </w:r>
          </w:p>
        </w:tc>
        <w:tc>
          <w:tcPr>
            <w:tcW w:w="1654" w:type="dxa"/>
          </w:tcPr>
          <w:p>
            <w:pPr>
              <w:pStyle w:val="Compact"/>
              <w:jc w:val="center"/>
            </w:pPr>
            <w:r>
              <w:t xml:space="preserve">+0,0620</w:t>
            </w:r>
          </w:p>
        </w:tc>
        <w:tc>
          <w:tcPr>
            <w:tcW w:w="2094" w:type="dxa"/>
          </w:tcPr>
          <w:p>
            <w:pPr>
              <w:pStyle w:val="Compact"/>
              <w:jc w:val="center"/>
            </w:pPr>
            <w:r>
              <w:t xml:space="preserve">Risco (+)</w:t>
            </w:r>
          </w:p>
        </w:tc>
        <w:tc>
          <w:tcPr>
            <w:tcW w:w="3187" w:type="dxa"/>
          </w:tcPr>
          <w:p>
            <w:pPr>
              <w:pStyle w:val="Compact"/>
              <w:jc w:val="center"/>
            </w:pPr>
            <w:r>
              <w:t xml:space="preserve">Metabolismo de serina</w:t>
            </w:r>
          </w:p>
        </w:tc>
      </w:tr>
      <w:tr>
        <w:tc>
          <w:tcPr>
            <w:tcW w:w="921" w:type="dxa"/>
          </w:tcPr>
          <w:p>
            <w:pPr>
              <w:pStyle w:val="Compact"/>
              <w:jc w:val="center"/>
            </w:pPr>
            <w:r>
              <w:t xml:space="preserve">13</w:t>
            </w:r>
          </w:p>
        </w:tc>
        <w:tc>
          <w:tcPr>
            <w:tcW w:w="1214" w:type="dxa"/>
          </w:tcPr>
          <w:p>
            <w:pPr>
              <w:pStyle w:val="Compact"/>
              <w:jc w:val="center"/>
            </w:pPr>
            <w:r>
              <w:t xml:space="preserve">MYC</w:t>
            </w:r>
          </w:p>
        </w:tc>
        <w:tc>
          <w:tcPr>
            <w:tcW w:w="1654" w:type="dxa"/>
          </w:tcPr>
          <w:p>
            <w:pPr>
              <w:pStyle w:val="Compact"/>
              <w:jc w:val="center"/>
            </w:pPr>
            <w:r>
              <w:t xml:space="preserve">-0,0424</w:t>
            </w:r>
          </w:p>
        </w:tc>
        <w:tc>
          <w:tcPr>
            <w:tcW w:w="2094" w:type="dxa"/>
          </w:tcPr>
          <w:p>
            <w:pPr>
              <w:pStyle w:val="Compact"/>
              <w:jc w:val="center"/>
            </w:pPr>
            <w:r>
              <w:t xml:space="preserve">Protetor (-)</w:t>
            </w:r>
          </w:p>
        </w:tc>
        <w:tc>
          <w:tcPr>
            <w:tcW w:w="3187" w:type="dxa"/>
          </w:tcPr>
          <w:p>
            <w:pPr>
              <w:pStyle w:val="Compact"/>
              <w:jc w:val="center"/>
            </w:pPr>
            <w:r>
              <w:t xml:space="preserve">Proliferação / oncogene</w:t>
            </w:r>
          </w:p>
        </w:tc>
      </w:tr>
      <w:tr>
        <w:tc>
          <w:tcPr>
            <w:tcW w:w="921" w:type="dxa"/>
          </w:tcPr>
          <w:p>
            <w:pPr>
              <w:pStyle w:val="Compact"/>
              <w:jc w:val="center"/>
            </w:pPr>
            <w:r>
              <w:t xml:space="preserve">14</w:t>
            </w:r>
          </w:p>
        </w:tc>
        <w:tc>
          <w:tcPr>
            <w:tcW w:w="1214" w:type="dxa"/>
          </w:tcPr>
          <w:p>
            <w:pPr>
              <w:pStyle w:val="Compact"/>
              <w:jc w:val="center"/>
            </w:pPr>
            <w:r>
              <w:t xml:space="preserve">ESR1</w:t>
            </w:r>
          </w:p>
        </w:tc>
        <w:tc>
          <w:tcPr>
            <w:tcW w:w="1654" w:type="dxa"/>
          </w:tcPr>
          <w:p>
            <w:pPr>
              <w:pStyle w:val="Compact"/>
              <w:jc w:val="center"/>
            </w:pPr>
            <w:r>
              <w:t xml:space="preserve">+0,0396</w:t>
            </w:r>
          </w:p>
        </w:tc>
        <w:tc>
          <w:tcPr>
            <w:tcW w:w="2094" w:type="dxa"/>
          </w:tcPr>
          <w:p>
            <w:pPr>
              <w:pStyle w:val="Compact"/>
              <w:jc w:val="center"/>
            </w:pPr>
            <w:r>
              <w:t xml:space="preserve">Risco (+)</w:t>
            </w:r>
          </w:p>
        </w:tc>
        <w:tc>
          <w:tcPr>
            <w:tcW w:w="3187" w:type="dxa"/>
          </w:tcPr>
          <w:p>
            <w:pPr>
              <w:pStyle w:val="Compact"/>
              <w:jc w:val="center"/>
            </w:pPr>
            <w:r>
              <w:t xml:space="preserve">Receptor de estrogênio</w:t>
            </w:r>
          </w:p>
        </w:tc>
      </w:tr>
      <w:tr>
        <w:tc>
          <w:tcPr>
            <w:tcW w:w="921" w:type="dxa"/>
          </w:tcPr>
          <w:p>
            <w:pPr>
              <w:pStyle w:val="Compact"/>
              <w:jc w:val="center"/>
            </w:pPr>
            <w:r>
              <w:t xml:space="preserve">15</w:t>
            </w:r>
          </w:p>
        </w:tc>
        <w:tc>
          <w:tcPr>
            <w:tcW w:w="1214" w:type="dxa"/>
          </w:tcPr>
          <w:p>
            <w:pPr>
              <w:pStyle w:val="Compact"/>
              <w:jc w:val="center"/>
            </w:pPr>
            <w:r>
              <w:t xml:space="preserve">KRT5</w:t>
            </w:r>
          </w:p>
        </w:tc>
        <w:tc>
          <w:tcPr>
            <w:tcW w:w="1654" w:type="dxa"/>
          </w:tcPr>
          <w:p>
            <w:pPr>
              <w:pStyle w:val="Compact"/>
              <w:jc w:val="center"/>
            </w:pPr>
            <w:r>
              <w:t xml:space="preserve">-0,0277</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16</w:t>
            </w:r>
          </w:p>
        </w:tc>
        <w:tc>
          <w:tcPr>
            <w:tcW w:w="1214" w:type="dxa"/>
          </w:tcPr>
          <w:p>
            <w:pPr>
              <w:pStyle w:val="Compact"/>
              <w:jc w:val="center"/>
            </w:pPr>
            <w:r>
              <w:t xml:space="preserve">CXXC5</w:t>
            </w:r>
          </w:p>
        </w:tc>
        <w:tc>
          <w:tcPr>
            <w:tcW w:w="1654" w:type="dxa"/>
          </w:tcPr>
          <w:p>
            <w:pPr>
              <w:pStyle w:val="Compact"/>
              <w:jc w:val="center"/>
            </w:pPr>
            <w:r>
              <w:t xml:space="preserve">+0,0266</w:t>
            </w:r>
          </w:p>
        </w:tc>
        <w:tc>
          <w:tcPr>
            <w:tcW w:w="2094" w:type="dxa"/>
          </w:tcPr>
          <w:p>
            <w:pPr>
              <w:pStyle w:val="Compact"/>
              <w:jc w:val="center"/>
            </w:pPr>
            <w:r>
              <w:t xml:space="preserve">Risco (+)</w:t>
            </w:r>
          </w:p>
        </w:tc>
        <w:tc>
          <w:tcPr>
            <w:tcW w:w="3187" w:type="dxa"/>
          </w:tcPr>
          <w:p>
            <w:pPr>
              <w:pStyle w:val="Compact"/>
              <w:jc w:val="center"/>
            </w:pPr>
            <w:r>
              <w:t xml:space="preserve">Regulação epigenética</w:t>
            </w:r>
          </w:p>
        </w:tc>
      </w:tr>
      <w:tr>
        <w:tc>
          <w:tcPr>
            <w:tcW w:w="921" w:type="dxa"/>
          </w:tcPr>
          <w:p>
            <w:pPr>
              <w:pStyle w:val="Compact"/>
              <w:jc w:val="center"/>
            </w:pPr>
            <w:r>
              <w:t xml:space="preserve">17</w:t>
            </w:r>
          </w:p>
        </w:tc>
        <w:tc>
          <w:tcPr>
            <w:tcW w:w="1214" w:type="dxa"/>
          </w:tcPr>
          <w:p>
            <w:pPr>
              <w:pStyle w:val="Compact"/>
              <w:jc w:val="center"/>
            </w:pPr>
            <w:r>
              <w:t xml:space="preserve">PGR</w:t>
            </w:r>
          </w:p>
        </w:tc>
        <w:tc>
          <w:tcPr>
            <w:tcW w:w="1654" w:type="dxa"/>
          </w:tcPr>
          <w:p>
            <w:pPr>
              <w:pStyle w:val="Compact"/>
              <w:jc w:val="center"/>
            </w:pPr>
            <w:r>
              <w:t xml:space="preserve">-0,0262</w:t>
            </w:r>
          </w:p>
        </w:tc>
        <w:tc>
          <w:tcPr>
            <w:tcW w:w="2094" w:type="dxa"/>
          </w:tcPr>
          <w:p>
            <w:pPr>
              <w:pStyle w:val="Compact"/>
              <w:jc w:val="center"/>
            </w:pPr>
            <w:r>
              <w:t xml:space="preserve">Protetor (-)</w:t>
            </w:r>
          </w:p>
        </w:tc>
        <w:tc>
          <w:tcPr>
            <w:tcW w:w="3187" w:type="dxa"/>
          </w:tcPr>
          <w:p>
            <w:pPr>
              <w:pStyle w:val="Compact"/>
              <w:jc w:val="center"/>
            </w:pPr>
            <w:r>
              <w:t xml:space="preserve">Receptor de progesterona</w:t>
            </w:r>
          </w:p>
        </w:tc>
      </w:tr>
      <w:tr>
        <w:tc>
          <w:tcPr>
            <w:tcW w:w="921" w:type="dxa"/>
          </w:tcPr>
          <w:p>
            <w:pPr>
              <w:pStyle w:val="Compact"/>
              <w:jc w:val="center"/>
            </w:pPr>
            <w:r>
              <w:t xml:space="preserve">18</w:t>
            </w:r>
          </w:p>
        </w:tc>
        <w:tc>
          <w:tcPr>
            <w:tcW w:w="1214" w:type="dxa"/>
          </w:tcPr>
          <w:p>
            <w:pPr>
              <w:pStyle w:val="Compact"/>
              <w:jc w:val="center"/>
            </w:pPr>
            <w:r>
              <w:t xml:space="preserve">KRT17</w:t>
            </w:r>
          </w:p>
        </w:tc>
        <w:tc>
          <w:tcPr>
            <w:tcW w:w="1654" w:type="dxa"/>
          </w:tcPr>
          <w:p>
            <w:pPr>
              <w:pStyle w:val="Compact"/>
              <w:jc w:val="center"/>
            </w:pPr>
            <w:r>
              <w:t xml:space="preserve">-0,0163</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19</w:t>
            </w:r>
          </w:p>
        </w:tc>
        <w:tc>
          <w:tcPr>
            <w:tcW w:w="1214" w:type="dxa"/>
          </w:tcPr>
          <w:p>
            <w:pPr>
              <w:pStyle w:val="Compact"/>
              <w:jc w:val="center"/>
            </w:pPr>
            <w:r>
              <w:t xml:space="preserve">CENPF</w:t>
            </w:r>
          </w:p>
        </w:tc>
        <w:tc>
          <w:tcPr>
            <w:tcW w:w="1654" w:type="dxa"/>
          </w:tcPr>
          <w:p>
            <w:pPr>
              <w:pStyle w:val="Compact"/>
              <w:jc w:val="center"/>
            </w:pPr>
            <w:r>
              <w:t xml:space="preserve">+0,0150</w:t>
            </w:r>
          </w:p>
        </w:tc>
        <w:tc>
          <w:tcPr>
            <w:tcW w:w="2094" w:type="dxa"/>
          </w:tcPr>
          <w:p>
            <w:pPr>
              <w:pStyle w:val="Compact"/>
              <w:jc w:val="center"/>
            </w:pPr>
            <w:r>
              <w:t xml:space="preserve">Risco (+)</w:t>
            </w:r>
          </w:p>
        </w:tc>
        <w:tc>
          <w:tcPr>
            <w:tcW w:w="3187" w:type="dxa"/>
          </w:tcPr>
          <w:p>
            <w:pPr>
              <w:pStyle w:val="Compact"/>
              <w:jc w:val="center"/>
            </w:pPr>
            <w:r>
              <w:t xml:space="preserve">Proliferação / centrometro</w:t>
            </w:r>
          </w:p>
        </w:tc>
      </w:tr>
      <w:tr>
        <w:tc>
          <w:tcPr>
            <w:tcW w:w="921" w:type="dxa"/>
          </w:tcPr>
          <w:p>
            <w:pPr>
              <w:pStyle w:val="Compact"/>
              <w:jc w:val="center"/>
            </w:pPr>
            <w:r>
              <w:t xml:space="preserve">20</w:t>
            </w:r>
          </w:p>
        </w:tc>
        <w:tc>
          <w:tcPr>
            <w:tcW w:w="1214" w:type="dxa"/>
          </w:tcPr>
          <w:p>
            <w:pPr>
              <w:pStyle w:val="Compact"/>
              <w:jc w:val="center"/>
            </w:pPr>
            <w:r>
              <w:t xml:space="preserve">FGFR4</w:t>
            </w:r>
          </w:p>
        </w:tc>
        <w:tc>
          <w:tcPr>
            <w:tcW w:w="1654" w:type="dxa"/>
          </w:tcPr>
          <w:p>
            <w:pPr>
              <w:pStyle w:val="Compact"/>
              <w:jc w:val="center"/>
            </w:pPr>
            <w:r>
              <w:t xml:space="preserve">+0,0110</w:t>
            </w:r>
          </w:p>
        </w:tc>
        <w:tc>
          <w:tcPr>
            <w:tcW w:w="2094" w:type="dxa"/>
          </w:tcPr>
          <w:p>
            <w:pPr>
              <w:pStyle w:val="Compact"/>
              <w:jc w:val="center"/>
            </w:pPr>
            <w:r>
              <w:t xml:space="preserve">Risco (+)</w:t>
            </w:r>
          </w:p>
        </w:tc>
        <w:tc>
          <w:tcPr>
            <w:tcW w:w="3187" w:type="dxa"/>
          </w:tcPr>
          <w:p>
            <w:pPr>
              <w:pStyle w:val="Compact"/>
              <w:jc w:val="center"/>
            </w:pPr>
            <w:r>
              <w:t xml:space="preserve">Receptor de FGF</w:t>
            </w:r>
          </w:p>
        </w:tc>
      </w:tr>
      <w:tr>
        <w:tc>
          <w:tcPr>
            <w:tcW w:w="921" w:type="dxa"/>
          </w:tcPr>
          <w:p>
            <w:pPr>
              <w:pStyle w:val="Compact"/>
              <w:jc w:val="center"/>
            </w:pPr>
            <w:r>
              <w:t xml:space="preserve">21</w:t>
            </w:r>
          </w:p>
        </w:tc>
        <w:tc>
          <w:tcPr>
            <w:tcW w:w="1214" w:type="dxa"/>
          </w:tcPr>
          <w:p>
            <w:pPr>
              <w:pStyle w:val="Compact"/>
              <w:jc w:val="center"/>
            </w:pPr>
            <w:r>
              <w:t xml:space="preserve">BCL2</w:t>
            </w:r>
          </w:p>
        </w:tc>
        <w:tc>
          <w:tcPr>
            <w:tcW w:w="1654" w:type="dxa"/>
          </w:tcPr>
          <w:p>
            <w:pPr>
              <w:pStyle w:val="Compact"/>
              <w:jc w:val="center"/>
            </w:pPr>
            <w:r>
              <w:t xml:space="preserve">-0,0105</w:t>
            </w:r>
          </w:p>
        </w:tc>
        <w:tc>
          <w:tcPr>
            <w:tcW w:w="2094" w:type="dxa"/>
          </w:tcPr>
          <w:p>
            <w:pPr>
              <w:pStyle w:val="Compact"/>
              <w:jc w:val="center"/>
            </w:pPr>
            <w:r>
              <w:t xml:space="preserve">Protetor (-)</w:t>
            </w:r>
          </w:p>
        </w:tc>
        <w:tc>
          <w:tcPr>
            <w:tcW w:w="3187" w:type="dxa"/>
          </w:tcPr>
          <w:p>
            <w:pPr>
              <w:pStyle w:val="Compact"/>
              <w:jc w:val="center"/>
            </w:pPr>
            <w:r>
              <w:t xml:space="preserve">Anti-apoptose / diferenciação luminal</w:t>
            </w:r>
          </w:p>
        </w:tc>
      </w:tr>
      <w:tr>
        <w:tc>
          <w:tcPr>
            <w:tcW w:w="921" w:type="dxa"/>
          </w:tcPr>
          <w:p>
            <w:pPr>
              <w:pStyle w:val="Compact"/>
              <w:jc w:val="center"/>
            </w:pPr>
            <w:r>
              <w:t xml:space="preserve">22</w:t>
            </w:r>
          </w:p>
        </w:tc>
        <w:tc>
          <w:tcPr>
            <w:tcW w:w="1214" w:type="dxa"/>
          </w:tcPr>
          <w:p>
            <w:pPr>
              <w:pStyle w:val="Compact"/>
              <w:jc w:val="center"/>
            </w:pPr>
            <w:r>
              <w:t xml:space="preserve">MLPH</w:t>
            </w:r>
          </w:p>
        </w:tc>
        <w:tc>
          <w:tcPr>
            <w:tcW w:w="1654" w:type="dxa"/>
          </w:tcPr>
          <w:p>
            <w:pPr>
              <w:pStyle w:val="Compact"/>
              <w:jc w:val="center"/>
            </w:pPr>
            <w:r>
              <w:t xml:space="preserve">-0,0099</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23</w:t>
            </w:r>
          </w:p>
        </w:tc>
        <w:tc>
          <w:tcPr>
            <w:tcW w:w="1214" w:type="dxa"/>
          </w:tcPr>
          <w:p>
            <w:pPr>
              <w:pStyle w:val="Compact"/>
              <w:jc w:val="center"/>
            </w:pPr>
            <w:r>
              <w:t xml:space="preserve">ERBB2</w:t>
            </w:r>
          </w:p>
        </w:tc>
        <w:tc>
          <w:tcPr>
            <w:tcW w:w="1654" w:type="dxa"/>
          </w:tcPr>
          <w:p>
            <w:pPr>
              <w:pStyle w:val="Compact"/>
              <w:jc w:val="center"/>
            </w:pPr>
            <w:r>
              <w:t xml:space="preserve">-0,0082</w:t>
            </w:r>
          </w:p>
        </w:tc>
        <w:tc>
          <w:tcPr>
            <w:tcW w:w="2094" w:type="dxa"/>
          </w:tcPr>
          <w:p>
            <w:pPr>
              <w:pStyle w:val="Compact"/>
              <w:jc w:val="center"/>
            </w:pPr>
            <w:r>
              <w:t xml:space="preserve">Protetor (-)</w:t>
            </w:r>
          </w:p>
        </w:tc>
        <w:tc>
          <w:tcPr>
            <w:tcW w:w="3187" w:type="dxa"/>
          </w:tcPr>
          <w:p>
            <w:pPr>
              <w:pStyle w:val="Compact"/>
              <w:jc w:val="center"/>
            </w:pPr>
            <w:r>
              <w:t xml:space="preserve">Receptor HER2</w:t>
            </w:r>
          </w:p>
        </w:tc>
      </w:tr>
      <w:tr>
        <w:tc>
          <w:tcPr>
            <w:tcW w:w="921" w:type="dxa"/>
          </w:tcPr>
          <w:p>
            <w:pPr>
              <w:pStyle w:val="Compact"/>
              <w:jc w:val="center"/>
            </w:pPr>
            <w:r>
              <w:t xml:space="preserve">24</w:t>
            </w:r>
          </w:p>
        </w:tc>
        <w:tc>
          <w:tcPr>
            <w:tcW w:w="1214" w:type="dxa"/>
          </w:tcPr>
          <w:p>
            <w:pPr>
              <w:pStyle w:val="Compact"/>
              <w:jc w:val="center"/>
            </w:pPr>
            <w:r>
              <w:t xml:space="preserve">GRB7</w:t>
            </w:r>
          </w:p>
        </w:tc>
        <w:tc>
          <w:tcPr>
            <w:tcW w:w="1654" w:type="dxa"/>
          </w:tcPr>
          <w:p>
            <w:pPr>
              <w:pStyle w:val="Compact"/>
              <w:jc w:val="center"/>
            </w:pPr>
            <w:r>
              <w:t xml:space="preserve">-0,0053</w:t>
            </w:r>
          </w:p>
        </w:tc>
        <w:tc>
          <w:tcPr>
            <w:tcW w:w="2094" w:type="dxa"/>
          </w:tcPr>
          <w:p>
            <w:pPr>
              <w:pStyle w:val="Compact"/>
              <w:jc w:val="center"/>
            </w:pPr>
            <w:r>
              <w:t xml:space="preserve">Protetor (-)</w:t>
            </w:r>
          </w:p>
        </w:tc>
        <w:tc>
          <w:tcPr>
            <w:tcW w:w="3187" w:type="dxa"/>
          </w:tcPr>
          <w:p>
            <w:pPr>
              <w:pStyle w:val="Compact"/>
              <w:jc w:val="center"/>
            </w:pPr>
            <w:r>
              <w:t xml:space="preserve">Transdução de sinal HER2</w:t>
            </w:r>
          </w:p>
        </w:tc>
      </w:tr>
    </w:tbl>
    <w:bookmarkEnd w:id="107"/>
    <w:p/>
    <w:p>
      <w:r>
        <w:br w:type="page"/>
      </w:r>
    </w:p>
    <w:p>
      <w:pPr>
        <w:pStyle w:val="Compact"/>
        <w:jc w:val="center"/>
      </w:pPr>
      <w:bookmarkStart w:id="111" w:name="fig-weights"/>
      <w:r>
        <w:drawing>
          <wp:inline>
            <wp:extent cx="5687999" cy="4265999"/>
            <wp:effectExtent b="0" l="0" r="0" t="0"/>
            <wp:docPr descr="" title="" id="109" name="Picture"/>
            <a:graphic>
              <a:graphicData uri="http://schemas.openxmlformats.org/drawingml/2006/picture">
                <pic:pic>
                  <pic:nvPicPr>
                    <pic:cNvPr descr="../figures/supp/pt/png/FigS_Weights_CorePAM_Lollipop_PT.png" id="110" name="Picture"/>
                    <pic:cNvPicPr>
                      <a:picLocks noChangeArrowheads="1" noChangeAspect="1"/>
                    </pic:cNvPicPr>
                  </pic:nvPicPr>
                  <pic:blipFill>
                    <a:blip r:embed="rId108"/>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8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11"/>
    <w:p>
      <w:pPr>
        <w:pStyle w:val="BodyText"/>
      </w:pPr>
      <w:r>
        <w:t xml:space="preserve">Na</w:t>
      </w:r>
      <w:r>
        <w:t xml:space="preserve"> </w:t>
      </w:r>
      <w:hyperlink w:anchor="fig-weights">
        <w:r>
          <w:rPr>
            <w:rStyle w:val="Hyperlink"/>
            <w:color w:val="0563C1"/>
            <w:u w:val="single"/>
          </w:rPr>
          <w:t xml:space="preserve">Figura 8</w:t>
        </w:r>
      </w:hyperlink>
      <w:r>
        <w:t xml:space="preserve">, a direção das barras é tão importante quanto o tamanho. Barras à direita indicam genes cujo aumento empurra o escore para maior risco; barras à esquerda indicam genes associados a comportamento mais favorável. EXO1 e PTTG1 aparecem como sinais de proliferação e instabilidade genômica, coerentes com maior risco. NAT1, BLVRA, BCL2, MLPH e PGR pertencem ao eixo de diferenciação luminal, que em geral acompanha tumores mais dependentes de hormônio e de melhor comportamento clínico. A figura também mostra que o CorePAM não é uma lista aleatória de marcadores: ele reúne eixos biológicos conhecidos do câncer de mama. Alguns sinais podem parecer contraintuitivos quando vistos gene a gene, como ESR1 com peso positivo ou ERBB2 com peso negativo. Isso ocorre porque o peso de cada gene é estimado dentro de um conjunto correlacionado; ele representa contribuição residual depois que os demais genes já estão no modelo, não uma leitura isolada como uma lâmina de imuno-histoquímica.</w:t>
      </w:r>
    </w:p>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color w:val="0563C1"/>
            <w:u w:val="single"/>
          </w:rPr>
          <w:t xml:space="preserve">Figura 9</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color w:val="0563C1"/>
            <w:u w:val="single"/>
          </w:rPr>
          <w:t xml:space="preserve">Figura 10</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15" w:name="fig-bootstrap"/>
      <w:r>
        <w:drawing>
          <wp:inline>
            <wp:extent cx="5687999" cy="6694098"/>
            <wp:effectExtent b="0" l="0" r="0" t="0"/>
            <wp:docPr descr="" title="" id="113" name="Picture"/>
            <a:graphic>
              <a:graphicData uri="http://schemas.openxmlformats.org/drawingml/2006/picture">
                <pic:pic>
                  <pic:nvPicPr>
                    <pic:cNvPr descr="../figures/supp/pt/png/FigS_Bootstrap_GeneFreq_PT.png" id="114" name="Picture"/>
                    <pic:cNvPicPr>
                      <a:picLocks noChangeArrowheads="1" noChangeAspect="1"/>
                    </pic:cNvPicPr>
                  </pic:nvPicPr>
                  <pic:blipFill>
                    <a:blip r:embed="rId112"/>
                    <a:stretch>
                      <a:fillRect/>
                    </a:stretch>
                  </pic:blipFill>
                  <pic:spPr bwMode="auto">
                    <a:xfrm>
                      <a:off x="0" y="0"/>
                      <a:ext cx="5687999" cy="6694098"/>
                    </a:xfrm>
                    <a:prstGeom prst="rect">
                      <a:avLst/>
                    </a:prstGeom>
                    <a:noFill/>
                    <a:ln w="9525">
                      <a:noFill/>
                      <a:headEnd/>
                      <a:tailEnd/>
                    </a:ln>
                  </pic:spPr>
                </pic:pic>
              </a:graphicData>
            </a:graphic>
          </wp:inline>
        </w:drawing>
      </w:r>
    </w:p>
    <w:p>
      <w:pPr>
        <w:jc w:val="left"/>
        <w:spacing w:before="200"/>
        <w:pStyle w:val="ImageCaption"/>
      </w:pPr>
      <w:r>
        <w:t xml:space="preserve">Figura 9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15"/>
    <w:p>
      <w:pPr>
        <w:pStyle w:val="BodyText"/>
      </w:pPr>
      <w:r>
        <w:t xml:space="preserve">Na</w:t>
      </w:r>
      <w:r>
        <w:t xml:space="preserve"> </w:t>
      </w:r>
      <w:hyperlink w:anchor="fig-bootstrap">
        <w:r>
          <w:rPr>
            <w:rStyle w:val="Hyperlink"/>
            <w:color w:val="0563C1"/>
            <w:u w:val="single"/>
          </w:rPr>
          <w:t xml:space="preserve">Figura 9</w:t>
        </w:r>
      </w:hyperlink>
      <w:r>
        <w:t xml:space="preserve">, a pergunta é estabilidade. Cada barra mostra quantas vezes o gene reaparece quando a coorte SCAN-B é reamostrada repetidamente. Uma analogia clínica útil é a reprodutibilidade de um achado em consultas diferentes: se um sinal aparece apenas uma vez, talvez seja acaso; se aparece repetidamente, merece confiança maior. ACTR3B e NAT1 surgem em 100% das reamostras, indicando seleção extremamente estável. Genes com frequência intermediária não são necessariamente irrelevantes; eles podem representar programas biológicos parcialmente redundantes, em que genes vizinhos competem entre si. O ponto principal é que a maioria dos genes do CorePAM reaparece com frequência alta, sustentando que o painel de 24 genes não depende de uma partição fortuita da coorte.</w:t>
      </w:r>
    </w:p>
    <w:p>
      <w:r>
        <w:br w:type="page"/>
      </w:r>
    </w:p>
    <w:p>
      <w:pPr>
        <w:pStyle w:val="Compact"/>
        <w:jc w:val="center"/>
      </w:pPr>
      <w:bookmarkStart w:id="119" w:name="fig-dropgene"/>
      <w:r>
        <w:drawing>
          <wp:inline>
            <wp:extent cx="5687999" cy="5687999"/>
            <wp:effectExtent b="0" l="0" r="0" t="0"/>
            <wp:docPr descr="" title="" id="117" name="Picture"/>
            <a:graphic>
              <a:graphicData uri="http://schemas.openxmlformats.org/drawingml/2006/picture">
                <pic:pic>
                  <pic:nvPicPr>
                    <pic:cNvPr descr="../figures/supp/pt/png/FigS_DropGene_Tornado_PT.png" id="118" name="Picture"/>
                    <pic:cNvPicPr>
                      <a:picLocks noChangeArrowheads="1" noChangeAspect="1"/>
                    </pic:cNvPicPr>
                  </pic:nvPicPr>
                  <pic:blipFill>
                    <a:blip r:embed="rId116"/>
                    <a:stretch>
                      <a:fillRect/>
                    </a:stretch>
                  </pic:blipFill>
                  <pic:spPr bwMode="auto">
                    <a:xfrm>
                      <a:off x="0" y="0"/>
                      <a:ext cx="5687999" cy="5687999"/>
                    </a:xfrm>
                    <a:prstGeom prst="rect">
                      <a:avLst/>
                    </a:prstGeom>
                    <a:noFill/>
                    <a:ln w="9525">
                      <a:noFill/>
                      <a:headEnd/>
                      <a:tailEnd/>
                    </a:ln>
                  </pic:spPr>
                </pic:pic>
              </a:graphicData>
            </a:graphic>
          </wp:inline>
        </w:drawing>
      </w:r>
    </w:p>
    <w:p>
      <w:pPr>
        <w:jc w:val="left"/>
        <w:spacing w:before="200"/>
        <w:pStyle w:val="ImageCaption"/>
      </w:pPr>
      <w:r>
        <w:t xml:space="preserve">Figura 10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9"/>
    <w:p>
      <w:pPr>
        <w:pStyle w:val="BodyText"/>
      </w:pPr>
      <w:r>
        <w:t xml:space="preserve">Na</w:t>
      </w:r>
      <w:r>
        <w:t xml:space="preserve"> </w:t>
      </w:r>
      <w:hyperlink w:anchor="fig-dropgene">
        <w:r>
          <w:rPr>
            <w:rStyle w:val="Hyperlink"/>
            <w:color w:val="0563C1"/>
            <w:u w:val="single"/>
          </w:rPr>
          <w:t xml:space="preserve">Figura 10</w:t>
        </w:r>
      </w:hyperlink>
      <w:r>
        <w:t xml:space="preserve">, a pergunta é dependência excessiva. Cada barra mostra o que acontece com o</w:t>
      </w:r>
      <w:r>
        <w:t xml:space="preserve"> </w:t>
      </w:r>
      <w:r>
        <w:rPr>
          <w:i/>
          <w:iCs/>
        </w:rPr>
        <w:t xml:space="preserve">C-index</w:t>
      </w:r>
      <w:r>
        <w:t xml:space="preserve"> </w:t>
      </w:r>
      <w:r>
        <w:t xml:space="preserve">quando um gene é retirado do escore. Se uma única retirada derrubasse muito o desempenho, o CorePAM seria frágil, como uma conduta clínica que depende de um único exame sujeito a erro. O padrão observado é diferente: nenhuma exclusão causa colapso do desempenho. EXO1 é o gene cuja remoção mais impacta o modelo, o que combina com seu peso alto e sua ligação com proliferação, mas mesmo essa perda não destrói o escore. A interpretação é que o CorePAM distribui informação entre vários genes, propriedade desejável para um ensaio futuro, especialmente quando se pensa em tecido FFPE, variação pré-analítica e plataformas com cobertura incompleta.</w:t>
      </w:r>
    </w:p>
    <w:bookmarkEnd w:id="120"/>
    <w:bookmarkStart w:id="142" w:name="validação-prognóstica-externa"/>
    <w:p>
      <w:pPr>
        <w:pageBreakBefore/>
        <w:pStyle w:val="Heading2"/>
      </w:pPr>
      <w:r>
        <w:t xml:space="preserve">4.2 Validação prognóstica externa</w:t>
      </w:r>
    </w:p>
    <w:p>
      <w:pPr>
        <w:pStyle w:val="FirstParagraph"/>
      </w:pPr>
      <w:r>
        <w:t xml:space="preserve">O escore CorePAM foi associado a pior sobrevida em todas as coortes externas de validação (</w:t>
      </w:r>
      <w:hyperlink w:anchor="tbl-survival-performance">
        <w:r>
          <w:rPr>
            <w:rStyle w:val="Hyperlink"/>
            <w:color w:val="0563C1"/>
            <w:u w:val="single"/>
          </w:rPr>
          <w:t xml:space="preserve">Tabela 8</w:t>
        </w:r>
      </w:hyperlink>
      <w:r>
        <w:t xml:space="preserve">). A leitura da tabela deve ser feita em três camadas. Primeiro, o</w:t>
      </w:r>
      <w:r>
        <w:t xml:space="preserve"> </w:t>
      </w:r>
      <w:r>
        <w:rPr>
          <w:i/>
          <w:iCs/>
        </w:rPr>
        <w:t xml:space="preserve">hazard ratio</w:t>
      </w:r>
      <w:r>
        <w:t xml:space="preserve"> </w:t>
      </w:r>
      <w:r>
        <w:t xml:space="preserve">(HR) mostra a força da associação: valores acima de 1 indicam que maior CorePAM corresponde a maior risco de evento. Segundo, o HR ajustado pergunta se essa associação permanece após incluir variáveis clínicas simples. Terceiro, o</w:t>
      </w:r>
      <w:r>
        <w:t xml:space="preserve"> </w:t>
      </w:r>
      <w:r>
        <w:rPr>
          <w:i/>
          <w:iCs/>
        </w:rPr>
        <w:t xml:space="preserve">C-index</w:t>
      </w:r>
      <w:r>
        <w:t xml:space="preserve"> </w:t>
      </w:r>
      <w:r>
        <w:t xml:space="preserve">mede a capacidade de ordenar pacientes por risco.</w:t>
      </w:r>
    </w:p>
    <w:p>
      <w:pPr>
        <w:jc w:val="left"/>
        <w:spacing w:before="200"/>
        <w:pStyle w:val="ImageCaption"/>
      </w:pPr>
      <w:bookmarkStart w:id="121" w:name="tbl-survival-performance"/>
      <w:r>
        <w:t xml:space="preserve">Tabela 8 — Desempenho prognóstico do CorePAM por coorte. SCAN-B é apresentada como referência interna de treinamento; nas coortes externas, os pesos já estavam congelados.</w:t>
      </w:r>
      <w:r>
        <w:t xml:space="preserve"> </w:t>
      </w:r>
      <w:r>
        <w:rPr>
          <w:i/>
          <w:iCs/>
        </w:rPr>
        <w:t xml:space="preserve">C-index</w:t>
      </w:r>
      <w:r>
        <w:t xml:space="preserve"> </w:t>
      </w:r>
      <w:r>
        <w:t xml:space="preserve">OOF da derivação = 0,670. Em GSE1456, o modelo ajustado CORE-A não foi estimado por ausência de covariáveis clínicas suficientes.</w:t>
      </w:r>
    </w:p>
    <w:tbl>
      <w:tblPr>
        <w:tblStyle w:val="Table"/>
        <w:tblW w:type="dxa" w:w="9070"/>
        <w:tblLayout w:type="fixed"/>
        <w:tblLook w:firstRow="1" w:lastRow="0" w:firstColumn="0" w:lastColumn="0" w:noHBand="0" w:noVBand="0" w:val="0020"/>
      </w:tblPr>
      <w:tblGrid>
        <w:gridCol w:w="2002"/>
        <w:gridCol w:w="1114"/>
        <w:gridCol w:w="2002"/>
        <w:gridCol w:w="1805"/>
        <w:gridCol w:w="2147"/>
      </w:tblGrid>
      <w:tr>
        <w:trPr>
          <w:tblHeader w:val="on"/>
        </w:trPr>
        <w:tc>
          <w:tcPr>
            <w:tcW w:w="2002" w:type="dxa"/>
          </w:tcPr>
          <w:p>
            <w:pPr>
              <w:pStyle w:val="Compact"/>
              <w:jc w:val="left"/>
              <w:jc w:val="center"/>
            </w:pPr>
            <w:r>
              <w:t xml:space="preserve">Coorte (desfecho)</w:t>
            </w:r>
          </w:p>
        </w:tc>
        <w:tc>
          <w:tcPr>
            <w:tcW w:w="1114" w:type="dxa"/>
          </w:tcPr>
          <w:p>
            <w:pPr>
              <w:pStyle w:val="Compact"/>
              <w:jc w:val="left"/>
              <w:jc w:val="center"/>
            </w:pPr>
            <w:r>
              <w:t xml:space="preserve">N/eventos</w:t>
            </w:r>
          </w:p>
        </w:tc>
        <w:tc>
          <w:tcPr>
            <w:tcW w:w="2002" w:type="dxa"/>
          </w:tcPr>
          <w:p>
            <w:pPr>
              <w:pStyle w:val="Compact"/>
              <w:jc w:val="left"/>
              <w:jc w:val="center"/>
            </w:pPr>
            <w:r>
              <w:t xml:space="preserve">HR bruto</w:t>
            </w:r>
          </w:p>
        </w:tc>
        <w:tc>
          <w:tcPr>
            <w:tcW w:w="1805" w:type="dxa"/>
          </w:tcPr>
          <w:p>
            <w:pPr>
              <w:pStyle w:val="Compact"/>
              <w:jc w:val="left"/>
              <w:jc w:val="center"/>
            </w:pPr>
            <w:r>
              <w:t xml:space="preserve">HR ajustado</w:t>
            </w:r>
          </w:p>
        </w:tc>
        <w:tc>
          <w:tcPr>
            <w:tcW w:w="2147" w:type="dxa"/>
          </w:tcPr>
          <w:p>
            <w:pPr>
              <w:pStyle w:val="Compact"/>
              <w:jc w:val="left"/>
              <w:jc w:val="center"/>
            </w:pPr>
            <w:r>
              <w:rPr>
                <w:i/>
                <w:iCs/>
              </w:rPr>
              <w:t xml:space="preserve">C-index</w:t>
            </w:r>
          </w:p>
        </w:tc>
      </w:tr>
      <w:tr>
        <w:tc>
          <w:tcPr>
            <w:tcW w:w="2002" w:type="dxa"/>
          </w:tcPr>
          <w:p>
            <w:pPr>
              <w:pStyle w:val="Compact"/>
              <w:jc w:val="left"/>
              <w:jc w:val="center"/>
            </w:pPr>
            <w:r>
              <w:t xml:space="preserve">SCAN-B (OS; treinamento)</w:t>
            </w:r>
          </w:p>
        </w:tc>
        <w:tc>
          <w:tcPr>
            <w:tcW w:w="1114" w:type="dxa"/>
          </w:tcPr>
          <w:p>
            <w:pPr>
              <w:pStyle w:val="Compact"/>
              <w:jc w:val="left"/>
              <w:jc w:val="center"/>
            </w:pPr>
            <w:r>
              <w:t xml:space="preserve">3.069/322</w:t>
            </w:r>
          </w:p>
        </w:tc>
        <w:tc>
          <w:tcPr>
            <w:tcW w:w="2002" w:type="dxa"/>
          </w:tcPr>
          <w:p>
            <w:pPr>
              <w:pStyle w:val="Compact"/>
              <w:jc w:val="left"/>
              <w:jc w:val="center"/>
            </w:pPr>
            <w:r>
              <w:t xml:space="preserve">1,92 (1,74-2,13); p&lt;0,001</w:t>
            </w:r>
          </w:p>
        </w:tc>
        <w:tc>
          <w:tcPr>
            <w:tcW w:w="1805" w:type="dxa"/>
          </w:tcPr>
          <w:p>
            <w:pPr>
              <w:pStyle w:val="Compact"/>
              <w:jc w:val="left"/>
              <w:jc w:val="center"/>
            </w:pPr>
            <w:r>
              <w:t xml:space="preserve">1,86 (1,64-2,12)</w:t>
            </w:r>
          </w:p>
        </w:tc>
        <w:tc>
          <w:tcPr>
            <w:tcW w:w="2147" w:type="dxa"/>
          </w:tcPr>
          <w:p>
            <w:pPr>
              <w:pStyle w:val="Compact"/>
              <w:jc w:val="left"/>
              <w:jc w:val="center"/>
            </w:pPr>
            <w:r>
              <w:t xml:space="preserve">0,698 (0,668-0,729)</w:t>
            </w:r>
          </w:p>
        </w:tc>
      </w:tr>
      <w:tr>
        <w:tc>
          <w:tcPr>
            <w:tcW w:w="2002" w:type="dxa"/>
          </w:tcPr>
          <w:p>
            <w:pPr>
              <w:pStyle w:val="Compact"/>
              <w:jc w:val="left"/>
              <w:jc w:val="center"/>
            </w:pPr>
            <w:r>
              <w:t xml:space="preserve">TCGA-BRCA (OS)</w:t>
            </w:r>
          </w:p>
        </w:tc>
        <w:tc>
          <w:tcPr>
            <w:tcW w:w="1114" w:type="dxa"/>
          </w:tcPr>
          <w:p>
            <w:pPr>
              <w:pStyle w:val="Compact"/>
              <w:jc w:val="left"/>
              <w:jc w:val="center"/>
            </w:pPr>
            <w:r>
              <w:t xml:space="preserve">1.072/150</w:t>
            </w:r>
          </w:p>
        </w:tc>
        <w:tc>
          <w:tcPr>
            <w:tcW w:w="2002" w:type="dxa"/>
          </w:tcPr>
          <w:p>
            <w:pPr>
              <w:pStyle w:val="Compact"/>
              <w:jc w:val="left"/>
              <w:jc w:val="center"/>
            </w:pPr>
            <w:r>
              <w:t xml:space="preserve">1,20 (1,04-1,40); p=0,016</w:t>
            </w:r>
          </w:p>
        </w:tc>
        <w:tc>
          <w:tcPr>
            <w:tcW w:w="1805" w:type="dxa"/>
          </w:tcPr>
          <w:p>
            <w:pPr>
              <w:pStyle w:val="Compact"/>
              <w:jc w:val="left"/>
              <w:jc w:val="center"/>
            </w:pPr>
            <w:r>
              <w:t xml:space="preserve">1,27 (1,09-1,48)</w:t>
            </w:r>
          </w:p>
        </w:tc>
        <w:tc>
          <w:tcPr>
            <w:tcW w:w="2147" w:type="dxa"/>
          </w:tcPr>
          <w:p>
            <w:pPr>
              <w:pStyle w:val="Compact"/>
              <w:jc w:val="left"/>
              <w:jc w:val="center"/>
            </w:pPr>
            <w:r>
              <w:t xml:space="preserve">0,624 (0,572-0,678)</w:t>
            </w:r>
          </w:p>
        </w:tc>
      </w:tr>
      <w:tr>
        <w:tc>
          <w:tcPr>
            <w:tcW w:w="2002" w:type="dxa"/>
          </w:tcPr>
          <w:p>
            <w:pPr>
              <w:pStyle w:val="Compact"/>
              <w:jc w:val="left"/>
              <w:jc w:val="center"/>
            </w:pPr>
            <w:r>
              <w:t xml:space="preserve">METABRIC (DSS)</w:t>
            </w:r>
          </w:p>
        </w:tc>
        <w:tc>
          <w:tcPr>
            <w:tcW w:w="1114" w:type="dxa"/>
          </w:tcPr>
          <w:p>
            <w:pPr>
              <w:pStyle w:val="Compact"/>
              <w:jc w:val="left"/>
              <w:jc w:val="center"/>
            </w:pPr>
            <w:r>
              <w:t xml:space="preserve">1.978/646</w:t>
            </w:r>
          </w:p>
        </w:tc>
        <w:tc>
          <w:tcPr>
            <w:tcW w:w="2002" w:type="dxa"/>
          </w:tcPr>
          <w:p>
            <w:pPr>
              <w:pStyle w:val="Compact"/>
              <w:jc w:val="left"/>
              <w:jc w:val="center"/>
            </w:pPr>
            <w:r>
              <w:t xml:space="preserve">1,41 (1,31-1,52); p&lt;0,001</w:t>
            </w:r>
          </w:p>
        </w:tc>
        <w:tc>
          <w:tcPr>
            <w:tcW w:w="1805" w:type="dxa"/>
          </w:tcPr>
          <w:p>
            <w:pPr>
              <w:pStyle w:val="Compact"/>
              <w:jc w:val="left"/>
              <w:jc w:val="center"/>
            </w:pPr>
            <w:r>
              <w:t xml:space="preserve">1,36 (1,24-1,48)</w:t>
            </w:r>
          </w:p>
        </w:tc>
        <w:tc>
          <w:tcPr>
            <w:tcW w:w="2147" w:type="dxa"/>
          </w:tcPr>
          <w:p>
            <w:pPr>
              <w:pStyle w:val="Compact"/>
              <w:jc w:val="left"/>
              <w:jc w:val="center"/>
            </w:pPr>
            <w:r>
              <w:t xml:space="preserve">0,638 (0,615-0,659)</w:t>
            </w:r>
          </w:p>
        </w:tc>
      </w:tr>
      <w:tr>
        <w:tc>
          <w:tcPr>
            <w:tcW w:w="2002" w:type="dxa"/>
          </w:tcPr>
          <w:p>
            <w:pPr>
              <w:pStyle w:val="Compact"/>
              <w:jc w:val="left"/>
              <w:jc w:val="center"/>
            </w:pPr>
            <w:r>
              <w:t xml:space="preserve">GSE20685 (OS)</w:t>
            </w:r>
          </w:p>
        </w:tc>
        <w:tc>
          <w:tcPr>
            <w:tcW w:w="1114" w:type="dxa"/>
          </w:tcPr>
          <w:p>
            <w:pPr>
              <w:pStyle w:val="Compact"/>
              <w:jc w:val="left"/>
              <w:jc w:val="center"/>
            </w:pPr>
            <w:r>
              <w:t xml:space="preserve">327/83</w:t>
            </w:r>
          </w:p>
        </w:tc>
        <w:tc>
          <w:tcPr>
            <w:tcW w:w="2002" w:type="dxa"/>
          </w:tcPr>
          <w:p>
            <w:pPr>
              <w:pStyle w:val="Compact"/>
              <w:jc w:val="left"/>
              <w:jc w:val="center"/>
            </w:pPr>
            <w:r>
              <w:t xml:space="preserve">1,40 (1,12-1,75); p=0,003</w:t>
            </w:r>
          </w:p>
        </w:tc>
        <w:tc>
          <w:tcPr>
            <w:tcW w:w="1805" w:type="dxa"/>
          </w:tcPr>
          <w:p>
            <w:pPr>
              <w:pStyle w:val="Compact"/>
              <w:jc w:val="left"/>
              <w:jc w:val="center"/>
            </w:pPr>
            <w:r>
              <w:t xml:space="preserve">1,40 (1,12-1,75)</w:t>
            </w:r>
          </w:p>
        </w:tc>
        <w:tc>
          <w:tcPr>
            <w:tcW w:w="2147" w:type="dxa"/>
          </w:tcPr>
          <w:p>
            <w:pPr>
              <w:pStyle w:val="Compact"/>
              <w:jc w:val="left"/>
              <w:jc w:val="center"/>
            </w:pPr>
            <w:r>
              <w:t xml:space="preserve">0,626 (0,565-0,684)</w:t>
            </w:r>
          </w:p>
        </w:tc>
      </w:tr>
      <w:tr>
        <w:tc>
          <w:tcPr>
            <w:tcW w:w="2002" w:type="dxa"/>
          </w:tcPr>
          <w:p>
            <w:pPr>
              <w:pStyle w:val="Compact"/>
              <w:jc w:val="left"/>
              <w:jc w:val="center"/>
            </w:pPr>
            <w:r>
              <w:t xml:space="preserve">GSE1456 (OS; sem ajuste clínico)</w:t>
            </w:r>
          </w:p>
        </w:tc>
        <w:tc>
          <w:tcPr>
            <w:tcW w:w="1114" w:type="dxa"/>
          </w:tcPr>
          <w:p>
            <w:pPr>
              <w:pStyle w:val="Compact"/>
              <w:jc w:val="left"/>
              <w:jc w:val="center"/>
            </w:pPr>
            <w:r>
              <w:t xml:space="preserve">159/40</w:t>
            </w:r>
          </w:p>
        </w:tc>
        <w:tc>
          <w:tcPr>
            <w:tcW w:w="2002" w:type="dxa"/>
          </w:tcPr>
          <w:p>
            <w:pPr>
              <w:pStyle w:val="Compact"/>
              <w:jc w:val="left"/>
              <w:jc w:val="center"/>
            </w:pPr>
            <w:r>
              <w:t xml:space="preserve">1,71 (1,23-2,38); p=0,001</w:t>
            </w:r>
          </w:p>
        </w:tc>
        <w:tc>
          <w:tcPr>
            <w:tcW w:w="1805" w:type="dxa"/>
          </w:tcPr>
          <w:p>
            <w:pPr>
              <w:pStyle w:val="Compact"/>
              <w:jc w:val="left"/>
              <w:jc w:val="center"/>
            </w:pPr>
            <w:r>
              <w:t xml:space="preserve">-</w:t>
            </w:r>
          </w:p>
        </w:tc>
        <w:tc>
          <w:tcPr>
            <w:tcW w:w="2147" w:type="dxa"/>
          </w:tcPr>
          <w:p>
            <w:pPr>
              <w:pStyle w:val="Compact"/>
              <w:jc w:val="left"/>
              <w:jc w:val="center"/>
            </w:pPr>
            <w:r>
              <w:t xml:space="preserve">0,661 (0,582-0,741)</w:t>
            </w:r>
          </w:p>
        </w:tc>
      </w:tr>
    </w:tbl>
    <w:bookmarkEnd w:id="121"/>
    <w:p/>
    <w:p>
      <w:pPr>
        <w:pStyle w:val="BodyText"/>
      </w:pPr>
      <w:r>
        <w:t xml:space="preserve">Em termos clínicos, a</w:t>
      </w:r>
      <w:r>
        <w:t xml:space="preserve"> </w:t>
      </w:r>
      <w:hyperlink w:anchor="tbl-survival-performance">
        <w:r>
          <w:rPr>
            <w:rStyle w:val="Hyperlink"/>
            <w:color w:val="0563C1"/>
            <w:u w:val="single"/>
          </w:rPr>
          <w:t xml:space="preserve">Tabela 8</w:t>
        </w:r>
      </w:hyperlink>
      <w:r>
        <w:t xml:space="preserve"> </w:t>
      </w:r>
      <w:r>
        <w:t xml:space="preserve">mostra que um aumento de 1 desvio-padrão no CorePAM multiplicou o risco por 1,20 em TCGA-BRCA, 1,41 em METABRIC, 1,40 em GSE20685 e 1,71 em GSE1456. O efeito menor em TCGA-BRCA deve ser interpretado com cautela: essa coorte tem seguimento mediano curto (32 meses) e menos eventos tardios, o que reduz o poder de capturar diferenças prognósticas em tumores RE-positivos. Já METABRIC tem seguimento muito longo e mais eventos, mas usa DSS, não OS; por isso, ela enxerga melhor mortes relacionadas ao câncer de mama, mas não é diretamente intercambiável com as coortes de OS. GSE1456, apesar de pequena e com apenas 21 dos 24 genes medidos, manteve o maior HR pontual, o que sugere que o núcleo do sinal é robusto mesmo com cobertura parcial.</w:t>
      </w:r>
    </w:p>
    <w:p>
      <w:pPr>
        <w:pStyle w:val="BodyText"/>
      </w:pPr>
      <w:r>
        <w:t xml:space="preserve">As curvas de Kaplan-Meier (</w:t>
      </w:r>
      <w:hyperlink w:anchor="fig-km-multipanel">
        <w:r>
          <w:rPr>
            <w:rStyle w:val="Hyperlink"/>
            <w:color w:val="0563C1"/>
            <w:u w:val="single"/>
          </w:rPr>
          <w:t xml:space="preserve">Figura 11</w:t>
        </w:r>
      </w:hyperlink>
      <w:r>
        <w:t xml:space="preserve">) mostraram separação visual clara entre os grupos de alto e baixo risco em todas as cinco coortes. Cada painel representa uma coorte independente. O eixo horizontal mostra o tempo em meses, e o eixo vertical mostra a fração de pacientes ainda sem o evento de interesse. A curva vermelha corresponde ao grupo de</w:t>
      </w:r>
      <w:r>
        <w:t xml:space="preserve"> </w:t>
      </w:r>
      <w:r>
        <w:rPr>
          <w:b/>
          <w:bCs/>
        </w:rPr>
        <w:t xml:space="preserve">alto risco</w:t>
      </w:r>
      <w:r>
        <w:t xml:space="preserve"> </w:t>
      </w:r>
      <w:r>
        <w:t xml:space="preserve">e, como esperado, fica abaixo da curva verde de</w:t>
      </w:r>
      <w:r>
        <w:t xml:space="preserve"> </w:t>
      </w:r>
      <w:r>
        <w:rPr>
          <w:b/>
          <w:bCs/>
        </w:rPr>
        <w:t xml:space="preserve">baixo risco</w:t>
      </w:r>
      <w:r>
        <w:t xml:space="preserve"> </w:t>
      </w:r>
      <w:r>
        <w:t xml:space="preserve">quando há pior sobrevida. A distância vertical entre as curvas representa a diferença absoluta de sobrevida naquele momento; o HR resume essa diferença como risco relativo ao longo do seguimento. A consistência da separação em coortes tão diferentes - Suécia, Estados Unidos/TCGA, METABRIC, Taiwan e Estocolmo - sustenta a transportabilidade do escore.</w:t>
      </w:r>
    </w:p>
    <w:p>
      <w:pPr>
        <w:pStyle w:val="Compact"/>
        <w:jc w:val="center"/>
      </w:pPr>
      <w:bookmarkStart w:id="125" w:name="fig-km-multipanel"/>
      <w:r>
        <w:drawing>
          <wp:inline>
            <wp:extent cx="5687999" cy="7583999"/>
            <wp:effectExtent b="0" l="0" r="0" t="0"/>
            <wp:docPr descr="" title="" id="123" name="Picture"/>
            <a:graphic>
              <a:graphicData uri="http://schemas.openxmlformats.org/drawingml/2006/picture">
                <pic:pic>
                  <pic:nvPicPr>
                    <pic:cNvPr descr="../figures/main/pt/png/Fig2_KM_MultiPanel_PT_v12.png" id="124" name="Picture"/>
                    <pic:cNvPicPr>
                      <a:picLocks noChangeArrowheads="1" noChangeAspect="1"/>
                    </pic:cNvPicPr>
                  </pic:nvPicPr>
                  <pic:blipFill>
                    <a:blip r:embed="rId122"/>
                    <a:stretch>
                      <a:fillRect/>
                    </a:stretch>
                  </pic:blipFill>
                  <pic:spPr bwMode="auto">
                    <a:xfrm>
                      <a:off x="0" y="0"/>
                      <a:ext cx="5687999" cy="7583999"/>
                    </a:xfrm>
                    <a:prstGeom prst="rect">
                      <a:avLst/>
                    </a:prstGeom>
                    <a:noFill/>
                    <a:ln w="9525">
                      <a:noFill/>
                      <a:headEnd/>
                      <a:tailEnd/>
                    </a:ln>
                  </pic:spPr>
                </pic:pic>
              </a:graphicData>
            </a:graphic>
          </wp:inline>
        </w:drawing>
      </w:r>
    </w:p>
    <w:p>
      <w:pPr>
        <w:jc w:val="left"/>
        <w:spacing w:before="200"/>
        <w:pStyle w:val="ImageCaption"/>
      </w:pPr>
      <w:r>
        <w:t xml:space="preserve">Figura 11 — Curvas de Kaplan-Meier nas cinco coortes (painel múltiplo). Pacientes dicotomizados na mediana intra-coorte do escore CorePAM: grupo alto risco (vermelho) vs baixo risco (verde). Sombreamento: IC 95%. Os HRs dicotomizados variaram de 1,78 (TCGA-BRCA) a 2,99 (GSE1456), com separação significativa em todas as coortes.</w:t>
      </w:r>
    </w:p>
    <w:bookmarkEnd w:id="125"/>
    <w:p>
      <w:pPr>
        <w:pStyle w:val="BodyText"/>
      </w:pPr>
      <w:r>
        <w:t xml:space="preserve">Na</w:t>
      </w:r>
      <w:r>
        <w:t xml:space="preserve"> </w:t>
      </w:r>
      <w:hyperlink w:anchor="fig-km-multipanel">
        <w:r>
          <w:rPr>
            <w:rStyle w:val="Hyperlink"/>
            <w:color w:val="0563C1"/>
            <w:u w:val="single"/>
          </w:rPr>
          <w:t xml:space="preserve">Figura 11</w:t>
        </w:r>
      </w:hyperlink>
      <w:r>
        <w:t xml:space="preserve">, a leitura deve começar pela direção das curvas, não pelo valor de p. Em todos os painéis, a curva de alto risco fica abaixo da curva de baixo risco, indicando menor probabilidade de permanecer sem evento ao longo do tempo. O fato de a separação aparecer em coortes diferentes é mais importante do que a aparência exata de cada painel. SCAN-B mostra a separação mais limpa por ser grande e por ser a coorte de derivação. TCGA-BRCA mostra separação menor porque tem seguimento mais curto e menos eventos. METABRIC mostra separação persistente por muitos anos, adequada para doença de história natural longa. GSE20685 e GSE1456 são menores, por isso têm intervalos mais largos, mas preservam a direção do efeito. Essa figura funciona como a</w:t>
      </w:r>
      <w:r>
        <w:t xml:space="preserve"> </w:t>
      </w:r>
      <w:r>
        <w:t xml:space="preserve">“anamnese visual”</w:t>
      </w:r>
      <w:r>
        <w:t xml:space="preserve"> </w:t>
      </w:r>
      <w:r>
        <w:t xml:space="preserve">do escore: antes de discutir métricas, ela mostra se os grupos realmente se comportam de maneira diferente no tempo.</w:t>
      </w:r>
    </w:p>
    <w:p>
      <w:r>
        <w:br w:type="page"/>
      </w:r>
    </w:p>
    <w:p>
      <w:pPr>
        <w:pStyle w:val="Compact"/>
        <w:jc w:val="center"/>
      </w:pPr>
      <w:bookmarkStart w:id="129" w:name="fig-km-scanb"/>
      <w:r>
        <w:drawing>
          <wp:inline>
            <wp:extent cx="5687999" cy="4265999"/>
            <wp:effectExtent b="0" l="0" r="0" t="0"/>
            <wp:docPr descr="" title="" id="127" name="Picture"/>
            <a:graphic>
              <a:graphicData uri="http://schemas.openxmlformats.org/drawingml/2006/picture">
                <pic:pic>
                  <pic:nvPicPr>
                    <pic:cNvPr descr="../figures/main/pt/png/Fig3_KM_SCANB_OS_CorePAM_PT.png" id="128" name="Picture"/>
                    <pic:cNvPicPr>
                      <a:picLocks noChangeArrowheads="1" noChangeAspect="1"/>
                    </pic:cNvPicPr>
                  </pic:nvPicPr>
                  <pic:blipFill>
                    <a:blip r:embed="rId126"/>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de treinamento SCAN-B (N = 3 069; sobrevida global). Dicotomização na mediana do escore CorePAM. HR = 3,56 (IC 95% 2,77-4,58; p &lt; 0,001).</w:t>
      </w:r>
    </w:p>
    <w:bookmarkEnd w:id="129"/>
    <w:p>
      <w:pPr>
        <w:pStyle w:val="BodyText"/>
      </w:pPr>
      <w:r>
        <w:t xml:space="preserve">Na</w:t>
      </w:r>
      <w:r>
        <w:t xml:space="preserve"> </w:t>
      </w:r>
      <w:hyperlink w:anchor="fig-km-scanb">
        <w:r>
          <w:rPr>
            <w:rStyle w:val="Hyperlink"/>
            <w:color w:val="0563C1"/>
            <w:u w:val="single"/>
          </w:rPr>
          <w:t xml:space="preserve">Figura 12</w:t>
        </w:r>
      </w:hyperlink>
      <w:r>
        <w:t xml:space="preserve">, a separação é a mais ampla porque SCAN-B é a coorte de derivação e também a maior coorte individual do estudo. O HR dicotomizado de 3,56 mostra que pacientes acima da mediana do CorePAM tiveram risco de morte mais de três vezes maior que pacientes abaixo da mediana. Esse resultado não é apresentado como validação externa, mas como verificação de que o sinal aprendido pelo modelo é clinicamente visível na coorte em que ele foi desenvolvido.</w:t>
      </w:r>
    </w:p>
    <w:p>
      <w:pPr>
        <w:pStyle w:val="BodyText"/>
      </w:pPr>
      <w:r>
        <w:t xml:space="preserve">O detalhe importante na</w:t>
      </w:r>
      <w:r>
        <w:t xml:space="preserve"> </w:t>
      </w:r>
      <w:hyperlink w:anchor="fig-km-scanb">
        <w:r>
          <w:rPr>
            <w:rStyle w:val="Hyperlink"/>
            <w:color w:val="0563C1"/>
            <w:u w:val="single"/>
          </w:rPr>
          <w:t xml:space="preserve">Figura 12</w:t>
        </w:r>
      </w:hyperlink>
      <w:r>
        <w:t xml:space="preserve"> </w:t>
      </w:r>
      <w:r>
        <w:t xml:space="preserve">é que as curvas se separam cedo e permanecem afastadas. Isso sugere que o escore não está captando apenas ruído tardio de seguimento, mas uma diferença biológica presente desde o início da história da doença. Ainda assim, como a mesma coorte foi usada para derivar o modelo, a figura deve ser lida como demonstração interna de coerência, não como prova final de generalização.</w:t>
      </w:r>
    </w:p>
    <w:p>
      <w:r>
        <w:br w:type="page"/>
      </w:r>
    </w:p>
    <w:p>
      <w:pPr>
        <w:pStyle w:val="Compact"/>
        <w:jc w:val="center"/>
      </w:pPr>
      <w:bookmarkStart w:id="133" w:name="fig-km-tcga"/>
      <w:r>
        <w:drawing>
          <wp:inline>
            <wp:extent cx="5687999" cy="4265999"/>
            <wp:effectExtent b="0" l="0" r="0" t="0"/>
            <wp:docPr descr="" title="" id="131" name="Picture"/>
            <a:graphic>
              <a:graphicData uri="http://schemas.openxmlformats.org/drawingml/2006/picture">
                <pic:pic>
                  <pic:nvPicPr>
                    <pic:cNvPr descr="../figures/main/pt/png/Fig2_KM_TCGA_BRCA_OS_PT.png" id="132" name="Picture"/>
                    <pic:cNvPicPr>
                      <a:picLocks noChangeArrowheads="1" noChangeAspect="1"/>
                    </pic:cNvPicPr>
                  </pic:nvPicPr>
                  <pic:blipFill>
                    <a:blip r:embed="rId130"/>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TCGA-BRCA (N = 1 072; RNA-seq; sobrevida global). Dicotomização na mediana do escore CorePAM.</w:t>
      </w:r>
    </w:p>
    <w:bookmarkEnd w:id="133"/>
    <w:p>
      <w:pPr>
        <w:pStyle w:val="BodyText"/>
      </w:pPr>
      <w:r>
        <w:t xml:space="preserve">Na</w:t>
      </w:r>
      <w:r>
        <w:t xml:space="preserve"> </w:t>
      </w:r>
      <w:hyperlink w:anchor="fig-km-tcga">
        <w:r>
          <w:rPr>
            <w:rStyle w:val="Hyperlink"/>
            <w:color w:val="0563C1"/>
            <w:u w:val="single"/>
          </w:rPr>
          <w:t xml:space="preserve">Figura 13</w:t>
        </w:r>
      </w:hyperlink>
      <w:r>
        <w:t xml:space="preserve">, a separação é mais discreta. Isso é esperado, não contraditório. A TCGA-BRCA tem seguimento mediano curto, menor número de eventos e composição clínica menos voltada a seguimento longitudinal de câncer de mama do que coortes desenhadas para prognóstico. Mesmo assim, a direção do efeito permanece correta e estatisticamente significativa na análise contínua, sustentando a transportabilidade dentro de</w:t>
      </w:r>
      <w:r>
        <w:t xml:space="preserve"> </w:t>
      </w:r>
      <w:r>
        <w:rPr>
          <w:i/>
          <w:iCs/>
        </w:rPr>
        <w:t xml:space="preserve">RNA-seq</w:t>
      </w:r>
      <w:r>
        <w:t xml:space="preserve">.</w:t>
      </w:r>
    </w:p>
    <w:p>
      <w:pPr>
        <w:pStyle w:val="BodyText"/>
      </w:pPr>
      <w:r>
        <w:t xml:space="preserve">Clinicamente, a</w:t>
      </w:r>
      <w:r>
        <w:t xml:space="preserve"> </w:t>
      </w:r>
      <w:hyperlink w:anchor="fig-km-tcga">
        <w:r>
          <w:rPr>
            <w:rStyle w:val="Hyperlink"/>
            <w:color w:val="0563C1"/>
            <w:u w:val="single"/>
          </w:rPr>
          <w:t xml:space="preserve">Figura 13</w:t>
        </w:r>
      </w:hyperlink>
      <w:r>
        <w:t xml:space="preserve"> </w:t>
      </w:r>
      <w:r>
        <w:t xml:space="preserve">lembra uma consulta com pouco tempo de seguimento: a ausência de grande diferença visual não significa ausência de biologia, mas menor oportunidade de observar eventos. A contribuição da TCGA-BRCA é mostrar que o escore calculado em outro</w:t>
      </w:r>
      <w:r>
        <w:t xml:space="preserve"> </w:t>
      </w:r>
      <w:r>
        <w:rPr>
          <w:i/>
          <w:iCs/>
        </w:rPr>
        <w:t xml:space="preserve">pipeline</w:t>
      </w:r>
      <w:r>
        <w:t xml:space="preserve"> </w:t>
      </w:r>
      <w:r>
        <w:t xml:space="preserve">de</w:t>
      </w:r>
      <w:r>
        <w:t xml:space="preserve"> </w:t>
      </w:r>
      <w:r>
        <w:rPr>
          <w:i/>
          <w:iCs/>
        </w:rPr>
        <w:t xml:space="preserve">RNA-seq</w:t>
      </w:r>
      <w:r>
        <w:t xml:space="preserve"> </w:t>
      </w:r>
      <w:r>
        <w:t xml:space="preserve">mantém a mesma direção, ainda que com menor amplitude.</w:t>
      </w:r>
    </w:p>
    <w:p>
      <w:r>
        <w:br w:type="page"/>
      </w:r>
    </w:p>
    <w:p>
      <w:pPr>
        <w:pStyle w:val="Compact"/>
        <w:jc w:val="center"/>
      </w:pPr>
      <w:bookmarkStart w:id="137" w:name="fig-km-metabric"/>
      <w:r>
        <w:drawing>
          <wp:inline>
            <wp:extent cx="5687999" cy="4265999"/>
            <wp:effectExtent b="0" l="0" r="0" t="0"/>
            <wp:docPr descr="" title="" id="135" name="Picture"/>
            <a:graphic>
              <a:graphicData uri="http://schemas.openxmlformats.org/drawingml/2006/picture">
                <pic:pic>
                  <pic:nvPicPr>
                    <pic:cNvPr descr="../figures/main/pt/png/Fig2_KM_METABRIC_DSS_PT.png" id="136" name="Picture"/>
                    <pic:cNvPicPr>
                      <a:picLocks noChangeArrowheads="1" noChangeAspect="1"/>
                    </pic:cNvPicPr>
                  </pic:nvPicPr>
                  <pic:blipFill>
                    <a:blip r:embed="rId134"/>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METABRIC (N = 1 978; microarray Illumina; sobrevida doença-específica). Separação ampla mantida ao longo de mais de 200 meses de seguimento.</w:t>
      </w:r>
    </w:p>
    <w:bookmarkEnd w:id="137"/>
    <w:p>
      <w:pPr>
        <w:pStyle w:val="BodyText"/>
      </w:pPr>
      <w:r>
        <w:t xml:space="preserve">Na</w:t>
      </w:r>
      <w:r>
        <w:t xml:space="preserve"> </w:t>
      </w:r>
      <w:hyperlink w:anchor="fig-km-metabric">
        <w:r>
          <w:rPr>
            <w:rStyle w:val="Hyperlink"/>
            <w:color w:val="0563C1"/>
            <w:u w:val="single"/>
          </w:rPr>
          <w:t xml:space="preserve">Figura 14</w:t>
        </w:r>
      </w:hyperlink>
      <w:r>
        <w:t xml:space="preserve">, a separação se mantém por mais de 200 meses. Essa é uma leitura particularmente relevante para doença RE-positiva, na qual eventos tardios são frequentes. A METABRIC usa sobrevida doença-específica, o que reduz ruído de mortes por outras causas e ajuda a enxergar o componente relacionado ao câncer de mama. Por outro lado, esse desfecho não é idêntico à sobrevida global das demais coortes, razão pela qual a meta-análise também incluiu análise de sensibilidade harmonizada.</w:t>
      </w:r>
    </w:p>
    <w:p>
      <w:pPr>
        <w:pStyle w:val="BodyText"/>
      </w:pPr>
      <w:r>
        <w:t xml:space="preserve">A</w:t>
      </w:r>
      <w:r>
        <w:t xml:space="preserve"> </w:t>
      </w:r>
      <w:hyperlink w:anchor="fig-km-metabric">
        <w:r>
          <w:rPr>
            <w:rStyle w:val="Hyperlink"/>
            <w:color w:val="0563C1"/>
            <w:u w:val="single"/>
          </w:rPr>
          <w:t xml:space="preserve">Figura 14</w:t>
        </w:r>
      </w:hyperlink>
      <w:r>
        <w:t xml:space="preserve"> </w:t>
      </w:r>
      <w:r>
        <w:t xml:space="preserve">é a figura que melhor conversa com o problema clínico de recorrência tardia. Em tumores luminais, a pergunta não termina em cinco anos; muitas decisões, como extensão de hormonioterapia, dependem de risco prolongado. A persistência da separação ao longo de mais de uma década indica que o CorePAM não captura apenas agressividade inicial, mas também uma dimensão de história natural sustentada.</w:t>
      </w:r>
    </w:p>
    <w:p>
      <w:r>
        <w:br w:type="page"/>
      </w:r>
    </w:p>
    <w:p>
      <w:pPr>
        <w:pStyle w:val="Compact"/>
        <w:jc w:val="center"/>
      </w:pPr>
      <w:bookmarkStart w:id="141" w:name="fig-km-gse20685"/>
      <w:r>
        <w:drawing>
          <wp:inline>
            <wp:extent cx="5687999" cy="4265999"/>
            <wp:effectExtent b="0" l="0" r="0" t="0"/>
            <wp:docPr descr="" title="" id="139" name="Picture"/>
            <a:graphic>
              <a:graphicData uri="http://schemas.openxmlformats.org/drawingml/2006/picture">
                <pic:pic>
                  <pic:nvPicPr>
                    <pic:cNvPr descr="../figures/main/pt/png/Fig2_KM_GSE20685_OS_PT.png" id="140" name="Picture"/>
                    <pic:cNvPicPr>
                      <a:picLocks noChangeArrowheads="1" noChangeAspect="1"/>
                    </pic:cNvPicPr>
                  </pic:nvPicPr>
                  <pic:blipFill>
                    <a:blip r:embed="rId138"/>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15 — Curva de Kaplan-Meier na coorte GSE20685 (N = 327; microarray Affymetrix; sobrevida global). População asiática (Taiwan), testando generalizabilidade populacional e transportabilidade para plataforma Affymetrix.</w:t>
      </w:r>
    </w:p>
    <w:bookmarkEnd w:id="141"/>
    <w:p>
      <w:pPr>
        <w:pStyle w:val="BodyText"/>
      </w:pPr>
      <w:r>
        <w:t xml:space="preserve">Na</w:t>
      </w:r>
      <w:r>
        <w:t xml:space="preserve"> </w:t>
      </w:r>
      <w:hyperlink w:anchor="fig-km-gse20685">
        <w:r>
          <w:rPr>
            <w:rStyle w:val="Hyperlink"/>
            <w:color w:val="0563C1"/>
            <w:u w:val="single"/>
          </w:rPr>
          <w:t xml:space="preserve">Figura 15</w:t>
        </w:r>
      </w:hyperlink>
      <w:r>
        <w:t xml:space="preserve">, o achado é relevante porque a coorte é menor, asiática e medida por</w:t>
      </w:r>
      <w:r>
        <w:t xml:space="preserve"> </w:t>
      </w:r>
      <w:r>
        <w:rPr>
          <w:i/>
          <w:iCs/>
        </w:rPr>
        <w:t xml:space="preserve">Affymetrix</w:t>
      </w:r>
      <w:r>
        <w:t xml:space="preserve">. O intervalo de confiança é naturalmente mais amplo, mas a separação das curvas e o HR contínuo de 1,40 mostram que o escore preserva sinal fora das populações predominantemente europeias que compõem SCAN-B e METABRIC.</w:t>
      </w:r>
    </w:p>
    <w:p>
      <w:pPr>
        <w:pStyle w:val="BodyText"/>
      </w:pPr>
      <w:r>
        <w:t xml:space="preserve">A</w:t>
      </w:r>
      <w:r>
        <w:t xml:space="preserve"> </w:t>
      </w:r>
      <w:hyperlink w:anchor="fig-km-gse20685">
        <w:r>
          <w:rPr>
            <w:rStyle w:val="Hyperlink"/>
            <w:color w:val="0563C1"/>
            <w:u w:val="single"/>
          </w:rPr>
          <w:t xml:space="preserve">Figura 15</w:t>
        </w:r>
      </w:hyperlink>
      <w:r>
        <w:t xml:space="preserve"> </w:t>
      </w:r>
      <w:r>
        <w:t xml:space="preserve">deve ser lida como teste de adversidade metodológica. N menor, plataforma diferente e população distinta tornam a demonstração mais difícil. Por isso, mesmo uma separação menos</w:t>
      </w:r>
      <w:r>
        <w:t xml:space="preserve"> </w:t>
      </w:r>
      <w:r>
        <w:t xml:space="preserve">“bonita”</w:t>
      </w:r>
      <w:r>
        <w:t xml:space="preserve"> </w:t>
      </w:r>
      <w:r>
        <w:t xml:space="preserve">tem valor: ela mostra que a direção do risco não depende exclusivamente da coorte sueca nem da plataforma Illumina.</w:t>
      </w:r>
    </w:p>
    <w:bookmarkEnd w:id="142"/>
    <w:bookmarkStart w:id="148" w:name="meta-análise-de-sobrevida"/>
    <w:p>
      <w:pPr>
        <w:pageBreakBefore/>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color w:val="0563C1"/>
            <w:u w:val="single"/>
          </w:rPr>
          <w:t xml:space="preserve">Tabela 9</w:t>
        </w:r>
      </w:hyperlink>
      <w:r>
        <w:t xml:space="preserve">,</w:t>
      </w:r>
      <w:r>
        <w:t xml:space="preserve"> </w:t>
      </w:r>
      <w:hyperlink w:anchor="fig-forest-survival">
        <w:r>
          <w:rPr>
            <w:rStyle w:val="Hyperlink"/>
            <w:color w:val="0563C1"/>
            <w:u w:val="single"/>
          </w:rPr>
          <w:t xml:space="preserve">Figura 16</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43" w:name="tbl-meta-survival"/>
      <w:r>
        <w:t xml:space="preserve">Tabela 9 — Meta-análise de efeitos aleatórios — sobrevida (K = 4)</w:t>
      </w:r>
    </w:p>
    <w:tbl>
      <w:tblPr>
        <w:tblStyle w:val="Table"/>
        <w:tblW w:type="dxa" w:w="9070"/>
        <w:tblLayout w:type="fixed"/>
        <w:tblLook w:firstRow="1" w:lastRow="0" w:firstColumn="0" w:lastColumn="0" w:noHBand="0" w:noVBand="0" w:val="0020"/>
      </w:tblPr>
      <w:tblGrid>
        <w:gridCol w:w="2376"/>
        <w:gridCol w:w="2141"/>
        <w:gridCol w:w="1439"/>
        <w:gridCol w:w="1439"/>
        <w:gridCol w:w="1675"/>
      </w:tblGrid>
      <w:tr>
        <w:trPr>
          <w:tblHeader w:val="on"/>
        </w:trPr>
        <w:tc>
          <w:tcPr>
            <w:tcW w:w="2376" w:type="dxa"/>
          </w:tcPr>
          <w:p>
            <w:pPr>
              <w:pStyle w:val="Compact"/>
              <w:jc w:val="left"/>
              <w:jc w:val="center"/>
            </w:pPr>
            <w:r>
              <w:t xml:space="preserve">Análise</w:t>
            </w:r>
          </w:p>
        </w:tc>
        <w:tc>
          <w:tcPr>
            <w:tcW w:w="2141" w:type="dxa"/>
          </w:tcPr>
          <w:p>
            <w:pPr>
              <w:pStyle w:val="Compact"/>
              <w:jc w:val="left"/>
              <w:jc w:val="center"/>
            </w:pPr>
            <w:r>
              <w:t xml:space="preserve">HR (IC 95%)</w:t>
            </w:r>
          </w:p>
        </w:tc>
        <w:tc>
          <w:tcPr>
            <w:tcW w:w="1439" w:type="dxa"/>
          </w:tcPr>
          <w:p>
            <w:pPr>
              <w:pStyle w:val="Compact"/>
              <w:jc w:val="right"/>
              <w:jc w:val="center"/>
            </w:pPr>
            <w:r>
              <w:t xml:space="preserve">p</w:t>
            </w:r>
          </w:p>
        </w:tc>
        <w:tc>
          <w:tcPr>
            <w:tcW w:w="1439" w:type="dxa"/>
          </w:tcPr>
          <w:p>
            <w:pPr>
              <w:pStyle w:val="Compact"/>
              <w:jc w:val="center"/>
              <w:jc w:val="center"/>
            </w:pPr>
            <w:r>
              <w:t xml:space="preserve">I-quadrado</w:t>
            </w:r>
          </w:p>
        </w:tc>
        <w:tc>
          <w:tcPr>
            <w:tcW w:w="1675" w:type="dxa"/>
          </w:tcPr>
          <w:p>
            <w:pPr>
              <w:pStyle w:val="Compact"/>
              <w:jc w:val="center"/>
              <w:jc w:val="center"/>
            </w:pPr>
            <w:r>
              <w:t xml:space="preserve">tau-quadrado</w:t>
            </w:r>
          </w:p>
        </w:tc>
      </w:tr>
      <w:tr>
        <w:tc>
          <w:tcPr>
            <w:tcW w:w="2376" w:type="dxa"/>
          </w:tcPr>
          <w:p>
            <w:pPr>
              <w:pStyle w:val="Compact"/>
              <w:jc w:val="left"/>
              <w:jc w:val="center"/>
            </w:pPr>
            <w:r>
              <w:t xml:space="preserve">Primária RE (REML)</w:t>
            </w:r>
          </w:p>
        </w:tc>
        <w:tc>
          <w:tcPr>
            <w:tcW w:w="2141" w:type="dxa"/>
          </w:tcPr>
          <w:p>
            <w:pPr>
              <w:pStyle w:val="Compact"/>
              <w:jc w:val="left"/>
              <w:jc w:val="center"/>
            </w:pPr>
            <w:r>
              <w:t xml:space="preserve">1,37 (1,24–1,52)</w:t>
            </w:r>
          </w:p>
        </w:tc>
        <w:tc>
          <w:tcPr>
            <w:tcW w:w="1439" w:type="dxa"/>
          </w:tcPr>
          <w:p>
            <w:pPr>
              <w:pStyle w:val="Compact"/>
              <w:jc w:val="right"/>
              <w:jc w:val="center"/>
            </w:pPr>
            <w:r>
              <w:t xml:space="preserve">1,6 × 10⁻⁹</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Hartung–Knapp</w:t>
            </w:r>
          </w:p>
        </w:tc>
        <w:tc>
          <w:tcPr>
            <w:tcW w:w="2141" w:type="dxa"/>
          </w:tcPr>
          <w:p>
            <w:pPr>
              <w:pStyle w:val="Compact"/>
              <w:jc w:val="left"/>
              <w:jc w:val="center"/>
            </w:pPr>
            <w:r>
              <w:t xml:space="preserve">1,37 (1,15–1,64)</w:t>
            </w:r>
          </w:p>
        </w:tc>
        <w:tc>
          <w:tcPr>
            <w:tcW w:w="1439" w:type="dxa"/>
          </w:tcPr>
          <w:p>
            <w:pPr>
              <w:pStyle w:val="Compact"/>
              <w:jc w:val="right"/>
              <w:jc w:val="center"/>
            </w:pPr>
            <w:r>
              <w:t xml:space="preserve">0,011</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OS-harmonizada</w:t>
            </w:r>
          </w:p>
        </w:tc>
        <w:tc>
          <w:tcPr>
            <w:tcW w:w="2141" w:type="dxa"/>
          </w:tcPr>
          <w:p>
            <w:pPr>
              <w:pStyle w:val="Compact"/>
              <w:jc w:val="left"/>
              <w:jc w:val="center"/>
            </w:pPr>
            <w:r>
              <w:t xml:space="preserve">1,36 (1,13–1,64)</w:t>
            </w:r>
          </w:p>
        </w:tc>
        <w:tc>
          <w:tcPr>
            <w:tcW w:w="1439" w:type="dxa"/>
          </w:tcPr>
          <w:p>
            <w:pPr>
              <w:pStyle w:val="Compact"/>
              <w:jc w:val="right"/>
              <w:jc w:val="center"/>
            </w:pPr>
            <w:r>
              <w:t xml:space="preserve">&lt;0,001</w:t>
            </w:r>
          </w:p>
        </w:tc>
        <w:tc>
          <w:tcPr>
            <w:tcW w:w="1439" w:type="dxa"/>
          </w:tcPr>
          <w:p>
            <w:pPr>
              <w:pStyle w:val="Compact"/>
              <w:jc w:val="center"/>
              <w:jc w:val="center"/>
            </w:pPr>
            <w:r>
              <w:t xml:space="preserve">50,5%</w:t>
            </w:r>
          </w:p>
        </w:tc>
        <w:tc>
          <w:tcPr>
            <w:tcW w:w="1675" w:type="dxa"/>
          </w:tcPr>
          <w:p>
            <w:pPr>
              <w:pStyle w:val="Compact"/>
              <w:jc w:val="center"/>
              <w:jc w:val="center"/>
            </w:pPr>
            <w:r>
              <w:t xml:space="preserve">0,0151</w:t>
            </w:r>
          </w:p>
        </w:tc>
      </w:tr>
    </w:tbl>
    <w:bookmarkEnd w:id="143"/>
    <w:p/>
    <w:bookmarkStart w:id="147" w:name="fig-forest-survival"/>
    <w:p>
      <w:pPr>
        <w:pStyle w:val="Compact"/>
        <w:jc w:val="center"/>
      </w:pPr>
      <w:r>
        <w:drawing>
          <wp:inline>
            <wp:extent cx="5687999" cy="2843999"/>
            <wp:effectExtent b="0" l="0" r="0" t="0"/>
            <wp:docPr descr="" title="" id="145" name="Picture"/>
            <a:graphic>
              <a:graphicData uri="http://schemas.openxmlformats.org/drawingml/2006/picture">
                <pic:pic>
                  <pic:nvPicPr>
                    <pic:cNvPr descr="../figures/main/pt/png/Fig4_Meta_Forest_HR_per1SD_CorePAM_PT.png" id="146" name="Picture"/>
                    <pic:cNvPicPr>
                      <a:picLocks noChangeArrowheads="1" noChangeAspect="1"/>
                    </pic:cNvPicPr>
                  </pic:nvPicPr>
                  <pic:blipFill>
                    <a:blip r:embed="rId144"/>
                    <a:stretch>
                      <a:fillRect/>
                    </a:stretch>
                  </pic:blipFill>
                  <pic:spPr bwMode="auto">
                    <a:xfrm>
                      <a:off x="0" y="0"/>
                      <a:ext cx="5687999" cy="2843999"/>
                    </a:xfrm>
                    <a:prstGeom prst="rect">
                      <a:avLst/>
                    </a:prstGeom>
                    <a:noFill/>
                    <a:ln w="9525">
                      <a:noFill/>
                      <a:headEnd/>
                      <a:tailEnd/>
                    </a:ln>
                  </pic:spPr>
                </pic:pic>
              </a:graphicData>
            </a:graphic>
          </wp:inline>
        </w:drawing>
      </w:r>
    </w:p>
    <w:p>
      <w:pPr>
        <w:jc w:val="left"/>
        <w:spacing w:before="200"/>
        <w:pStyle w:val="ImageCaption"/>
      </w:pPr>
      <w:r>
        <w:t xml:space="preserve">Figura 16 — Forest plot da meta-análise de sobrevida (HR por 1-DP, K = 4 coortes de validação). Modelo de efeitos aleatórios (REML). Diamante: estimativa agrupada (HR = 1,37; IC 95% 1,24-1,52; p = 1,6 x 10^-9). I-quadrado = 38,2%.</w:t>
      </w:r>
    </w:p>
    <w:bookmarkEnd w:id="147"/>
    <w:p>
      <w:pPr>
        <w:pStyle w:val="BodyText"/>
      </w:pPr>
      <w:r>
        <w:t xml:space="preserve">Na</w:t>
      </w:r>
      <w:r>
        <w:t xml:space="preserve"> </w:t>
      </w:r>
      <w:hyperlink w:anchor="fig-forest-survival">
        <w:r>
          <w:rPr>
            <w:rStyle w:val="Hyperlink"/>
            <w:color w:val="0563C1"/>
            <w:u w:val="single"/>
          </w:rPr>
          <w:t xml:space="preserve">Figura 16</w:t>
        </w:r>
      </w:hyperlink>
      <w:r>
        <w:t xml:space="preserve">, cada linha é uma coorte externa e cada quadrado é a estimativa de efeito do CorePAM naquela coorte. A linha vertical em HR = 1 representa ausência de associação; tudo à direita favorece maior risco com maior escore. O leitor deve notar que todos os quadrados estão à direita de 1, ainda que com tamanhos e intervalos diferentes. O diamante final resume a evidência conjunta e também fica claramente à direita de 1. Em oncologia, essa leitura é parecida com comparar subgrupos de um ensaio: nem todos têm o mesmo peso, mas a consistência de direção importa. O I-quadrado de 38,2% indica que existe variação real entre coortes, mas não a ponto de destruir a mensagem principal.</w:t>
      </w:r>
    </w:p>
    <w:bookmarkEnd w:id="148"/>
    <w:bookmarkStart w:id="158" w:name="Xc37726a09f9bc8822faf77bb6f0d2c56d4f1721"/>
    <w:p>
      <w:pPr>
        <w:pageBreakBefore/>
        <w:pStyle w:val="Heading2"/>
      </w:pPr>
      <w:r>
        <w:t xml:space="preserve">4.4 Valor incremental sobre preditores clínicos</w:t>
      </w:r>
    </w:p>
    <w:p>
      <w:pPr>
        <w:pStyle w:val="FirstParagraph"/>
      </w:pPr>
      <w:r>
        <w:t xml:space="preserve">A</w:t>
      </w:r>
      <w:r>
        <w:t xml:space="preserve"> </w:t>
      </w:r>
      <w:hyperlink w:anchor="tbl-incremental">
        <w:r>
          <w:rPr>
            <w:rStyle w:val="Hyperlink"/>
            <w:color w:val="0563C1"/>
            <w:u w:val="single"/>
          </w:rPr>
          <w:t xml:space="preserve">Tabela 10</w:t>
        </w:r>
      </w:hyperlink>
      <w:r>
        <w:t xml:space="preserve"> </w:t>
      </w:r>
      <w:r>
        <w:t xml:space="preserve">e a</w:t>
      </w:r>
      <w:r>
        <w:t xml:space="preserve"> </w:t>
      </w:r>
      <w:hyperlink w:anchor="fig-delta-c">
        <w:r>
          <w:rPr>
            <w:rStyle w:val="Hyperlink"/>
            <w:color w:val="0563C1"/>
            <w:u w:val="single"/>
          </w:rPr>
          <w:t xml:space="preserve">Figura 17</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estrogênio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9" w:name="tbl-incremental"/>
      <w:r>
        <w:t xml:space="preserve">Tabela 10 —</w:t>
      </w:r>
      <w:r>
        <w:t xml:space="preserve"> </w:t>
      </w:r>
      <w:r>
        <w:rPr>
          <w:i/>
          <w:iCs/>
        </w:rPr>
        <w:t xml:space="preserve">C-index</w:t>
      </w:r>
      <w:r>
        <w:t xml:space="preserve"> </w:t>
      </w:r>
      <w:r>
        <w:t xml:space="preserve">incremental do CorePAM sobre o modelo CORE-A</w:t>
      </w:r>
    </w:p>
    <w:tbl>
      <w:tblPr>
        <w:tblStyle w:val="Table"/>
        <w:tblW w:type="dxa" w:w="9070"/>
        <w:tblLayout w:type="fixed"/>
        <w:tblLook w:firstRow="1" w:lastRow="0" w:firstColumn="0" w:lastColumn="0" w:noHBand="0" w:noVBand="0" w:val="0020"/>
      </w:tblPr>
      <w:tblGrid>
        <w:gridCol w:w="1600"/>
        <w:gridCol w:w="1604"/>
        <w:gridCol w:w="821"/>
        <w:gridCol w:w="2519"/>
        <w:gridCol w:w="2526"/>
      </w:tblGrid>
      <w:tr>
        <w:trPr>
          <w:tblHeader w:val="on"/>
        </w:trPr>
        <w:tc>
          <w:tcPr>
            <w:tcW w:w="1600" w:type="dxa"/>
          </w:tcPr>
          <w:p>
            <w:pPr>
              <w:pStyle w:val="Compact"/>
              <w:jc w:val="left"/>
              <w:jc w:val="center"/>
            </w:pPr>
            <w:r>
              <w:t xml:space="preserve">Coorte</w:t>
            </w:r>
          </w:p>
        </w:tc>
        <w:tc>
          <w:tcPr>
            <w:tcW w:w="1604" w:type="dxa"/>
          </w:tcPr>
          <w:p>
            <w:pPr>
              <w:pStyle w:val="Compact"/>
              <w:jc w:val="left"/>
              <w:jc w:val="center"/>
            </w:pPr>
            <w:r>
              <w:t xml:space="preserve">CORE-A</w:t>
            </w:r>
          </w:p>
        </w:tc>
        <w:tc>
          <w:tcPr>
            <w:tcW w:w="821" w:type="dxa"/>
          </w:tcPr>
          <w:p>
            <w:pPr>
              <w:pStyle w:val="Compact"/>
              <w:jc w:val="right"/>
              <w:jc w:val="center"/>
            </w:pPr>
            <w:r>
              <w:t xml:space="preserve">N</w:t>
            </w:r>
          </w:p>
        </w:tc>
        <w:tc>
          <w:tcPr>
            <w:tcW w:w="2519" w:type="dxa"/>
          </w:tcPr>
          <w:p>
            <w:pPr>
              <w:pStyle w:val="Compact"/>
              <w:jc w:val="center"/>
              <w:jc w:val="center"/>
            </w:pPr>
            <w:r>
              <w:t xml:space="preserve">C sem/com CorePAM</w:t>
            </w:r>
          </w:p>
        </w:tc>
        <w:tc>
          <w:tcPr>
            <w:tcW w:w="2526" w:type="dxa"/>
          </w:tcPr>
          <w:p>
            <w:pPr>
              <w:pStyle w:val="Compact"/>
              <w:jc w:val="left"/>
              <w:jc w:val="center"/>
            </w:pPr>
            <w:r>
              <w:t xml:space="preserve">Ganho Delta-C (IC 95%)</w:t>
            </w:r>
          </w:p>
        </w:tc>
      </w:tr>
      <w:tr>
        <w:tc>
          <w:tcPr>
            <w:tcW w:w="1600" w:type="dxa"/>
          </w:tcPr>
          <w:p>
            <w:pPr>
              <w:pStyle w:val="Compact"/>
              <w:jc w:val="left"/>
              <w:jc w:val="center"/>
            </w:pPr>
            <w:r>
              <w:t xml:space="preserve">SCAN-B</w:t>
            </w:r>
          </w:p>
        </w:tc>
        <w:tc>
          <w:tcPr>
            <w:tcW w:w="1604" w:type="dxa"/>
          </w:tcPr>
          <w:p>
            <w:pPr>
              <w:pStyle w:val="Compact"/>
              <w:jc w:val="left"/>
              <w:jc w:val="center"/>
            </w:pPr>
            <w:r>
              <w:t xml:space="preserve">idade + RE</w:t>
            </w:r>
          </w:p>
        </w:tc>
        <w:tc>
          <w:tcPr>
            <w:tcW w:w="821" w:type="dxa"/>
          </w:tcPr>
          <w:p>
            <w:pPr>
              <w:pStyle w:val="Compact"/>
              <w:jc w:val="right"/>
              <w:jc w:val="center"/>
            </w:pPr>
            <w:r>
              <w:t xml:space="preserve">3069</w:t>
            </w:r>
          </w:p>
        </w:tc>
        <w:tc>
          <w:tcPr>
            <w:tcW w:w="2519" w:type="dxa"/>
          </w:tcPr>
          <w:p>
            <w:pPr>
              <w:pStyle w:val="Compact"/>
              <w:jc w:val="center"/>
              <w:jc w:val="center"/>
            </w:pPr>
            <w:r>
              <w:t xml:space="preserve">0,750 / 0,780</w:t>
            </w:r>
          </w:p>
        </w:tc>
        <w:tc>
          <w:tcPr>
            <w:tcW w:w="2526" w:type="dxa"/>
          </w:tcPr>
          <w:p>
            <w:pPr>
              <w:pStyle w:val="Compact"/>
              <w:jc w:val="left"/>
              <w:jc w:val="center"/>
            </w:pPr>
            <w:r>
              <w:t xml:space="preserve">+0,030 (0,014-0,049)</w:t>
            </w:r>
          </w:p>
        </w:tc>
      </w:tr>
      <w:tr>
        <w:tc>
          <w:tcPr>
            <w:tcW w:w="1600" w:type="dxa"/>
          </w:tcPr>
          <w:p>
            <w:pPr>
              <w:pStyle w:val="Compact"/>
              <w:jc w:val="left"/>
              <w:jc w:val="center"/>
            </w:pPr>
            <w:r>
              <w:t xml:space="preserve">TCGA-BRCA</w:t>
            </w:r>
          </w:p>
        </w:tc>
        <w:tc>
          <w:tcPr>
            <w:tcW w:w="1604" w:type="dxa"/>
          </w:tcPr>
          <w:p>
            <w:pPr>
              <w:pStyle w:val="Compact"/>
              <w:jc w:val="left"/>
              <w:jc w:val="center"/>
            </w:pPr>
            <w:r>
              <w:t xml:space="preserve">idade</w:t>
            </w:r>
          </w:p>
        </w:tc>
        <w:tc>
          <w:tcPr>
            <w:tcW w:w="821" w:type="dxa"/>
          </w:tcPr>
          <w:p>
            <w:pPr>
              <w:pStyle w:val="Compact"/>
              <w:jc w:val="right"/>
              <w:jc w:val="center"/>
            </w:pPr>
            <w:r>
              <w:t xml:space="preserve">1072</w:t>
            </w:r>
          </w:p>
        </w:tc>
        <w:tc>
          <w:tcPr>
            <w:tcW w:w="2519" w:type="dxa"/>
          </w:tcPr>
          <w:p>
            <w:pPr>
              <w:pStyle w:val="Compact"/>
              <w:jc w:val="center"/>
              <w:jc w:val="center"/>
            </w:pPr>
            <w:r>
              <w:t xml:space="preserve">0,638 / 0,676</w:t>
            </w:r>
          </w:p>
        </w:tc>
        <w:tc>
          <w:tcPr>
            <w:tcW w:w="2526" w:type="dxa"/>
          </w:tcPr>
          <w:p>
            <w:pPr>
              <w:pStyle w:val="Compact"/>
              <w:jc w:val="left"/>
              <w:jc w:val="center"/>
            </w:pPr>
            <w:r>
              <w:t xml:space="preserve">+0,038 (0,011-0,086)</w:t>
            </w:r>
          </w:p>
        </w:tc>
      </w:tr>
      <w:tr>
        <w:tc>
          <w:tcPr>
            <w:tcW w:w="1600" w:type="dxa"/>
          </w:tcPr>
          <w:p>
            <w:pPr>
              <w:pStyle w:val="Compact"/>
              <w:jc w:val="left"/>
              <w:jc w:val="center"/>
            </w:pPr>
            <w:r>
              <w:t xml:space="preserve">METABRIC</w:t>
            </w:r>
          </w:p>
        </w:tc>
        <w:tc>
          <w:tcPr>
            <w:tcW w:w="1604" w:type="dxa"/>
          </w:tcPr>
          <w:p>
            <w:pPr>
              <w:pStyle w:val="Compact"/>
              <w:jc w:val="left"/>
              <w:jc w:val="center"/>
            </w:pPr>
            <w:r>
              <w:t xml:space="preserve">idade + RE</w:t>
            </w:r>
          </w:p>
        </w:tc>
        <w:tc>
          <w:tcPr>
            <w:tcW w:w="821" w:type="dxa"/>
          </w:tcPr>
          <w:p>
            <w:pPr>
              <w:pStyle w:val="Compact"/>
              <w:jc w:val="right"/>
              <w:jc w:val="center"/>
            </w:pPr>
            <w:r>
              <w:t xml:space="preserve">1978</w:t>
            </w:r>
          </w:p>
        </w:tc>
        <w:tc>
          <w:tcPr>
            <w:tcW w:w="2519" w:type="dxa"/>
          </w:tcPr>
          <w:p>
            <w:pPr>
              <w:pStyle w:val="Compact"/>
              <w:jc w:val="center"/>
              <w:jc w:val="center"/>
            </w:pPr>
            <w:r>
              <w:t xml:space="preserve">0,603 / 0,646</w:t>
            </w:r>
          </w:p>
        </w:tc>
        <w:tc>
          <w:tcPr>
            <w:tcW w:w="2526" w:type="dxa"/>
          </w:tcPr>
          <w:p>
            <w:pPr>
              <w:pStyle w:val="Compact"/>
              <w:jc w:val="left"/>
              <w:jc w:val="center"/>
            </w:pPr>
            <w:r>
              <w:t xml:space="preserve">+0,043 (0,025-0,066)</w:t>
            </w:r>
          </w:p>
        </w:tc>
      </w:tr>
      <w:tr>
        <w:tc>
          <w:tcPr>
            <w:tcW w:w="1600" w:type="dxa"/>
          </w:tcPr>
          <w:p>
            <w:pPr>
              <w:pStyle w:val="Compact"/>
              <w:jc w:val="left"/>
              <w:jc w:val="center"/>
            </w:pPr>
            <w:r>
              <w:t xml:space="preserve">GSE20685</w:t>
            </w:r>
          </w:p>
        </w:tc>
        <w:tc>
          <w:tcPr>
            <w:tcW w:w="1604" w:type="dxa"/>
          </w:tcPr>
          <w:p>
            <w:pPr>
              <w:pStyle w:val="Compact"/>
              <w:jc w:val="left"/>
              <w:jc w:val="center"/>
            </w:pPr>
            <w:r>
              <w:t xml:space="preserve">idade</w:t>
            </w:r>
          </w:p>
        </w:tc>
        <w:tc>
          <w:tcPr>
            <w:tcW w:w="821" w:type="dxa"/>
          </w:tcPr>
          <w:p>
            <w:pPr>
              <w:pStyle w:val="Compact"/>
              <w:jc w:val="right"/>
              <w:jc w:val="center"/>
            </w:pPr>
            <w:r>
              <w:t xml:space="preserve">327</w:t>
            </w:r>
          </w:p>
        </w:tc>
        <w:tc>
          <w:tcPr>
            <w:tcW w:w="2519" w:type="dxa"/>
          </w:tcPr>
          <w:p>
            <w:pPr>
              <w:pStyle w:val="Compact"/>
              <w:jc w:val="center"/>
              <w:jc w:val="center"/>
            </w:pPr>
            <w:r>
              <w:t xml:space="preserve">0,536 / 0,630</w:t>
            </w:r>
          </w:p>
        </w:tc>
        <w:tc>
          <w:tcPr>
            <w:tcW w:w="2526" w:type="dxa"/>
          </w:tcPr>
          <w:p>
            <w:pPr>
              <w:pStyle w:val="Compact"/>
              <w:jc w:val="left"/>
              <w:jc w:val="center"/>
            </w:pPr>
            <w:r>
              <w:t xml:space="preserve">+0,094 (0,021-0,175)</w:t>
            </w:r>
          </w:p>
        </w:tc>
      </w:tr>
    </w:tbl>
    <w:bookmarkEnd w:id="149"/>
    <w:p/>
    <w:bookmarkStart w:id="153" w:name="fig-delta-c"/>
    <w:p>
      <w:pPr>
        <w:pStyle w:val="Compact"/>
        <w:jc w:val="center"/>
      </w:pPr>
      <w:r>
        <w:drawing>
          <wp:inline>
            <wp:extent cx="5687999" cy="3554999"/>
            <wp:effectExtent b="0" l="0" r="0" t="0"/>
            <wp:docPr descr="" title="" id="151" name="Picture"/>
            <a:graphic>
              <a:graphicData uri="http://schemas.openxmlformats.org/drawingml/2006/picture">
                <pic:pic>
                  <pic:nvPicPr>
                    <pic:cNvPr descr="../figures/main/pt/png/Fig5_DeltaCindex_COREA_vs_COREAplus_CorePAM_PT.png" id="152" name="Picture"/>
                    <pic:cNvPicPr>
                      <a:picLocks noChangeArrowheads="1" noChangeAspect="1"/>
                    </pic:cNvPicPr>
                  </pic:nvPicPr>
                  <pic:blipFill>
                    <a:blip r:embed="rId150"/>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17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53"/>
    <w:p>
      <w:pPr>
        <w:pStyle w:val="BodyText"/>
      </w:pPr>
      <w:r>
        <w:t xml:space="preserve">Na</w:t>
      </w:r>
      <w:r>
        <w:t xml:space="preserve"> </w:t>
      </w:r>
      <w:hyperlink w:anchor="fig-delta-c">
        <w:r>
          <w:rPr>
            <w:rStyle w:val="Hyperlink"/>
            <w:color w:val="0563C1"/>
            <w:u w:val="single"/>
          </w:rPr>
          <w:t xml:space="preserve">Figura 17</w:t>
        </w:r>
      </w:hyperlink>
      <w:r>
        <w:t xml:space="preserve">, cada barra responde à pergunta: quanto melhora a ordenação de risco quando o CorePAM é adicionado ao modelo clínico basal? O zero é a linha de nenhuma melhora. Todas as barras estão acima de zero e seus intervalos de confiança não cruzam zero, o que indica ganho estatisticamente consistente. A leitura clínica é direta: idade e RE ajudam, mas não esgotam a biologia tumoral. Em GSE20685, o ganho é maior porque o modelo clínico basal é mais fraco; é justamente nesse tipo de cenário que uma assinatura molecular pode ter maior utilidade incremental, como um exame adicional que esclarece uma decisão quando a avaliação inicial é insuficiente.</w:t>
      </w:r>
    </w:p>
    <w:p>
      <w:r>
        <w:br w:type="page"/>
      </w:r>
    </w:p>
    <w:p>
      <w:pPr>
        <w:pStyle w:val="BodyText"/>
      </w:pPr>
      <w:r>
        <w:t xml:space="preserve">A</w:t>
      </w:r>
      <w:r>
        <w:t xml:space="preserve"> </w:t>
      </w:r>
      <w:hyperlink w:anchor="fig-calibration">
        <w:r>
          <w:rPr>
            <w:rStyle w:val="Hyperlink"/>
            <w:color w:val="0563C1"/>
            <w:u w:val="single"/>
          </w:rPr>
          <w:t xml:space="preserve">Figura 18</w:t>
        </w:r>
      </w:hyperlink>
      <w:r>
        <w:t xml:space="preserve"> </w:t>
      </w:r>
      <w:r>
        <w:t xml:space="preserve">complementa a análise de desempenho com a dimensão de calibração. Discriminação e calibração respondem a perguntas diferentes. A discriminação, capturada pelo</w:t>
      </w:r>
      <w:r>
        <w:t xml:space="preserve"> </w:t>
      </w:r>
      <w:r>
        <w:rPr>
          <w:i/>
          <w:iCs/>
        </w:rPr>
        <w:t xml:space="preserve">C-index</w:t>
      </w:r>
      <w:r>
        <w:t xml:space="preserve">, pergunta se o modelo ordena corretamente as pacientes de menor para maior risco. A calibração pergunta se o risco absoluto previsto pelo modelo corresponde ao que de fato se observa.</w:t>
      </w:r>
    </w:p>
    <w:p>
      <w:pPr>
        <w:pStyle w:val="BodyText"/>
      </w:pPr>
      <w:r>
        <w:t xml:space="preserve">Em cada painel da</w:t>
      </w:r>
      <w:r>
        <w:t xml:space="preserve"> </w:t>
      </w:r>
      <w:hyperlink w:anchor="fig-calibration">
        <w:r>
          <w:rPr>
            <w:rStyle w:val="Hyperlink"/>
            <w:color w:val="0563C1"/>
            <w:u w:val="single"/>
          </w:rPr>
          <w:t xml:space="preserve">Figura 18</w:t>
        </w:r>
      </w:hyperlink>
      <w:r>
        <w:t xml:space="preserve">, o eixo horizontal mostra a probabilidade prevista de estar sem evento no horizonte analisado, e o eixo vertical mostra a probabilidade observada. A linha diagonal representa calibração perfeita. Pontos próximos da diagonal significam que previsão e realidade estão próximas. Curvas acima ou abaixo da diagonal indicam que o modelo precisa de recalibração local antes de produzir probabilidades absolutas para decisão individual.</w:t>
      </w:r>
    </w:p>
    <w:p>
      <w:pPr>
        <w:pStyle w:val="BodyText"/>
      </w:pPr>
      <w:r>
        <w:t xml:space="preserve">Os horizontes não são iguais em todos os painéis por um motivo metodológico, não por inconsistência. SCAN-B, METABRIC e GSE20685 foram avaliadas em 60 meses porque tinham seguimento suficiente para esse horizonte. TCGA-BRCA foi avaliada em 24 meses porque seu seguimento mediano é de apenas 32 meses; insistir em 60 meses nessa coorte deixaria a estimativa dependente de poucas pacientes ainda acompanhadas. Por isso, a curva da TCGA-BRCA não deve ser comparada visualmente como se representasse o mesmo tempo clínico das demais.</w:t>
      </w:r>
    </w:p>
    <w:p>
      <w:pPr>
        <w:pStyle w:val="BodyText"/>
      </w:pPr>
      <w:r>
        <w:t xml:space="preserve">A TCGA-BRCA também parece diferente porque combina seguimento curto, menor número de eventos e processamento</w:t>
      </w:r>
      <w:r>
        <w:t xml:space="preserve"> </w:t>
      </w:r>
      <w:r>
        <w:rPr>
          <w:i/>
          <w:iCs/>
        </w:rPr>
        <w:t xml:space="preserve">RNA-seq</w:t>
      </w:r>
      <w:r>
        <w:t xml:space="preserve"> </w:t>
      </w:r>
      <w:r>
        <w:t xml:space="preserve">próprio do GDC. O painel concentra pontos em faixa estreita de risco e mostra</w:t>
      </w:r>
      <w:r>
        <w:t xml:space="preserve"> </w:t>
      </w:r>
      <w:r>
        <w:rPr>
          <w:i/>
          <w:iCs/>
        </w:rPr>
        <w:t xml:space="preserve">slope</w:t>
      </w:r>
      <w:r>
        <w:t xml:space="preserve"> </w:t>
      </w:r>
      <w:r>
        <w:t xml:space="preserve">maior (2,74), isto é, subconfiança: o modelo ainda ordena pacientes, mas comprime demais as diferenças absolutas de risco. O SCAN-B, por ser a coorte de desenvolvimento, apresenta</w:t>
      </w:r>
      <w:r>
        <w:t xml:space="preserve"> </w:t>
      </w:r>
      <w:r>
        <w:rPr>
          <w:i/>
          <w:iCs/>
        </w:rPr>
        <w:t xml:space="preserve">slope</w:t>
      </w:r>
      <w:r>
        <w:t xml:space="preserve"> </w:t>
      </w:r>
      <w:r>
        <w:t xml:space="preserve">próximo do ideal (0,96). METABRIC e GSE20685 ficam em posição intermediária, com</w:t>
      </w:r>
      <w:r>
        <w:t xml:space="preserve"> </w:t>
      </w:r>
      <w:r>
        <w:rPr>
          <w:i/>
          <w:iCs/>
        </w:rPr>
        <w:t xml:space="preserve">slopes</w:t>
      </w:r>
      <w:r>
        <w:t xml:space="preserve"> </w:t>
      </w:r>
      <w:r>
        <w:t xml:space="preserve">de 1,77 e 1,57. Clinicamente, a mensagem é: o CorePAM é útil para estratificar risco relativo entre pacientes, mas probabilidades absolutas em uma nova população exigem recalibração.</w:t>
      </w:r>
    </w:p>
    <w:p>
      <w:pPr>
        <w:pStyle w:val="Compact"/>
        <w:jc w:val="center"/>
      </w:pPr>
      <w:bookmarkStart w:id="157" w:name="fig-calibration"/>
      <w:r>
        <w:drawing>
          <wp:inline>
            <wp:extent cx="5687999" cy="3412799"/>
            <wp:effectExtent b="0" l="0" r="0" t="0"/>
            <wp:docPr descr="" title="" id="155" name="Picture"/>
            <a:graphic>
              <a:graphicData uri="http://schemas.openxmlformats.org/drawingml/2006/picture">
                <pic:pic>
                  <pic:nvPicPr>
                    <pic:cNvPr descr="../figures/main/pt/png/Fig5_Calibration_60m_Panels_CorePAM_PT.png" id="156" name="Picture"/>
                    <pic:cNvPicPr>
                      <a:picLocks noChangeArrowheads="1" noChangeAspect="1"/>
                    </pic:cNvPicPr>
                  </pic:nvPicPr>
                  <pic:blipFill>
                    <a:blip r:embed="rId154"/>
                    <a:stretch>
                      <a:fillRect/>
                    </a:stretch>
                  </pic:blipFill>
                  <pic:spPr bwMode="auto">
                    <a:xfrm>
                      <a:off x="0" y="0"/>
                      <a:ext cx="5687999" cy="3412799"/>
                    </a:xfrm>
                    <a:prstGeom prst="rect">
                      <a:avLst/>
                    </a:prstGeom>
                    <a:noFill/>
                    <a:ln w="9525">
                      <a:noFill/>
                      <a:headEnd/>
                      <a:tailEnd/>
                    </a:ln>
                  </pic:spPr>
                </pic:pic>
              </a:graphicData>
            </a:graphic>
          </wp:inline>
        </w:drawing>
      </w:r>
    </w:p>
    <w:p>
      <w:pPr>
        <w:jc w:val="left"/>
        <w:spacing w:before="200"/>
        <w:pStyle w:val="ImageCaption"/>
      </w:pPr>
      <w:r>
        <w:t xml:space="preserve">Figura 18 — Curvas de calibração (risco predito vs observado) em quatro coortes. SCAN-B, METABRIC e GSE20685 são avaliadas em 60 meses; TCGA-BRCA é avaliada em 24 meses por ter seguimento mais curto. Diagonal: calibração perfeita. O SCAN-B apresenta slope quase ideal (0,96); coortes externas mostram subconfiança progressiva (slopes 1,57-2,74), indicando que o modelo comprime a separação absoluta de risco.</w:t>
      </w:r>
    </w:p>
    <w:bookmarkEnd w:id="157"/>
    <w:p>
      <w:pPr>
        <w:pStyle w:val="BodyText"/>
      </w:pPr>
      <w:r>
        <w:t xml:space="preserve">Na</w:t>
      </w:r>
      <w:r>
        <w:t xml:space="preserve"> </w:t>
      </w:r>
      <w:hyperlink w:anchor="fig-calibration">
        <w:r>
          <w:rPr>
            <w:rStyle w:val="Hyperlink"/>
            <w:color w:val="0563C1"/>
            <w:u w:val="single"/>
          </w:rPr>
          <w:t xml:space="preserve">Figura 18</w:t>
        </w:r>
      </w:hyperlink>
      <w:r>
        <w:t xml:space="preserve">, a diagonal é o alvo: se o modelo prevê 80% de sobrevida livre de evento, espera-se observar aproximadamente 80%. SCAN-B fica mais próximo da diagonal porque foi o ambiente de desenvolvimento. METABRIC e GSE20685 mostram que o modelo ainda ordena pacientes, mas tende a comprimir diferenças absolutas, como um termômetro calibrado para outra escala que ainda distingue quente de frio, mas não fornece a temperatura exata sem ajuste local. TCGA-BRCA deve ser interpretada com ainda mais cautela porque usa horizonte de 24 meses, não 60 meses. A conclusão prática é que o CorePAM, nesta forma, é mais maduro como ferramenta de estratificação relativa do que como calculadora individual definitiva de risco absoluto.</w:t>
      </w:r>
    </w:p>
    <w:bookmarkEnd w:id="158"/>
    <w:bookmarkStart w:id="161" w:name="X1817a4fc7f9706a60fbc04f7a53f8ec6077e0e8"/>
    <w:p>
      <w:pPr>
        <w:pageBreakBefore/>
        <w:pStyle w:val="Heading2"/>
      </w:pPr>
      <w:r>
        <w:t xml:space="preserve">4.5 Independência do estadiamento clínico-patológico</w:t>
      </w:r>
    </w:p>
    <w:p>
      <w:pPr>
        <w:jc w:val="left"/>
        <w:spacing w:before="200"/>
        <w:pStyle w:val="ImageCaption"/>
      </w:pPr>
      <w:bookmarkStart w:id="159" w:name="tbl-expanded-model"/>
      <w:r>
        <w:t xml:space="preserve">Tabela 11 — Modelo clínico expandido com estadiamento anatômico</w:t>
      </w:r>
    </w:p>
    <w:tbl>
      <w:tblPr>
        <w:tblStyle w:val="Table"/>
        <w:tblW w:type="dxa" w:w="9070"/>
        <w:tblLayout w:type="fixed"/>
        <w:tblLook w:firstRow="1" w:lastRow="0" w:firstColumn="0" w:lastColumn="0" w:noHBand="0" w:noVBand="0" w:val="0020"/>
      </w:tblPr>
      <w:tblGrid>
        <w:gridCol w:w="1600"/>
        <w:gridCol w:w="657"/>
        <w:gridCol w:w="1701"/>
        <w:gridCol w:w="2121"/>
        <w:gridCol w:w="2017"/>
        <w:gridCol w:w="974"/>
      </w:tblGrid>
      <w:tr>
        <w:trPr>
          <w:tblHeader w:val="on"/>
        </w:trPr>
        <w:tc>
          <w:tcPr>
            <w:tcW w:w="1600" w:type="dxa"/>
          </w:tcPr>
          <w:p>
            <w:pPr>
              <w:pStyle w:val="Compact"/>
              <w:jc w:val="left"/>
              <w:jc w:val="center"/>
            </w:pPr>
            <w:r>
              <w:t xml:space="preserve">Coorte</w:t>
            </w:r>
          </w:p>
        </w:tc>
        <w:tc>
          <w:tcPr>
            <w:tcW w:w="657" w:type="dxa"/>
          </w:tcPr>
          <w:p>
            <w:pPr>
              <w:pStyle w:val="Compact"/>
              <w:jc w:val="right"/>
              <w:jc w:val="center"/>
            </w:pPr>
            <w:r>
              <w:t xml:space="preserve">N</w:t>
            </w:r>
          </w:p>
        </w:tc>
        <w:tc>
          <w:tcPr>
            <w:tcW w:w="1701" w:type="dxa"/>
          </w:tcPr>
          <w:p>
            <w:pPr>
              <w:pStyle w:val="Compact"/>
              <w:jc w:val="left"/>
              <w:jc w:val="center"/>
            </w:pPr>
            <w:r>
              <w:t xml:space="preserve">Ajuste clínico</w:t>
            </w:r>
          </w:p>
        </w:tc>
        <w:tc>
          <w:tcPr>
            <w:tcW w:w="2121" w:type="dxa"/>
          </w:tcPr>
          <w:p>
            <w:pPr>
              <w:pStyle w:val="Compact"/>
              <w:jc w:val="left"/>
              <w:jc w:val="center"/>
            </w:pPr>
            <w:r>
              <w:t xml:space="preserve">HR CorePAM ajustado</w:t>
            </w:r>
          </w:p>
        </w:tc>
        <w:tc>
          <w:tcPr>
            <w:tcW w:w="2017" w:type="dxa"/>
          </w:tcPr>
          <w:p>
            <w:pPr>
              <w:pStyle w:val="Compact"/>
              <w:jc w:val="center"/>
              <w:jc w:val="center"/>
            </w:pPr>
            <w:r>
              <w:t xml:space="preserve">C sem/com CorePAM</w:t>
            </w:r>
          </w:p>
        </w:tc>
        <w:tc>
          <w:tcPr>
            <w:tcW w:w="974" w:type="dxa"/>
          </w:tcPr>
          <w:p>
            <w:pPr>
              <w:pStyle w:val="Compact"/>
              <w:jc w:val="center"/>
              <w:jc w:val="center"/>
            </w:pPr>
            <w:r>
              <w:t xml:space="preserve">Delta-C</w:t>
            </w:r>
          </w:p>
        </w:tc>
      </w:tr>
      <w:tr>
        <w:tc>
          <w:tcPr>
            <w:tcW w:w="1600" w:type="dxa"/>
          </w:tcPr>
          <w:p>
            <w:pPr>
              <w:pStyle w:val="Compact"/>
              <w:jc w:val="left"/>
              <w:jc w:val="center"/>
            </w:pPr>
            <w:r>
              <w:t xml:space="preserve">SCAN-B</w:t>
            </w:r>
          </w:p>
        </w:tc>
        <w:tc>
          <w:tcPr>
            <w:tcW w:w="657" w:type="dxa"/>
          </w:tcPr>
          <w:p>
            <w:pPr>
              <w:pStyle w:val="Compact"/>
              <w:jc w:val="right"/>
              <w:jc w:val="center"/>
            </w:pPr>
            <w:r>
              <w:t xml:space="preserve">2948</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1,79 (1,57-2,05); p &lt; 0,001</w:t>
            </w:r>
          </w:p>
        </w:tc>
        <w:tc>
          <w:tcPr>
            <w:tcW w:w="2017" w:type="dxa"/>
          </w:tcPr>
          <w:p>
            <w:pPr>
              <w:pStyle w:val="Compact"/>
              <w:jc w:val="center"/>
              <w:jc w:val="center"/>
            </w:pPr>
            <w:r>
              <w:t xml:space="preserve">0,766 / 0,788</w:t>
            </w:r>
          </w:p>
        </w:tc>
        <w:tc>
          <w:tcPr>
            <w:tcW w:w="974" w:type="dxa"/>
          </w:tcPr>
          <w:p>
            <w:pPr>
              <w:pStyle w:val="Compact"/>
              <w:jc w:val="center"/>
              <w:jc w:val="center"/>
            </w:pPr>
            <w:r>
              <w:t xml:space="preserve">+0,022</w:t>
            </w:r>
          </w:p>
        </w:tc>
      </w:tr>
      <w:tr>
        <w:tc>
          <w:tcPr>
            <w:tcW w:w="1600" w:type="dxa"/>
          </w:tcPr>
          <w:p>
            <w:pPr>
              <w:pStyle w:val="Compact"/>
              <w:jc w:val="left"/>
              <w:jc w:val="center"/>
            </w:pPr>
            <w:r>
              <w:t xml:space="preserve">TCGA-BRCA</w:t>
            </w:r>
          </w:p>
        </w:tc>
        <w:tc>
          <w:tcPr>
            <w:tcW w:w="657" w:type="dxa"/>
          </w:tcPr>
          <w:p>
            <w:pPr>
              <w:pStyle w:val="Compact"/>
              <w:jc w:val="right"/>
              <w:jc w:val="center"/>
            </w:pPr>
            <w:r>
              <w:t xml:space="preserve">1054</w:t>
            </w:r>
          </w:p>
        </w:tc>
        <w:tc>
          <w:tcPr>
            <w:tcW w:w="1701" w:type="dxa"/>
          </w:tcPr>
          <w:p>
            <w:pPr>
              <w:pStyle w:val="Compact"/>
              <w:jc w:val="left"/>
              <w:jc w:val="center"/>
            </w:pPr>
            <w:r>
              <w:t xml:space="preserve">idade + T + N</w:t>
            </w:r>
          </w:p>
        </w:tc>
        <w:tc>
          <w:tcPr>
            <w:tcW w:w="2121" w:type="dxa"/>
          </w:tcPr>
          <w:p>
            <w:pPr>
              <w:pStyle w:val="Compact"/>
              <w:jc w:val="left"/>
              <w:jc w:val="center"/>
            </w:pPr>
            <w:r>
              <w:t xml:space="preserve">1,35 (1,15-1,58); p &lt; 0,001</w:t>
            </w:r>
          </w:p>
        </w:tc>
        <w:tc>
          <w:tcPr>
            <w:tcW w:w="2017" w:type="dxa"/>
          </w:tcPr>
          <w:p>
            <w:pPr>
              <w:pStyle w:val="Compact"/>
              <w:jc w:val="center"/>
              <w:jc w:val="center"/>
            </w:pPr>
            <w:r>
              <w:t xml:space="preserve">0,719 / 0,746</w:t>
            </w:r>
          </w:p>
        </w:tc>
        <w:tc>
          <w:tcPr>
            <w:tcW w:w="974" w:type="dxa"/>
          </w:tcPr>
          <w:p>
            <w:pPr>
              <w:pStyle w:val="Compact"/>
              <w:jc w:val="center"/>
              <w:jc w:val="center"/>
            </w:pPr>
            <w:r>
              <w:t xml:space="preserve">+0,027</w:t>
            </w:r>
          </w:p>
        </w:tc>
      </w:tr>
      <w:tr>
        <w:tc>
          <w:tcPr>
            <w:tcW w:w="1600" w:type="dxa"/>
          </w:tcPr>
          <w:p>
            <w:pPr>
              <w:pStyle w:val="Compact"/>
              <w:jc w:val="left"/>
              <w:jc w:val="center"/>
            </w:pPr>
            <w:r>
              <w:t xml:space="preserve">METABRIC</w:t>
            </w:r>
          </w:p>
        </w:tc>
        <w:tc>
          <w:tcPr>
            <w:tcW w:w="657" w:type="dxa"/>
          </w:tcPr>
          <w:p>
            <w:pPr>
              <w:pStyle w:val="Compact"/>
              <w:jc w:val="right"/>
              <w:jc w:val="center"/>
            </w:pPr>
            <w:r>
              <w:t xml:space="preserve">1883</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1,34 (1,23-1,46); p &lt; 0,001</w:t>
            </w:r>
          </w:p>
        </w:tc>
        <w:tc>
          <w:tcPr>
            <w:tcW w:w="2017" w:type="dxa"/>
          </w:tcPr>
          <w:p>
            <w:pPr>
              <w:pStyle w:val="Compact"/>
              <w:jc w:val="center"/>
              <w:jc w:val="center"/>
            </w:pPr>
            <w:r>
              <w:t xml:space="preserve">0,663 / 0,688</w:t>
            </w:r>
          </w:p>
        </w:tc>
        <w:tc>
          <w:tcPr>
            <w:tcW w:w="974" w:type="dxa"/>
          </w:tcPr>
          <w:p>
            <w:pPr>
              <w:pStyle w:val="Compact"/>
              <w:jc w:val="center"/>
              <w:jc w:val="center"/>
            </w:pPr>
            <w:r>
              <w:t xml:space="preserve">+0,026</w:t>
            </w:r>
          </w:p>
        </w:tc>
      </w:tr>
      <w:tr>
        <w:tc>
          <w:tcPr>
            <w:tcW w:w="1600" w:type="dxa"/>
          </w:tcPr>
          <w:p>
            <w:pPr>
              <w:pStyle w:val="Compact"/>
              <w:jc w:val="left"/>
              <w:jc w:val="center"/>
            </w:pPr>
            <w:r>
              <w:t xml:space="preserve">GSE20685</w:t>
            </w:r>
          </w:p>
        </w:tc>
        <w:tc>
          <w:tcPr>
            <w:tcW w:w="657" w:type="dxa"/>
          </w:tcPr>
          <w:p>
            <w:pPr>
              <w:pStyle w:val="Compact"/>
              <w:jc w:val="right"/>
              <w:jc w:val="center"/>
            </w:pPr>
            <w:r>
              <w:t xml:space="preserve">327</w:t>
            </w:r>
          </w:p>
        </w:tc>
        <w:tc>
          <w:tcPr>
            <w:tcW w:w="1701" w:type="dxa"/>
          </w:tcPr>
          <w:p>
            <w:pPr>
              <w:pStyle w:val="Compact"/>
              <w:jc w:val="left"/>
              <w:jc w:val="center"/>
            </w:pPr>
            <w:r>
              <w:t xml:space="preserve">idade + T + N</w:t>
            </w:r>
          </w:p>
        </w:tc>
        <w:tc>
          <w:tcPr>
            <w:tcW w:w="2121" w:type="dxa"/>
          </w:tcPr>
          <w:p>
            <w:pPr>
              <w:pStyle w:val="Compact"/>
              <w:jc w:val="left"/>
              <w:jc w:val="center"/>
            </w:pPr>
            <w:r>
              <w:t xml:space="preserve">1,45 (1,15-1,84); p = 0,002</w:t>
            </w:r>
          </w:p>
        </w:tc>
        <w:tc>
          <w:tcPr>
            <w:tcW w:w="2017" w:type="dxa"/>
          </w:tcPr>
          <w:p>
            <w:pPr>
              <w:pStyle w:val="Compact"/>
              <w:jc w:val="center"/>
              <w:jc w:val="center"/>
            </w:pPr>
            <w:r>
              <w:t xml:space="preserve">0,697 / 0,724</w:t>
            </w:r>
          </w:p>
        </w:tc>
        <w:tc>
          <w:tcPr>
            <w:tcW w:w="974" w:type="dxa"/>
          </w:tcPr>
          <w:p>
            <w:pPr>
              <w:pStyle w:val="Compact"/>
              <w:jc w:val="center"/>
              <w:jc w:val="center"/>
            </w:pPr>
            <w:r>
              <w:t xml:space="preserve">+0,026</w:t>
            </w:r>
          </w:p>
        </w:tc>
      </w:tr>
    </w:tbl>
    <w:bookmarkEnd w:id="159"/>
    <w:p/>
    <w:p>
      <w:pPr>
        <w:pStyle w:val="BodyText"/>
      </w:pPr>
      <w:r>
        <w:t xml:space="preserve"> </w:t>
      </w:r>
    </w:p>
    <w:p>
      <w:pPr>
        <w:jc w:val="left"/>
        <w:spacing w:before="200"/>
        <w:pStyle w:val="ImageCaption"/>
      </w:pPr>
      <w:bookmarkStart w:id="160" w:name="tbl-full-model"/>
      <w:r>
        <w:t xml:space="preserve">Tabela 12 — Modelo clínico completo (6 variáveis) com e sem CorePAM</w:t>
      </w:r>
    </w:p>
    <w:tbl>
      <w:tblPr>
        <w:tblStyle w:val="Table"/>
        <w:tblW w:type="dxa" w:w="9070"/>
        <w:tblLayout w:type="fixed"/>
        <w:tblLook w:firstRow="1" w:lastRow="0" w:firstColumn="0" w:lastColumn="0" w:noHBand="0" w:noVBand="0" w:val="0020"/>
      </w:tblPr>
      <w:tblGrid>
        <w:gridCol w:w="1728"/>
        <w:gridCol w:w="728"/>
        <w:gridCol w:w="650"/>
        <w:gridCol w:w="2028"/>
        <w:gridCol w:w="1928"/>
        <w:gridCol w:w="2008"/>
      </w:tblGrid>
      <w:tr>
        <w:trPr>
          <w:tblHeader w:val="on"/>
        </w:trPr>
        <w:tc>
          <w:tcPr>
            <w:tcW w:w="1728" w:type="dxa"/>
          </w:tcPr>
          <w:p>
            <w:pPr>
              <w:pStyle w:val="Compact"/>
              <w:jc w:val="left"/>
              <w:jc w:val="center"/>
            </w:pPr>
            <w:r>
              <w:t xml:space="preserve">Coorte/desfecho</w:t>
            </w:r>
          </w:p>
        </w:tc>
        <w:tc>
          <w:tcPr>
            <w:tcW w:w="728" w:type="dxa"/>
          </w:tcPr>
          <w:p>
            <w:pPr>
              <w:pStyle w:val="Compact"/>
              <w:jc w:val="left"/>
              <w:jc w:val="center"/>
            </w:pPr>
            <w:r>
              <w:t xml:space="preserve">Tipo</w:t>
            </w:r>
          </w:p>
        </w:tc>
        <w:tc>
          <w:tcPr>
            <w:tcW w:w="650" w:type="dxa"/>
          </w:tcPr>
          <w:p>
            <w:pPr>
              <w:pStyle w:val="Compact"/>
              <w:jc w:val="right"/>
              <w:jc w:val="center"/>
            </w:pPr>
            <w:r>
              <w:t xml:space="preserve">N</w:t>
            </w:r>
          </w:p>
        </w:tc>
        <w:tc>
          <w:tcPr>
            <w:tcW w:w="2028" w:type="dxa"/>
          </w:tcPr>
          <w:p>
            <w:pPr>
              <w:pStyle w:val="Compact"/>
              <w:jc w:val="left"/>
              <w:jc w:val="center"/>
            </w:pPr>
            <w:r>
              <w:t xml:space="preserve">HR ajustado CorePAM</w:t>
            </w:r>
          </w:p>
        </w:tc>
        <w:tc>
          <w:tcPr>
            <w:tcW w:w="1928" w:type="dxa"/>
          </w:tcPr>
          <w:p>
            <w:pPr>
              <w:pStyle w:val="Compact"/>
              <w:jc w:val="center"/>
              <w:jc w:val="center"/>
            </w:pPr>
            <w:r>
              <w:t xml:space="preserve">C sem/com CorePAM</w:t>
            </w:r>
          </w:p>
        </w:tc>
        <w:tc>
          <w:tcPr>
            <w:tcW w:w="2008" w:type="dxa"/>
          </w:tcPr>
          <w:p>
            <w:pPr>
              <w:pStyle w:val="Compact"/>
              <w:jc w:val="left"/>
              <w:jc w:val="center"/>
            </w:pPr>
            <w:r>
              <w:t xml:space="preserve">Delta-C; LRT p</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Todos</w:t>
            </w:r>
          </w:p>
        </w:tc>
        <w:tc>
          <w:tcPr>
            <w:tcW w:w="650" w:type="dxa"/>
          </w:tcPr>
          <w:p>
            <w:pPr>
              <w:pStyle w:val="Compact"/>
              <w:jc w:val="right"/>
              <w:jc w:val="center"/>
            </w:pPr>
            <w:r>
              <w:t xml:space="preserve">2649</w:t>
            </w:r>
          </w:p>
        </w:tc>
        <w:tc>
          <w:tcPr>
            <w:tcW w:w="2028" w:type="dxa"/>
          </w:tcPr>
          <w:p>
            <w:pPr>
              <w:pStyle w:val="Compact"/>
              <w:jc w:val="left"/>
              <w:jc w:val="center"/>
            </w:pPr>
            <w:r>
              <w:t xml:space="preserve">1,75 (1,51-2,03)</w:t>
            </w:r>
          </w:p>
        </w:tc>
        <w:tc>
          <w:tcPr>
            <w:tcW w:w="1928" w:type="dxa"/>
          </w:tcPr>
          <w:p>
            <w:pPr>
              <w:pStyle w:val="Compact"/>
              <w:jc w:val="center"/>
              <w:jc w:val="center"/>
            </w:pPr>
            <w:r>
              <w:t xml:space="preserve">0,770 / 0,787</w:t>
            </w:r>
          </w:p>
        </w:tc>
        <w:tc>
          <w:tcPr>
            <w:tcW w:w="2008" w:type="dxa"/>
          </w:tcPr>
          <w:p>
            <w:pPr>
              <w:pStyle w:val="Compact"/>
              <w:jc w:val="left"/>
              <w:jc w:val="center"/>
            </w:pPr>
            <w:r>
              <w:t xml:space="preserve">+0,017; 4,9 x 10</w:t>
            </w:r>
            <w:r>
              <w:rPr>
                <w:vertAlign w:val="superscript"/>
              </w:rPr>
              <w:t xml:space="preserve">-13</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RE+</w:t>
            </w:r>
          </w:p>
        </w:tc>
        <w:tc>
          <w:tcPr>
            <w:tcW w:w="650" w:type="dxa"/>
          </w:tcPr>
          <w:p>
            <w:pPr>
              <w:pStyle w:val="Compact"/>
              <w:jc w:val="right"/>
              <w:jc w:val="center"/>
            </w:pPr>
            <w:r>
              <w:t xml:space="preserve">2450</w:t>
            </w:r>
          </w:p>
        </w:tc>
        <w:tc>
          <w:tcPr>
            <w:tcW w:w="2028" w:type="dxa"/>
          </w:tcPr>
          <w:p>
            <w:pPr>
              <w:pStyle w:val="Compact"/>
              <w:jc w:val="left"/>
              <w:jc w:val="center"/>
            </w:pPr>
            <w:r>
              <w:t xml:space="preserve">1,68 (1,43-1,97)</w:t>
            </w:r>
          </w:p>
        </w:tc>
        <w:tc>
          <w:tcPr>
            <w:tcW w:w="1928" w:type="dxa"/>
          </w:tcPr>
          <w:p>
            <w:pPr>
              <w:pStyle w:val="Compact"/>
              <w:jc w:val="center"/>
              <w:jc w:val="center"/>
            </w:pPr>
            <w:r>
              <w:t xml:space="preserve">0,770 / 0,784</w:t>
            </w:r>
          </w:p>
        </w:tc>
        <w:tc>
          <w:tcPr>
            <w:tcW w:w="2008" w:type="dxa"/>
          </w:tcPr>
          <w:p>
            <w:pPr>
              <w:pStyle w:val="Compact"/>
              <w:jc w:val="left"/>
              <w:jc w:val="center"/>
            </w:pPr>
            <w:r>
              <w:t xml:space="preserve">+0,014; 1,1 x 10</w:t>
            </w:r>
            <w:r>
              <w:rPr>
                <w:vertAlign w:val="superscript"/>
              </w:rPr>
              <w:t xml:space="preserve">-10</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Todos</w:t>
            </w:r>
          </w:p>
        </w:tc>
        <w:tc>
          <w:tcPr>
            <w:tcW w:w="650" w:type="dxa"/>
          </w:tcPr>
          <w:p>
            <w:pPr>
              <w:pStyle w:val="Compact"/>
              <w:jc w:val="right"/>
              <w:jc w:val="center"/>
            </w:pPr>
            <w:r>
              <w:t xml:space="preserve">1792</w:t>
            </w:r>
          </w:p>
        </w:tc>
        <w:tc>
          <w:tcPr>
            <w:tcW w:w="2028" w:type="dxa"/>
          </w:tcPr>
          <w:p>
            <w:pPr>
              <w:pStyle w:val="Compact"/>
              <w:jc w:val="left"/>
              <w:jc w:val="center"/>
            </w:pPr>
            <w:r>
              <w:t xml:space="preserve">1,25 (1,14-1,38)</w:t>
            </w:r>
          </w:p>
        </w:tc>
        <w:tc>
          <w:tcPr>
            <w:tcW w:w="1928" w:type="dxa"/>
          </w:tcPr>
          <w:p>
            <w:pPr>
              <w:pStyle w:val="Compact"/>
              <w:jc w:val="center"/>
              <w:jc w:val="center"/>
            </w:pPr>
            <w:r>
              <w:t xml:space="preserve">0,678 / 0,693</w:t>
            </w:r>
          </w:p>
        </w:tc>
        <w:tc>
          <w:tcPr>
            <w:tcW w:w="2008" w:type="dxa"/>
          </w:tcPr>
          <w:p>
            <w:pPr>
              <w:pStyle w:val="Compact"/>
              <w:jc w:val="left"/>
              <w:jc w:val="center"/>
            </w:pPr>
            <w:r>
              <w:t xml:space="preserve">+0,015; 6,1 x 10</w:t>
            </w:r>
            <w:r>
              <w:rPr>
                <w:vertAlign w:val="superscript"/>
              </w:rPr>
              <w:t xml:space="preserve">-6</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RE+</w:t>
            </w:r>
          </w:p>
        </w:tc>
        <w:tc>
          <w:tcPr>
            <w:tcW w:w="650" w:type="dxa"/>
          </w:tcPr>
          <w:p>
            <w:pPr>
              <w:pStyle w:val="Compact"/>
              <w:jc w:val="right"/>
              <w:jc w:val="center"/>
            </w:pPr>
            <w:r>
              <w:t xml:space="preserve">1377</w:t>
            </w:r>
          </w:p>
        </w:tc>
        <w:tc>
          <w:tcPr>
            <w:tcW w:w="2028" w:type="dxa"/>
          </w:tcPr>
          <w:p>
            <w:pPr>
              <w:pStyle w:val="Compact"/>
              <w:jc w:val="left"/>
              <w:jc w:val="center"/>
            </w:pPr>
            <w:r>
              <w:t xml:space="preserve">1,47 (1,31-1,65)</w:t>
            </w:r>
          </w:p>
        </w:tc>
        <w:tc>
          <w:tcPr>
            <w:tcW w:w="1928" w:type="dxa"/>
          </w:tcPr>
          <w:p>
            <w:pPr>
              <w:pStyle w:val="Compact"/>
              <w:jc w:val="center"/>
              <w:jc w:val="center"/>
            </w:pPr>
            <w:r>
              <w:t xml:space="preserve">0,674 / 0,707</w:t>
            </w:r>
          </w:p>
        </w:tc>
        <w:tc>
          <w:tcPr>
            <w:tcW w:w="2008" w:type="dxa"/>
          </w:tcPr>
          <w:p>
            <w:pPr>
              <w:pStyle w:val="Compact"/>
              <w:jc w:val="left"/>
              <w:jc w:val="center"/>
            </w:pPr>
            <w:r>
              <w:t xml:space="preserve">+0,032; 1,0 x 10</w:t>
            </w:r>
            <w:r>
              <w:rPr>
                <w:vertAlign w:val="superscript"/>
              </w:rPr>
              <w:t xml:space="preserve">-10</w:t>
            </w:r>
          </w:p>
        </w:tc>
      </w:tr>
    </w:tbl>
    <w:bookmarkEnd w:id="160"/>
    <w:p/>
    <w:bookmarkEnd w:id="161"/>
    <w:bookmarkStart w:id="177" w:name="análises-de-sensibilidade"/>
    <w:p>
      <w:pPr>
        <w:pStyle w:val="Heading2"/>
      </w:pPr>
      <w:r>
        <w:t xml:space="preserve">4.6 Análises de sensibilidade</w:t>
      </w:r>
    </w:p>
    <w:p>
      <w:pPr>
        <w:jc w:val="left"/>
        <w:spacing w:before="200"/>
        <w:pStyle w:val="ImageCaption"/>
      </w:pPr>
      <w:bookmarkStart w:id="162" w:name="tbl-frozen-zscore"/>
      <w:r>
        <w:t xml:space="preserve">Tabela 13 — Análise de sensibilidade do</w:t>
      </w:r>
      <w:r>
        <w:t xml:space="preserve"> </w:t>
      </w:r>
      <w:r>
        <w:rPr>
          <w:i/>
          <w:iCs/>
        </w:rPr>
        <w:t xml:space="preserve">z-score</w:t>
      </w:r>
      <w:r>
        <w:t xml:space="preserve"> </w:t>
      </w:r>
      <w:r>
        <w:t xml:space="preserve">congelado</w:t>
      </w:r>
    </w:p>
    <w:tbl>
      <w:tblPr>
        <w:tblStyle w:val="Table"/>
        <w:tblW w:type="dxa" w:w="9070"/>
        <w:tblLayout w:type="fixed"/>
        <w:tblLook w:firstRow="1" w:lastRow="0" w:firstColumn="0" w:lastColumn="0" w:noHBand="0" w:noVBand="0" w:val="0020"/>
      </w:tblPr>
      <w:tblGrid>
        <w:gridCol w:w="1600"/>
        <w:gridCol w:w="760"/>
        <w:gridCol w:w="1975"/>
        <w:gridCol w:w="1606"/>
        <w:gridCol w:w="1122"/>
        <w:gridCol w:w="1122"/>
        <w:gridCol w:w="885"/>
      </w:tblGrid>
      <w:tr>
        <w:trPr>
          <w:tblHeader w:val="on"/>
        </w:trPr>
        <w:tc>
          <w:tcPr>
            <w:tcW w:w="1600" w:type="dxa"/>
          </w:tcPr>
          <w:p>
            <w:pPr>
              <w:pStyle w:val="Compact"/>
              <w:jc w:val="left"/>
              <w:jc w:val="center"/>
            </w:pPr>
            <w:r>
              <w:t xml:space="preserve">Coorte</w:t>
            </w:r>
          </w:p>
        </w:tc>
        <w:tc>
          <w:tcPr>
            <w:tcW w:w="760" w:type="dxa"/>
          </w:tcPr>
          <w:p>
            <w:pPr>
              <w:pStyle w:val="Compact"/>
              <w:jc w:val="right"/>
              <w:jc w:val="center"/>
            </w:pPr>
            <w:r>
              <w:t xml:space="preserve">N</w:t>
            </w:r>
          </w:p>
        </w:tc>
        <w:tc>
          <w:tcPr>
            <w:tcW w:w="1975" w:type="dxa"/>
          </w:tcPr>
          <w:p>
            <w:pPr>
              <w:pStyle w:val="Compact"/>
              <w:jc w:val="left"/>
              <w:jc w:val="center"/>
            </w:pPr>
            <w:r>
              <w:t xml:space="preserve">Plataforma</w:t>
            </w:r>
          </w:p>
        </w:tc>
        <w:tc>
          <w:tcPr>
            <w:tcW w:w="1606" w:type="dxa"/>
          </w:tcPr>
          <w:p>
            <w:pPr>
              <w:pStyle w:val="Compact"/>
              <w:jc w:val="center"/>
              <w:jc w:val="center"/>
            </w:pPr>
            <w:r>
              <w:t xml:space="preserve">C congelado</w:t>
            </w:r>
          </w:p>
        </w:tc>
        <w:tc>
          <w:tcPr>
            <w:tcW w:w="1122" w:type="dxa"/>
          </w:tcPr>
          <w:p>
            <w:pPr>
              <w:pStyle w:val="Compact"/>
              <w:jc w:val="center"/>
              <w:jc w:val="center"/>
            </w:pPr>
            <w:r>
              <w:t xml:space="preserve">C local</w:t>
            </w:r>
          </w:p>
        </w:tc>
        <w:tc>
          <w:tcPr>
            <w:tcW w:w="1122" w:type="dxa"/>
          </w:tcPr>
          <w:p>
            <w:pPr>
              <w:pStyle w:val="Compact"/>
              <w:jc w:val="center"/>
              <w:jc w:val="center"/>
            </w:pPr>
            <w:r>
              <w:t xml:space="preserve">Delta-C</w:t>
            </w:r>
          </w:p>
        </w:tc>
        <w:tc>
          <w:tcPr>
            <w:tcW w:w="885" w:type="dxa"/>
          </w:tcPr>
          <w:p>
            <w:pPr>
              <w:pStyle w:val="Compact"/>
              <w:jc w:val="center"/>
              <w:jc w:val="center"/>
            </w:pPr>
            <w:r>
              <w:t xml:space="preserve">r</w:t>
            </w:r>
          </w:p>
        </w:tc>
      </w:tr>
      <w:tr>
        <w:tc>
          <w:tcPr>
            <w:tcW w:w="1600" w:type="dxa"/>
          </w:tcPr>
          <w:p>
            <w:pPr>
              <w:pStyle w:val="Compact"/>
              <w:jc w:val="left"/>
              <w:jc w:val="center"/>
            </w:pPr>
            <w:r>
              <w:t xml:space="preserve">SCAN-B</w:t>
            </w:r>
          </w:p>
        </w:tc>
        <w:tc>
          <w:tcPr>
            <w:tcW w:w="760" w:type="dxa"/>
          </w:tcPr>
          <w:p>
            <w:pPr>
              <w:pStyle w:val="Compact"/>
              <w:jc w:val="right"/>
              <w:jc w:val="center"/>
            </w:pPr>
            <w:r>
              <w:t xml:space="preserve">3069</w:t>
            </w:r>
          </w:p>
        </w:tc>
        <w:tc>
          <w:tcPr>
            <w:tcW w:w="1975" w:type="dxa"/>
          </w:tcPr>
          <w:p>
            <w:pPr>
              <w:pStyle w:val="Compact"/>
              <w:jc w:val="left"/>
              <w:jc w:val="center"/>
            </w:pPr>
            <w:r>
              <w:t xml:space="preserve">RNA-seq</w:t>
            </w:r>
          </w:p>
        </w:tc>
        <w:tc>
          <w:tcPr>
            <w:tcW w:w="1606" w:type="dxa"/>
          </w:tcPr>
          <w:p>
            <w:pPr>
              <w:pStyle w:val="Compact"/>
              <w:jc w:val="center"/>
              <w:jc w:val="center"/>
            </w:pPr>
            <w:r>
              <w:t xml:space="preserve">0,698</w:t>
            </w:r>
          </w:p>
        </w:tc>
        <w:tc>
          <w:tcPr>
            <w:tcW w:w="1122" w:type="dxa"/>
          </w:tcPr>
          <w:p>
            <w:pPr>
              <w:pStyle w:val="Compact"/>
              <w:jc w:val="center"/>
              <w:jc w:val="center"/>
            </w:pPr>
            <w:r>
              <w:t xml:space="preserve">0,698</w:t>
            </w:r>
          </w:p>
        </w:tc>
        <w:tc>
          <w:tcPr>
            <w:tcW w:w="1122" w:type="dxa"/>
          </w:tcPr>
          <w:p>
            <w:pPr>
              <w:pStyle w:val="Compact"/>
              <w:jc w:val="center"/>
              <w:jc w:val="center"/>
            </w:pPr>
            <w:r>
              <w:t xml:space="preserve">0,0000</w:t>
            </w:r>
          </w:p>
        </w:tc>
        <w:tc>
          <w:tcPr>
            <w:tcW w:w="885" w:type="dxa"/>
          </w:tcPr>
          <w:p>
            <w:pPr>
              <w:pStyle w:val="Compact"/>
              <w:jc w:val="center"/>
              <w:jc w:val="center"/>
            </w:pPr>
            <w:r>
              <w:t xml:space="preserve">1,000</w:t>
            </w:r>
          </w:p>
        </w:tc>
      </w:tr>
      <w:tr>
        <w:tc>
          <w:tcPr>
            <w:tcW w:w="1600" w:type="dxa"/>
          </w:tcPr>
          <w:p>
            <w:pPr>
              <w:pStyle w:val="Compact"/>
              <w:jc w:val="left"/>
              <w:jc w:val="center"/>
            </w:pPr>
            <w:r>
              <w:t xml:space="preserve">TCGA-BRCA</w:t>
            </w:r>
          </w:p>
        </w:tc>
        <w:tc>
          <w:tcPr>
            <w:tcW w:w="760" w:type="dxa"/>
          </w:tcPr>
          <w:p>
            <w:pPr>
              <w:pStyle w:val="Compact"/>
              <w:jc w:val="right"/>
              <w:jc w:val="center"/>
            </w:pPr>
            <w:r>
              <w:t xml:space="preserve">1072</w:t>
            </w:r>
          </w:p>
        </w:tc>
        <w:tc>
          <w:tcPr>
            <w:tcW w:w="1975" w:type="dxa"/>
          </w:tcPr>
          <w:p>
            <w:pPr>
              <w:pStyle w:val="Compact"/>
              <w:jc w:val="left"/>
              <w:jc w:val="center"/>
            </w:pPr>
            <w:r>
              <w:t xml:space="preserve">RNA-seq</w:t>
            </w:r>
          </w:p>
        </w:tc>
        <w:tc>
          <w:tcPr>
            <w:tcW w:w="1606" w:type="dxa"/>
          </w:tcPr>
          <w:p>
            <w:pPr>
              <w:pStyle w:val="Compact"/>
              <w:jc w:val="center"/>
              <w:jc w:val="center"/>
            </w:pPr>
            <w:r>
              <w:t xml:space="preserve">0,624</w:t>
            </w:r>
          </w:p>
        </w:tc>
        <w:tc>
          <w:tcPr>
            <w:tcW w:w="1122" w:type="dxa"/>
          </w:tcPr>
          <w:p>
            <w:pPr>
              <w:pStyle w:val="Compact"/>
              <w:jc w:val="center"/>
              <w:jc w:val="center"/>
            </w:pPr>
            <w:r>
              <w:t xml:space="preserve">0,624</w:t>
            </w:r>
          </w:p>
        </w:tc>
        <w:tc>
          <w:tcPr>
            <w:tcW w:w="1122" w:type="dxa"/>
          </w:tcPr>
          <w:p>
            <w:pPr>
              <w:pStyle w:val="Compact"/>
              <w:jc w:val="center"/>
              <w:jc w:val="center"/>
            </w:pPr>
            <w:r>
              <w:t xml:space="preserve">+0,0002</w:t>
            </w:r>
          </w:p>
        </w:tc>
        <w:tc>
          <w:tcPr>
            <w:tcW w:w="885" w:type="dxa"/>
          </w:tcPr>
          <w:p>
            <w:pPr>
              <w:pStyle w:val="Compact"/>
              <w:jc w:val="center"/>
              <w:jc w:val="center"/>
            </w:pPr>
            <w:r>
              <w:t xml:space="preserve">0,999</w:t>
            </w:r>
          </w:p>
        </w:tc>
      </w:tr>
      <w:tr>
        <w:tc>
          <w:tcPr>
            <w:tcW w:w="1600" w:type="dxa"/>
          </w:tcPr>
          <w:p>
            <w:pPr>
              <w:pStyle w:val="Compact"/>
              <w:jc w:val="left"/>
              <w:jc w:val="center"/>
            </w:pPr>
            <w:r>
              <w:t xml:space="preserve">METABRIC</w:t>
            </w:r>
          </w:p>
        </w:tc>
        <w:tc>
          <w:tcPr>
            <w:tcW w:w="760" w:type="dxa"/>
          </w:tcPr>
          <w:p>
            <w:pPr>
              <w:pStyle w:val="Compact"/>
              <w:jc w:val="right"/>
              <w:jc w:val="center"/>
            </w:pPr>
            <w:r>
              <w:t xml:space="preserve">1978</w:t>
            </w:r>
          </w:p>
        </w:tc>
        <w:tc>
          <w:tcPr>
            <w:tcW w:w="1975" w:type="dxa"/>
          </w:tcPr>
          <w:p>
            <w:pPr>
              <w:pStyle w:val="Compact"/>
              <w:jc w:val="left"/>
              <w:jc w:val="center"/>
            </w:pPr>
            <w:r>
              <w:t xml:space="preserve">Illumina array</w:t>
            </w:r>
          </w:p>
        </w:tc>
        <w:tc>
          <w:tcPr>
            <w:tcW w:w="1606" w:type="dxa"/>
          </w:tcPr>
          <w:p>
            <w:pPr>
              <w:pStyle w:val="Compact"/>
              <w:jc w:val="center"/>
              <w:jc w:val="center"/>
            </w:pPr>
            <w:r>
              <w:t xml:space="preserve">0,638</w:t>
            </w:r>
          </w:p>
        </w:tc>
        <w:tc>
          <w:tcPr>
            <w:tcW w:w="1122" w:type="dxa"/>
          </w:tcPr>
          <w:p>
            <w:pPr>
              <w:pStyle w:val="Compact"/>
              <w:jc w:val="center"/>
              <w:jc w:val="center"/>
            </w:pPr>
            <w:r>
              <w:t xml:space="preserve">0,638</w:t>
            </w:r>
          </w:p>
        </w:tc>
        <w:tc>
          <w:tcPr>
            <w:tcW w:w="1122" w:type="dxa"/>
          </w:tcPr>
          <w:p>
            <w:pPr>
              <w:pStyle w:val="Compact"/>
              <w:jc w:val="center"/>
              <w:jc w:val="center"/>
            </w:pPr>
            <w:r>
              <w:t xml:space="preserve">+0,0007</w:t>
            </w:r>
          </w:p>
        </w:tc>
        <w:tc>
          <w:tcPr>
            <w:tcW w:w="885" w:type="dxa"/>
          </w:tcPr>
          <w:p>
            <w:pPr>
              <w:pStyle w:val="Compact"/>
              <w:jc w:val="center"/>
              <w:jc w:val="center"/>
            </w:pPr>
            <w:r>
              <w:t xml:space="preserve">0,958</w:t>
            </w:r>
          </w:p>
        </w:tc>
      </w:tr>
      <w:tr>
        <w:tc>
          <w:tcPr>
            <w:tcW w:w="1600" w:type="dxa"/>
          </w:tcPr>
          <w:p>
            <w:pPr>
              <w:pStyle w:val="Compact"/>
              <w:jc w:val="left"/>
              <w:jc w:val="center"/>
            </w:pPr>
            <w:r>
              <w:t xml:space="preserve">GSE20685</w:t>
            </w:r>
          </w:p>
        </w:tc>
        <w:tc>
          <w:tcPr>
            <w:tcW w:w="760" w:type="dxa"/>
          </w:tcPr>
          <w:p>
            <w:pPr>
              <w:pStyle w:val="Compact"/>
              <w:jc w:val="right"/>
              <w:jc w:val="center"/>
            </w:pPr>
            <w:r>
              <w:t xml:space="preserve">327</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0,591</w:t>
            </w:r>
          </w:p>
        </w:tc>
        <w:tc>
          <w:tcPr>
            <w:tcW w:w="1122" w:type="dxa"/>
          </w:tcPr>
          <w:p>
            <w:pPr>
              <w:pStyle w:val="Compact"/>
              <w:jc w:val="center"/>
              <w:jc w:val="center"/>
            </w:pPr>
            <w:r>
              <w:t xml:space="preserve">0,626</w:t>
            </w:r>
          </w:p>
        </w:tc>
        <w:tc>
          <w:tcPr>
            <w:tcW w:w="1122" w:type="dxa"/>
          </w:tcPr>
          <w:p>
            <w:pPr>
              <w:pStyle w:val="Compact"/>
              <w:jc w:val="center"/>
              <w:jc w:val="center"/>
            </w:pPr>
            <w:r>
              <w:t xml:space="preserve">-0,036</w:t>
            </w:r>
          </w:p>
        </w:tc>
        <w:tc>
          <w:tcPr>
            <w:tcW w:w="885" w:type="dxa"/>
          </w:tcPr>
          <w:p>
            <w:pPr>
              <w:pStyle w:val="Compact"/>
              <w:jc w:val="center"/>
              <w:jc w:val="center"/>
            </w:pPr>
            <w:r>
              <w:t xml:space="preserve">0,923</w:t>
            </w:r>
          </w:p>
        </w:tc>
      </w:tr>
      <w:tr>
        <w:tc>
          <w:tcPr>
            <w:tcW w:w="1600" w:type="dxa"/>
          </w:tcPr>
          <w:p>
            <w:pPr>
              <w:pStyle w:val="Compact"/>
              <w:jc w:val="left"/>
              <w:jc w:val="center"/>
            </w:pPr>
            <w:r>
              <w:t xml:space="preserve">GSE1456</w:t>
            </w:r>
          </w:p>
        </w:tc>
        <w:tc>
          <w:tcPr>
            <w:tcW w:w="760" w:type="dxa"/>
          </w:tcPr>
          <w:p>
            <w:pPr>
              <w:pStyle w:val="Compact"/>
              <w:jc w:val="right"/>
              <w:jc w:val="center"/>
            </w:pPr>
            <w:r>
              <w:t xml:space="preserve">159</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0,622</w:t>
            </w:r>
          </w:p>
        </w:tc>
        <w:tc>
          <w:tcPr>
            <w:tcW w:w="1122" w:type="dxa"/>
          </w:tcPr>
          <w:p>
            <w:pPr>
              <w:pStyle w:val="Compact"/>
              <w:jc w:val="center"/>
              <w:jc w:val="center"/>
            </w:pPr>
            <w:r>
              <w:t xml:space="preserve">0,661</w:t>
            </w:r>
          </w:p>
        </w:tc>
        <w:tc>
          <w:tcPr>
            <w:tcW w:w="1122" w:type="dxa"/>
          </w:tcPr>
          <w:p>
            <w:pPr>
              <w:pStyle w:val="Compact"/>
              <w:jc w:val="center"/>
              <w:jc w:val="center"/>
            </w:pPr>
            <w:r>
              <w:t xml:space="preserve">-0,040</w:t>
            </w:r>
          </w:p>
        </w:tc>
        <w:tc>
          <w:tcPr>
            <w:tcW w:w="885" w:type="dxa"/>
          </w:tcPr>
          <w:p>
            <w:pPr>
              <w:pStyle w:val="Compact"/>
              <w:jc w:val="center"/>
              <w:jc w:val="center"/>
            </w:pPr>
            <w:r>
              <w:t xml:space="preserve">0,916</w:t>
            </w:r>
          </w:p>
        </w:tc>
      </w:tr>
    </w:tbl>
    <w:bookmarkEnd w:id="162"/>
    <w:p/>
    <w:p>
      <w:pPr>
        <w:pStyle w:val="BodyText"/>
      </w:pPr>
      <w:r>
        <w:t xml:space="preserve">A</w:t>
      </w:r>
      <w:r>
        <w:t xml:space="preserve"> </w:t>
      </w:r>
      <w:hyperlink w:anchor="tbl-frozen-zscore">
        <w:r>
          <w:rPr>
            <w:rStyle w:val="Hyperlink"/>
            <w:color w:val="0563C1"/>
            <w:u w:val="single"/>
          </w:rPr>
          <w:t xml:space="preserve">Tabela 13</w:t>
        </w:r>
      </w:hyperlink>
      <w:r>
        <w:t xml:space="preserve"> </w:t>
      </w:r>
      <w:r>
        <w:t xml:space="preserve">e a</w:t>
      </w:r>
      <w:r>
        <w:t xml:space="preserve"> </w:t>
      </w:r>
      <w:hyperlink w:anchor="fig-correlation">
        <w:r>
          <w:rPr>
            <w:rStyle w:val="Hyperlink"/>
            <w:color w:val="0563C1"/>
            <w:u w:val="single"/>
          </w:rPr>
          <w:t xml:space="preserve">Figura 19</w:t>
        </w:r>
      </w:hyperlink>
      <w:r>
        <w:t xml:space="preserve"> </w:t>
      </w:r>
      <w:r>
        <w:t xml:space="preserve">abordam uma questão prática decisiva para aplicação real do CorePAM: o modelo foi calibrado com parâmetros de normalização derivados da coorte sueca (SCAN-B,</w:t>
      </w:r>
      <w:r>
        <w:t xml:space="preserve"> </w:t>
      </w:r>
      <w:r>
        <w:rPr>
          <w:i/>
          <w:iCs/>
        </w:rPr>
        <w:t xml:space="preserve">RNA-seq</w:t>
      </w:r>
      <w:r>
        <w:t xml:space="preserve">).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66" w:name="fig-correlation"/>
      <w:r>
        <w:drawing>
          <wp:inline>
            <wp:extent cx="5687999" cy="4875428"/>
            <wp:effectExtent b="0" l="0" r="0" t="0"/>
            <wp:docPr descr="" title="" id="164" name="Picture"/>
            <a:graphic>
              <a:graphicData uri="http://schemas.openxmlformats.org/drawingml/2006/picture">
                <pic:pic>
                  <pic:nvPicPr>
                    <pic:cNvPr descr="../figures/supp/pt/png/FigS3_Correlation_OffDiagonal_PT.png" id="165" name="Picture"/>
                    <pic:cNvPicPr>
                      <a:picLocks noChangeArrowheads="1" noChangeAspect="1"/>
                    </pic:cNvPicPr>
                  </pic:nvPicPr>
                  <pic:blipFill>
                    <a:blip r:embed="rId163"/>
                    <a:stretch>
                      <a:fillRect/>
                    </a:stretch>
                  </pic:blipFill>
                  <pic:spPr bwMode="auto">
                    <a:xfrm>
                      <a:off x="0" y="0"/>
                      <a:ext cx="5687999" cy="4875428"/>
                    </a:xfrm>
                    <a:prstGeom prst="rect">
                      <a:avLst/>
                    </a:prstGeom>
                    <a:noFill/>
                    <a:ln w="9525">
                      <a:noFill/>
                      <a:headEnd/>
                      <a:tailEnd/>
                    </a:ln>
                  </pic:spPr>
                </pic:pic>
              </a:graphicData>
            </a:graphic>
          </wp:inline>
        </w:drawing>
      </w:r>
    </w:p>
    <w:p>
      <w:pPr>
        <w:jc w:val="left"/>
        <w:spacing w:before="200"/>
        <w:pStyle w:val="ImageCaption"/>
      </w:pPr>
      <w:r>
        <w:t xml:space="preserve">Figura 19 — Correlação entre escores intra-coorte e z-score congelado (parâmetros SCAN-B) por coorte. Diagonal: concordância perfeita. Plataformas RNA-seq e Illumina microarray mostram correlação quase perfeita (r &gt;= 0,958). Plataformas Affymetrix mostram atenuação mensurável (r = 0,916-0,923).</w:t>
      </w:r>
    </w:p>
    <w:bookmarkEnd w:id="166"/>
    <w:p>
      <w:pPr>
        <w:pStyle w:val="BodyText"/>
      </w:pPr>
      <w:r>
        <w:t xml:space="preserve">Na</w:t>
      </w:r>
      <w:r>
        <w:t xml:space="preserve"> </w:t>
      </w:r>
      <w:hyperlink w:anchor="fig-correlation">
        <w:r>
          <w:rPr>
            <w:rStyle w:val="Hyperlink"/>
            <w:color w:val="0563C1"/>
            <w:u w:val="single"/>
          </w:rPr>
          <w:t xml:space="preserve">Figura 19</w:t>
        </w:r>
      </w:hyperlink>
      <w:r>
        <w:t xml:space="preserve">, cada ponto representa uma paciente pontuada de duas maneiras: com normalização local da coorte e com parâmetros congelados do SCAN-B. A diagonal é concordância perfeita. Quando os pontos ficam colados à diagonal, a forma de normalizar muda pouco a posição relativa das pacientes. Isso é o que se observa em SCAN-B, TCGA-BRCA e METABRIC, indicando que o escore é pouco sensível à troca entre normalização local e parâmetros congelados nessas plataformas. Em GSE20685 e GSE1456, os pontos se afastam mais da diagonal, coerente com a maior distância técnica das plataformas</w:t>
      </w:r>
      <w:r>
        <w:t xml:space="preserve"> </w:t>
      </w:r>
      <w:r>
        <w:rPr>
          <w:i/>
          <w:iCs/>
        </w:rPr>
        <w:t xml:space="preserve">Affymetrix</w:t>
      </w:r>
      <w:r>
        <w:t xml:space="preserve">. A ponte clínica é importante: para um teste futuro aplicado a uma paciente individual, não haverá uma coorte local inteira disponível no momento do laudo. Esta figura mostra que a estratégia de parâmetros congelados é plausível, mas também aponta onde a validação analítica de plataforma será mais necessária.</w:t>
      </w:r>
    </w:p>
    <w:p>
      <w:r>
        <w:br w:type="page"/>
      </w:r>
    </w:p>
    <w:p>
      <w:pPr>
        <w:jc w:val="left"/>
        <w:spacing w:before="200"/>
        <w:pStyle w:val="ImageCaption"/>
      </w:pPr>
      <w:bookmarkStart w:id="167" w:name="tbl-uno-tdauc"/>
      <w:r>
        <w:t xml:space="preserve">Tabela 14 — Estatística C de Uno e AUC tempo-dependente</w:t>
      </w:r>
    </w:p>
    <w:tbl>
      <w:tblPr>
        <w:tblStyle w:val="Table"/>
        <w:tblW w:type="dxa" w:w="9070"/>
        <w:tblLayout w:type="fixed"/>
        <w:tblLook w:firstRow="1" w:lastRow="0" w:firstColumn="0" w:lastColumn="0" w:noHBand="0" w:noVBand="0" w:val="0020"/>
      </w:tblPr>
      <w:tblGrid>
        <w:gridCol w:w="1600"/>
        <w:gridCol w:w="884"/>
        <w:gridCol w:w="1370"/>
        <w:gridCol w:w="1248"/>
        <w:gridCol w:w="2232"/>
        <w:gridCol w:w="1736"/>
      </w:tblGrid>
      <w:tr>
        <w:trPr>
          <w:tblHeader w:val="on"/>
        </w:trPr>
        <w:tc>
          <w:tcPr>
            <w:tcW w:w="1600" w:type="dxa"/>
          </w:tcPr>
          <w:p>
            <w:pPr>
              <w:pStyle w:val="Compact"/>
              <w:jc w:val="center"/>
            </w:pPr>
            <w:r>
              <w:t xml:space="preserve">Coorte</w:t>
            </w:r>
          </w:p>
        </w:tc>
        <w:tc>
          <w:tcPr>
            <w:tcW w:w="884" w:type="dxa"/>
          </w:tcPr>
          <w:p>
            <w:pPr>
              <w:pStyle w:val="Compact"/>
              <w:jc w:val="center"/>
            </w:pPr>
            <w:r>
              <w:t xml:space="preserve">N</w:t>
            </w:r>
          </w:p>
        </w:tc>
        <w:tc>
          <w:tcPr>
            <w:tcW w:w="1370" w:type="dxa"/>
          </w:tcPr>
          <w:p>
            <w:pPr>
              <w:pStyle w:val="Compact"/>
              <w:jc w:val="center"/>
            </w:pPr>
            <w:r>
              <w:t xml:space="preserve">Horizonte</w:t>
            </w:r>
          </w:p>
        </w:tc>
        <w:tc>
          <w:tcPr>
            <w:tcW w:w="1248" w:type="dxa"/>
          </w:tcPr>
          <w:p>
            <w:pPr>
              <w:pStyle w:val="Compact"/>
              <w:jc w:val="center"/>
            </w:pPr>
            <w:r>
              <w:t xml:space="preserve">C de Uno</w:t>
            </w:r>
          </w:p>
        </w:tc>
        <w:tc>
          <w:tcPr>
            <w:tcW w:w="2232" w:type="dxa"/>
          </w:tcPr>
          <w:p>
            <w:pPr>
              <w:pStyle w:val="Compact"/>
              <w:jc w:val="center"/>
            </w:pPr>
            <w:r>
              <w:t xml:space="preserve">tdAUC (IC 95%)</w:t>
            </w:r>
          </w:p>
        </w:tc>
        <w:tc>
          <w:tcPr>
            <w:tcW w:w="1736" w:type="dxa"/>
          </w:tcPr>
          <w:p>
            <w:pPr>
              <w:pStyle w:val="Compact"/>
              <w:jc w:val="center"/>
            </w:pPr>
            <w:r>
              <w:t xml:space="preserve">C de Harrell</w:t>
            </w:r>
          </w:p>
        </w:tc>
      </w:tr>
      <w:tr>
        <w:tc>
          <w:tcPr>
            <w:tcW w:w="1600" w:type="dxa"/>
          </w:tcPr>
          <w:p>
            <w:pPr>
              <w:pStyle w:val="Compact"/>
              <w:jc w:val="center"/>
            </w:pPr>
            <w:r>
              <w:t xml:space="preserve">SCAN-B</w:t>
            </w:r>
          </w:p>
        </w:tc>
        <w:tc>
          <w:tcPr>
            <w:tcW w:w="884" w:type="dxa"/>
          </w:tcPr>
          <w:p>
            <w:pPr>
              <w:pStyle w:val="Compact"/>
              <w:jc w:val="center"/>
            </w:pPr>
            <w:r>
              <w:t xml:space="preserve">3 069</w:t>
            </w:r>
          </w:p>
        </w:tc>
        <w:tc>
          <w:tcPr>
            <w:tcW w:w="1370" w:type="dxa"/>
          </w:tcPr>
          <w:p>
            <w:pPr>
              <w:pStyle w:val="Compact"/>
              <w:jc w:val="center"/>
            </w:pPr>
            <w:r>
              <w:t xml:space="preserve">60m</w:t>
            </w:r>
          </w:p>
        </w:tc>
        <w:tc>
          <w:tcPr>
            <w:tcW w:w="1248" w:type="dxa"/>
          </w:tcPr>
          <w:p>
            <w:pPr>
              <w:pStyle w:val="Compact"/>
              <w:jc w:val="center"/>
            </w:pPr>
            <w:r>
              <w:t xml:space="preserve">0,674</w:t>
            </w:r>
          </w:p>
        </w:tc>
        <w:tc>
          <w:tcPr>
            <w:tcW w:w="2232" w:type="dxa"/>
          </w:tcPr>
          <w:p>
            <w:pPr>
              <w:pStyle w:val="Compact"/>
              <w:jc w:val="center"/>
            </w:pPr>
            <w:r>
              <w:t xml:space="preserve">0,679 (0,643-0,715)</w:t>
            </w:r>
          </w:p>
        </w:tc>
        <w:tc>
          <w:tcPr>
            <w:tcW w:w="1736" w:type="dxa"/>
          </w:tcPr>
          <w:p>
            <w:pPr>
              <w:pStyle w:val="Compact"/>
              <w:jc w:val="center"/>
            </w:pPr>
            <w:r>
              <w:t xml:space="preserve">0,698</w:t>
            </w:r>
          </w:p>
        </w:tc>
      </w:tr>
      <w:tr>
        <w:tc>
          <w:tcPr>
            <w:tcW w:w="1600" w:type="dxa"/>
          </w:tcPr>
          <w:p>
            <w:pPr>
              <w:pStyle w:val="Compact"/>
              <w:jc w:val="center"/>
            </w:pPr>
            <w:r>
              <w:t xml:space="preserve">TCGA-BRCA</w:t>
            </w:r>
          </w:p>
        </w:tc>
        <w:tc>
          <w:tcPr>
            <w:tcW w:w="884" w:type="dxa"/>
          </w:tcPr>
          <w:p>
            <w:pPr>
              <w:pStyle w:val="Compact"/>
              <w:jc w:val="center"/>
            </w:pPr>
            <w:r>
              <w:t xml:space="preserve">1 072</w:t>
            </w:r>
          </w:p>
        </w:tc>
        <w:tc>
          <w:tcPr>
            <w:tcW w:w="1370" w:type="dxa"/>
          </w:tcPr>
          <w:p>
            <w:pPr>
              <w:pStyle w:val="Compact"/>
              <w:jc w:val="center"/>
            </w:pPr>
            <w:r>
              <w:t xml:space="preserve">24m</w:t>
            </w:r>
          </w:p>
        </w:tc>
        <w:tc>
          <w:tcPr>
            <w:tcW w:w="1248" w:type="dxa"/>
          </w:tcPr>
          <w:p>
            <w:pPr>
              <w:pStyle w:val="Compact"/>
              <w:jc w:val="center"/>
            </w:pPr>
            <w:r>
              <w:t xml:space="preserve">0,669</w:t>
            </w:r>
          </w:p>
        </w:tc>
        <w:tc>
          <w:tcPr>
            <w:tcW w:w="2232" w:type="dxa"/>
          </w:tcPr>
          <w:p>
            <w:pPr>
              <w:pStyle w:val="Compact"/>
              <w:jc w:val="center"/>
            </w:pPr>
            <w:r>
              <w:t xml:space="preserve">0,673 (0,598-0,748)</w:t>
            </w:r>
          </w:p>
        </w:tc>
        <w:tc>
          <w:tcPr>
            <w:tcW w:w="1736" w:type="dxa"/>
          </w:tcPr>
          <w:p>
            <w:pPr>
              <w:pStyle w:val="Compact"/>
              <w:jc w:val="center"/>
            </w:pPr>
            <w:r>
              <w:t xml:space="preserve">0,624</w:t>
            </w:r>
          </w:p>
        </w:tc>
      </w:tr>
      <w:tr>
        <w:tc>
          <w:tcPr>
            <w:tcW w:w="1600" w:type="dxa"/>
          </w:tcPr>
          <w:p>
            <w:pPr>
              <w:pStyle w:val="Compact"/>
              <w:jc w:val="center"/>
            </w:pPr>
            <w:r>
              <w:t xml:space="preserve">METABRIC</w:t>
            </w:r>
          </w:p>
        </w:tc>
        <w:tc>
          <w:tcPr>
            <w:tcW w:w="884" w:type="dxa"/>
          </w:tcPr>
          <w:p>
            <w:pPr>
              <w:pStyle w:val="Compact"/>
              <w:jc w:val="center"/>
            </w:pPr>
            <w:r>
              <w:t xml:space="preserve">1 978</w:t>
            </w:r>
          </w:p>
        </w:tc>
        <w:tc>
          <w:tcPr>
            <w:tcW w:w="1370" w:type="dxa"/>
          </w:tcPr>
          <w:p>
            <w:pPr>
              <w:pStyle w:val="Compact"/>
              <w:jc w:val="center"/>
            </w:pPr>
            <w:r>
              <w:t xml:space="preserve">60m</w:t>
            </w:r>
          </w:p>
        </w:tc>
        <w:tc>
          <w:tcPr>
            <w:tcW w:w="1248" w:type="dxa"/>
          </w:tcPr>
          <w:p>
            <w:pPr>
              <w:pStyle w:val="Compact"/>
              <w:jc w:val="center"/>
            </w:pPr>
            <w:r>
              <w:t xml:space="preserve">0,681</w:t>
            </w:r>
          </w:p>
        </w:tc>
        <w:tc>
          <w:tcPr>
            <w:tcW w:w="2232" w:type="dxa"/>
          </w:tcPr>
          <w:p>
            <w:pPr>
              <w:pStyle w:val="Compact"/>
              <w:jc w:val="center"/>
            </w:pPr>
            <w:r>
              <w:t xml:space="preserve">0,695 (0,665-0,725)</w:t>
            </w:r>
          </w:p>
        </w:tc>
        <w:tc>
          <w:tcPr>
            <w:tcW w:w="1736" w:type="dxa"/>
          </w:tcPr>
          <w:p>
            <w:pPr>
              <w:pStyle w:val="Compact"/>
              <w:jc w:val="center"/>
            </w:pPr>
            <w:r>
              <w:t xml:space="preserve">0,638</w:t>
            </w:r>
          </w:p>
        </w:tc>
      </w:tr>
      <w:tr>
        <w:tc>
          <w:tcPr>
            <w:tcW w:w="1600" w:type="dxa"/>
          </w:tcPr>
          <w:p>
            <w:pPr>
              <w:pStyle w:val="Compact"/>
              <w:jc w:val="center"/>
            </w:pPr>
            <w:r>
              <w:t xml:space="preserve">GSE20685</w:t>
            </w:r>
          </w:p>
        </w:tc>
        <w:tc>
          <w:tcPr>
            <w:tcW w:w="884" w:type="dxa"/>
          </w:tcPr>
          <w:p>
            <w:pPr>
              <w:pStyle w:val="Compact"/>
              <w:jc w:val="center"/>
            </w:pPr>
            <w:r>
              <w:t xml:space="preserve">327</w:t>
            </w:r>
          </w:p>
        </w:tc>
        <w:tc>
          <w:tcPr>
            <w:tcW w:w="1370" w:type="dxa"/>
          </w:tcPr>
          <w:p>
            <w:pPr>
              <w:pStyle w:val="Compact"/>
              <w:jc w:val="center"/>
            </w:pPr>
            <w:r>
              <w:t xml:space="preserve">60m</w:t>
            </w:r>
          </w:p>
        </w:tc>
        <w:tc>
          <w:tcPr>
            <w:tcW w:w="1248" w:type="dxa"/>
          </w:tcPr>
          <w:p>
            <w:pPr>
              <w:pStyle w:val="Compact"/>
              <w:jc w:val="center"/>
            </w:pPr>
            <w:r>
              <w:t xml:space="preserve">0,668</w:t>
            </w:r>
          </w:p>
        </w:tc>
        <w:tc>
          <w:tcPr>
            <w:tcW w:w="2232" w:type="dxa"/>
          </w:tcPr>
          <w:p>
            <w:pPr>
              <w:pStyle w:val="Compact"/>
              <w:jc w:val="center"/>
            </w:pPr>
            <w:r>
              <w:t xml:space="preserve">0,675 (0,596-0,754)</w:t>
            </w:r>
          </w:p>
        </w:tc>
        <w:tc>
          <w:tcPr>
            <w:tcW w:w="1736" w:type="dxa"/>
          </w:tcPr>
          <w:p>
            <w:pPr>
              <w:pStyle w:val="Compact"/>
              <w:jc w:val="center"/>
            </w:pPr>
            <w:r>
              <w:t xml:space="preserve">0,626</w:t>
            </w:r>
          </w:p>
        </w:tc>
      </w:tr>
    </w:tbl>
    <w:bookmarkEnd w:id="167"/>
    <w:p/>
    <w:p>
      <w:pPr>
        <w:pStyle w:val="BodyText"/>
      </w:pPr>
      <w:r>
        <w:t xml:space="preserve"> </w:t>
      </w:r>
    </w:p>
    <w:p>
      <w:pPr>
        <w:jc w:val="left"/>
        <w:spacing w:before="200"/>
        <w:pStyle w:val="ImageCaption"/>
      </w:pPr>
      <w:bookmarkStart w:id="168" w:name="tbl-calibration-formal"/>
      <w:r>
        <w:t xml:space="preserve">Tabela 15 — Calibração formal por coorte</w:t>
      </w:r>
    </w:p>
    <w:tbl>
      <w:tblPr>
        <w:tblStyle w:val="Table"/>
        <w:tblW w:type="dxa" w:w="9070"/>
        <w:tblLayout w:type="fixed"/>
        <w:tblLook w:firstRow="1" w:lastRow="0" w:firstColumn="0" w:lastColumn="0" w:noHBand="0" w:noVBand="0" w:val="0020"/>
      </w:tblPr>
      <w:tblGrid>
        <w:gridCol w:w="1600"/>
        <w:gridCol w:w="944"/>
        <w:gridCol w:w="1462"/>
        <w:gridCol w:w="1583"/>
        <w:gridCol w:w="1721"/>
        <w:gridCol w:w="814"/>
        <w:gridCol w:w="946"/>
      </w:tblGrid>
      <w:tr>
        <w:trPr>
          <w:tblHeader w:val="on"/>
        </w:trPr>
        <w:tc>
          <w:tcPr>
            <w:tcW w:w="1600" w:type="dxa"/>
          </w:tcPr>
          <w:p>
            <w:pPr>
              <w:pStyle w:val="Compact"/>
              <w:jc w:val="center"/>
            </w:pPr>
            <w:r>
              <w:t xml:space="preserve">Coorte</w:t>
            </w:r>
          </w:p>
        </w:tc>
        <w:tc>
          <w:tcPr>
            <w:tcW w:w="944" w:type="dxa"/>
          </w:tcPr>
          <w:p>
            <w:pPr>
              <w:pStyle w:val="Compact"/>
              <w:jc w:val="center"/>
            </w:pPr>
            <w:r>
              <w:t xml:space="preserve">N</w:t>
            </w:r>
          </w:p>
        </w:tc>
        <w:tc>
          <w:tcPr>
            <w:tcW w:w="1462" w:type="dxa"/>
          </w:tcPr>
          <w:p>
            <w:pPr>
              <w:pStyle w:val="Compact"/>
              <w:jc w:val="center"/>
            </w:pPr>
            <w:r>
              <w:t xml:space="preserve">Horizonte</w:t>
            </w:r>
          </w:p>
        </w:tc>
        <w:tc>
          <w:tcPr>
            <w:tcW w:w="1583" w:type="dxa"/>
          </w:tcPr>
          <w:p>
            <w:pPr>
              <w:pStyle w:val="Compact"/>
              <w:jc w:val="center"/>
            </w:pPr>
            <w:r>
              <w:t xml:space="preserve">alpha (EP)</w:t>
            </w:r>
          </w:p>
        </w:tc>
        <w:tc>
          <w:tcPr>
            <w:tcW w:w="1721" w:type="dxa"/>
          </w:tcPr>
          <w:p>
            <w:pPr>
              <w:pStyle w:val="Compact"/>
              <w:jc w:val="center"/>
            </w:pPr>
            <w:r>
              <w:t xml:space="preserve">beta (EP)</w:t>
            </w:r>
          </w:p>
        </w:tc>
        <w:tc>
          <w:tcPr>
            <w:tcW w:w="814" w:type="dxa"/>
          </w:tcPr>
          <w:p>
            <w:pPr>
              <w:pStyle w:val="Compact"/>
              <w:jc w:val="center"/>
            </w:pPr>
            <w:r>
              <w:t xml:space="preserve">E/O</w:t>
            </w:r>
          </w:p>
        </w:tc>
        <w:tc>
          <w:tcPr>
            <w:tcW w:w="946" w:type="dxa"/>
          </w:tcPr>
          <w:p>
            <w:pPr>
              <w:pStyle w:val="Compact"/>
              <w:jc w:val="center"/>
            </w:pPr>
            <w:r>
              <w:t xml:space="preserve">Brier</w:t>
            </w:r>
          </w:p>
        </w:tc>
      </w:tr>
      <w:tr>
        <w:tc>
          <w:tcPr>
            <w:tcW w:w="1600" w:type="dxa"/>
          </w:tcPr>
          <w:p>
            <w:pPr>
              <w:pStyle w:val="Compact"/>
              <w:jc w:val="center"/>
            </w:pPr>
            <w:r>
              <w:t xml:space="preserve">SCAN-B</w:t>
            </w:r>
          </w:p>
        </w:tc>
        <w:tc>
          <w:tcPr>
            <w:tcW w:w="944" w:type="dxa"/>
          </w:tcPr>
          <w:p>
            <w:pPr>
              <w:pStyle w:val="Compact"/>
              <w:jc w:val="center"/>
            </w:pPr>
            <w:r>
              <w:t xml:space="preserve">3 069</w:t>
            </w:r>
          </w:p>
        </w:tc>
        <w:tc>
          <w:tcPr>
            <w:tcW w:w="1462" w:type="dxa"/>
          </w:tcPr>
          <w:p>
            <w:pPr>
              <w:pStyle w:val="Compact"/>
              <w:jc w:val="center"/>
            </w:pPr>
            <w:r>
              <w:t xml:space="preserve">60m</w:t>
            </w:r>
          </w:p>
        </w:tc>
        <w:tc>
          <w:tcPr>
            <w:tcW w:w="1583" w:type="dxa"/>
          </w:tcPr>
          <w:p>
            <w:pPr>
              <w:pStyle w:val="Compact"/>
              <w:jc w:val="center"/>
            </w:pPr>
            <w:r>
              <w:t xml:space="preserve">0,56 (0,18)</w:t>
            </w:r>
          </w:p>
        </w:tc>
        <w:tc>
          <w:tcPr>
            <w:tcW w:w="1721" w:type="dxa"/>
          </w:tcPr>
          <w:p>
            <w:pPr>
              <w:pStyle w:val="Compact"/>
              <w:jc w:val="center"/>
            </w:pPr>
            <w:r>
              <w:t xml:space="preserve">0,96 (0,09)</w:t>
            </w:r>
          </w:p>
        </w:tc>
        <w:tc>
          <w:tcPr>
            <w:tcW w:w="814" w:type="dxa"/>
          </w:tcPr>
          <w:p>
            <w:pPr>
              <w:pStyle w:val="Compact"/>
              <w:jc w:val="center"/>
            </w:pPr>
            <w:r>
              <w:t xml:space="preserve">0,61</w:t>
            </w:r>
          </w:p>
        </w:tc>
        <w:tc>
          <w:tcPr>
            <w:tcW w:w="946" w:type="dxa"/>
          </w:tcPr>
          <w:p>
            <w:pPr>
              <w:pStyle w:val="Compact"/>
              <w:jc w:val="center"/>
            </w:pPr>
            <w:r>
              <w:t xml:space="preserve">0,158</w:t>
            </w:r>
          </w:p>
        </w:tc>
      </w:tr>
      <w:tr>
        <w:tc>
          <w:tcPr>
            <w:tcW w:w="1600" w:type="dxa"/>
          </w:tcPr>
          <w:p>
            <w:pPr>
              <w:pStyle w:val="Compact"/>
              <w:jc w:val="center"/>
            </w:pPr>
            <w:r>
              <w:t xml:space="preserve">TCGA-BRCA</w:t>
            </w:r>
          </w:p>
        </w:tc>
        <w:tc>
          <w:tcPr>
            <w:tcW w:w="944" w:type="dxa"/>
          </w:tcPr>
          <w:p>
            <w:pPr>
              <w:pStyle w:val="Compact"/>
              <w:jc w:val="center"/>
            </w:pPr>
            <w:r>
              <w:t xml:space="preserve">1 072</w:t>
            </w:r>
          </w:p>
        </w:tc>
        <w:tc>
          <w:tcPr>
            <w:tcW w:w="1462" w:type="dxa"/>
          </w:tcPr>
          <w:p>
            <w:pPr>
              <w:pStyle w:val="Compact"/>
              <w:jc w:val="center"/>
            </w:pPr>
            <w:r>
              <w:t xml:space="preserve">24m</w:t>
            </w:r>
          </w:p>
        </w:tc>
        <w:tc>
          <w:tcPr>
            <w:tcW w:w="1583" w:type="dxa"/>
          </w:tcPr>
          <w:p>
            <w:pPr>
              <w:pStyle w:val="Compact"/>
              <w:jc w:val="center"/>
            </w:pPr>
            <w:r>
              <w:t xml:space="preserve">5,40 (2,29)</w:t>
            </w:r>
          </w:p>
        </w:tc>
        <w:tc>
          <w:tcPr>
            <w:tcW w:w="1721" w:type="dxa"/>
          </w:tcPr>
          <w:p>
            <w:pPr>
              <w:pStyle w:val="Compact"/>
              <w:jc w:val="center"/>
            </w:pPr>
            <w:r>
              <w:t xml:space="preserve">2,74 (0,79)</w:t>
            </w:r>
          </w:p>
        </w:tc>
        <w:tc>
          <w:tcPr>
            <w:tcW w:w="814" w:type="dxa"/>
          </w:tcPr>
          <w:p>
            <w:pPr>
              <w:pStyle w:val="Compact"/>
              <w:jc w:val="center"/>
            </w:pPr>
            <w:r>
              <w:t xml:space="preserve">0,74</w:t>
            </w:r>
          </w:p>
        </w:tc>
        <w:tc>
          <w:tcPr>
            <w:tcW w:w="946" w:type="dxa"/>
          </w:tcPr>
          <w:p>
            <w:pPr>
              <w:pStyle w:val="Compact"/>
              <w:jc w:val="center"/>
            </w:pPr>
            <w:r>
              <w:t xml:space="preserve">0,061</w:t>
            </w:r>
          </w:p>
        </w:tc>
      </w:tr>
      <w:tr>
        <w:tc>
          <w:tcPr>
            <w:tcW w:w="1600" w:type="dxa"/>
          </w:tcPr>
          <w:p>
            <w:pPr>
              <w:pStyle w:val="Compact"/>
              <w:jc w:val="center"/>
            </w:pPr>
            <w:r>
              <w:t xml:space="preserve">METABRIC</w:t>
            </w:r>
          </w:p>
        </w:tc>
        <w:tc>
          <w:tcPr>
            <w:tcW w:w="944" w:type="dxa"/>
          </w:tcPr>
          <w:p>
            <w:pPr>
              <w:pStyle w:val="Compact"/>
              <w:jc w:val="center"/>
            </w:pPr>
            <w:r>
              <w:t xml:space="preserve">1 978</w:t>
            </w:r>
          </w:p>
        </w:tc>
        <w:tc>
          <w:tcPr>
            <w:tcW w:w="1462" w:type="dxa"/>
          </w:tcPr>
          <w:p>
            <w:pPr>
              <w:pStyle w:val="Compact"/>
              <w:jc w:val="center"/>
            </w:pPr>
            <w:r>
              <w:t xml:space="preserve">60m</w:t>
            </w:r>
          </w:p>
        </w:tc>
        <w:tc>
          <w:tcPr>
            <w:tcW w:w="1583" w:type="dxa"/>
          </w:tcPr>
          <w:p>
            <w:pPr>
              <w:pStyle w:val="Compact"/>
              <w:jc w:val="center"/>
            </w:pPr>
            <w:r>
              <w:t xml:space="preserve">1,15 (0,25)</w:t>
            </w:r>
          </w:p>
        </w:tc>
        <w:tc>
          <w:tcPr>
            <w:tcW w:w="1721" w:type="dxa"/>
          </w:tcPr>
          <w:p>
            <w:pPr>
              <w:pStyle w:val="Compact"/>
              <w:jc w:val="center"/>
            </w:pPr>
            <w:r>
              <w:t xml:space="preserve">1,77 (0,17)</w:t>
            </w:r>
          </w:p>
        </w:tc>
        <w:tc>
          <w:tcPr>
            <w:tcW w:w="814" w:type="dxa"/>
          </w:tcPr>
          <w:p>
            <w:pPr>
              <w:pStyle w:val="Compact"/>
              <w:jc w:val="center"/>
            </w:pPr>
            <w:r>
              <w:t xml:space="preserve">0,97</w:t>
            </w:r>
          </w:p>
        </w:tc>
        <w:tc>
          <w:tcPr>
            <w:tcW w:w="946" w:type="dxa"/>
          </w:tcPr>
          <w:p>
            <w:pPr>
              <w:pStyle w:val="Compact"/>
              <w:jc w:val="center"/>
            </w:pPr>
            <w:r>
              <w:t xml:space="preserve">0,143</w:t>
            </w:r>
          </w:p>
        </w:tc>
      </w:tr>
      <w:tr>
        <w:tc>
          <w:tcPr>
            <w:tcW w:w="1600" w:type="dxa"/>
          </w:tcPr>
          <w:p>
            <w:pPr>
              <w:pStyle w:val="Compact"/>
              <w:jc w:val="center"/>
            </w:pPr>
            <w:r>
              <w:t xml:space="preserve">GSE20685</w:t>
            </w:r>
          </w:p>
        </w:tc>
        <w:tc>
          <w:tcPr>
            <w:tcW w:w="944" w:type="dxa"/>
          </w:tcPr>
          <w:p>
            <w:pPr>
              <w:pStyle w:val="Compact"/>
              <w:jc w:val="center"/>
            </w:pPr>
            <w:r>
              <w:t xml:space="preserve">327</w:t>
            </w:r>
          </w:p>
        </w:tc>
        <w:tc>
          <w:tcPr>
            <w:tcW w:w="1462" w:type="dxa"/>
          </w:tcPr>
          <w:p>
            <w:pPr>
              <w:pStyle w:val="Compact"/>
              <w:jc w:val="center"/>
            </w:pPr>
            <w:r>
              <w:t xml:space="preserve">60m</w:t>
            </w:r>
          </w:p>
        </w:tc>
        <w:tc>
          <w:tcPr>
            <w:tcW w:w="1583" w:type="dxa"/>
          </w:tcPr>
          <w:p>
            <w:pPr>
              <w:pStyle w:val="Compact"/>
              <w:jc w:val="center"/>
            </w:pPr>
            <w:r>
              <w:t xml:space="preserve">0,93 (0,75)</w:t>
            </w:r>
          </w:p>
        </w:tc>
        <w:tc>
          <w:tcPr>
            <w:tcW w:w="1721" w:type="dxa"/>
          </w:tcPr>
          <w:p>
            <w:pPr>
              <w:pStyle w:val="Compact"/>
              <w:jc w:val="center"/>
            </w:pPr>
            <w:r>
              <w:t xml:space="preserve">1,57 (0,46)</w:t>
            </w:r>
          </w:p>
        </w:tc>
        <w:tc>
          <w:tcPr>
            <w:tcW w:w="814" w:type="dxa"/>
          </w:tcPr>
          <w:p>
            <w:pPr>
              <w:pStyle w:val="Compact"/>
              <w:jc w:val="center"/>
            </w:pPr>
            <w:r>
              <w:t xml:space="preserve">0,98</w:t>
            </w:r>
          </w:p>
        </w:tc>
        <w:tc>
          <w:tcPr>
            <w:tcW w:w="946" w:type="dxa"/>
          </w:tcPr>
          <w:p>
            <w:pPr>
              <w:pStyle w:val="Compact"/>
              <w:jc w:val="center"/>
            </w:pPr>
            <w:r>
              <w:t xml:space="preserve">0,130</w:t>
            </w:r>
          </w:p>
        </w:tc>
      </w:tr>
    </w:tbl>
    <w:bookmarkEnd w:id="168"/>
    <w:p/>
    <w:p>
      <w:pPr>
        <w:pStyle w:val="BodyText"/>
      </w:pPr>
      <w:r>
        <w:t xml:space="preserve">A</w:t>
      </w:r>
      <w:r>
        <w:t xml:space="preserve"> </w:t>
      </w:r>
      <w:hyperlink w:anchor="fig-dca">
        <w:r>
          <w:rPr>
            <w:rStyle w:val="Hyperlink"/>
            <w:color w:val="0563C1"/>
            <w:u w:val="single"/>
          </w:rPr>
          <w:t xml:space="preserve">Figura 20</w:t>
        </w:r>
      </w:hyperlink>
      <w:r>
        <w:t xml:space="preserve"> </w:t>
      </w:r>
      <w:r>
        <w:t xml:space="preserve">apresenta a análise de curva de decisão (</w:t>
      </w:r>
      <w:r>
        <w:rPr>
          <w:i/>
          <w:iCs/>
        </w:rPr>
        <w:t xml:space="preserve">decision curve analysis</w:t>
      </w:r>
      <w:r>
        <w:t xml:space="preserve">) para desfechos de sobrevida. Essa figura deve ser lida como uma simulação de decisão clínica em vários limiares de risco. O eixo horizontal é o limiar: 5%, 10%, 20% ou 30% de risco previsto no horizonte analisado. O eixo vertical é o benefício líquido, isto é, o saldo entre identificar corretamente pacientes de maior risco e causar falsos alarmes. A linha</w:t>
      </w:r>
      <w:r>
        <w:t xml:space="preserve"> </w:t>
      </w:r>
      <w:r>
        <w:t xml:space="preserve">“tratar nenhum”</w:t>
      </w:r>
      <w:r>
        <w:t xml:space="preserve"> </w:t>
      </w:r>
      <w:r>
        <w:t xml:space="preserve">é o zero: nenhuma paciente é selecionada, logo não há benefício nem dano por seleção. A linha</w:t>
      </w:r>
      <w:r>
        <w:t xml:space="preserve"> </w:t>
      </w:r>
      <w:r>
        <w:t xml:space="preserve">“tratar todos”</w:t>
      </w:r>
      <w:r>
        <w:t xml:space="preserve"> </w:t>
      </w:r>
      <w:r>
        <w:t xml:space="preserve">representa a conduta de oferecer a intervenção a todas as pacientes, estratégia que só faz sentido quando o limiar aceito é muito baixo. As curvas do CorePAM, do modelo por idade e do modelo combinado mostram se uma decisão guiada por modelo melhora esse balanço.</w:t>
      </w:r>
    </w:p>
    <w:p>
      <w:pPr>
        <w:pStyle w:val="Compact"/>
        <w:jc w:val="center"/>
      </w:pPr>
      <w:bookmarkStart w:id="172" w:name="fig-dca"/>
      <w:r>
        <w:drawing>
          <wp:inline>
            <wp:extent cx="5687999" cy="4265999"/>
            <wp:effectExtent b="0" l="0" r="0" t="0"/>
            <wp:docPr descr="" title="" id="170" name="Picture"/>
            <a:graphic>
              <a:graphicData uri="http://schemas.openxmlformats.org/drawingml/2006/picture">
                <pic:pic>
                  <pic:nvPicPr>
                    <pic:cNvPr descr="../figures/supp/pt/png/FigS_DCA_OS_PT.png" id="171" name="Picture"/>
                    <pic:cNvPicPr>
                      <a:picLocks noChangeArrowheads="1" noChangeAspect="1"/>
                    </pic:cNvPicPr>
                  </pic:nvPicPr>
                  <pic:blipFill>
                    <a:blip r:embed="rId169"/>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20 — Análise de curva de decisão (DCA) — quatro coortes de sobrevida. Benefício líquido do CorePAM, do modelo clínico por idade e do modelo combinado comparado com estratégias de tratar todos e tratar nenhum. SCAN-B, METABRIC e GSE20685 foram avaliadas em 60 meses; TCGA-BRCA foi avaliada em 24 meses por seguimento curto.</w:t>
      </w:r>
    </w:p>
    <w:bookmarkEnd w:id="172"/>
    <w:p>
      <w:pPr>
        <w:pStyle w:val="BodyText"/>
      </w:pPr>
      <w:r>
        <w:t xml:space="preserve">No painel SCAN-B da</w:t>
      </w:r>
      <w:r>
        <w:t xml:space="preserve"> </w:t>
      </w:r>
      <w:hyperlink w:anchor="fig-dca">
        <w:r>
          <w:rPr>
            <w:rStyle w:val="Hyperlink"/>
            <w:color w:val="0563C1"/>
            <w:u w:val="single"/>
          </w:rPr>
          <w:t xml:space="preserve">Figura 20</w:t>
        </w:r>
      </w:hyperlink>
      <w:r>
        <w:t xml:space="preserve">, o CorePAM isolado mantém benefício líquido acima das estratégias de referência em uma faixa ampla de limiares, sobretudo entre aproximadamente 5% e 30%. Isso significa que, no ambiente de treinamento, o escore consegue separar risco de modo clinicamente útil: melhor do que tratar todas as pacientes e melhor do que não selecionar ninguém. A curva</w:t>
      </w:r>
      <w:r>
        <w:t xml:space="preserve"> </w:t>
      </w:r>
      <w:r>
        <w:t xml:space="preserve">“tratar todos”</w:t>
      </w:r>
      <w:r>
        <w:t xml:space="preserve"> </w:t>
      </w:r>
      <w:r>
        <w:t xml:space="preserve">cai rapidamente e cruza a linha de zero à medida que o limiar aumenta, ilustrando o custo de oferecer intervenção a muitas pacientes que não teriam evento. A idade isolada quase não acrescenta benefício depois dos limiares baixos; essa leitura conversa com a prática clínica, na qual idade ajuda, mas não substitui a biologia tumoral.</w:t>
      </w:r>
    </w:p>
    <w:p>
      <w:pPr>
        <w:pStyle w:val="BodyText"/>
      </w:pPr>
      <w:r>
        <w:t xml:space="preserve">No painel TCGA-BRCA, a janela útil é estreita. As curvas têm benefício apenas em limiares muito baixos e se aproximam de zero rapidamente. Esse comportamento não deve ser lido como contradição do efeito prognóstico, mas como consequência do seguimento curto e da baixa incidência de eventos em 24 meses. Quando poucos eventos ocorreram, há pouco espaço para uma curva de decisão demonstrar ganho líquido sustentado. Em linguagem clínica, é como tentar julgar recorrência tardia depois de uma consulta de seguimento ainda curta: a direção pode estar correta, mas o tempo observado é insuficiente para decisões de longo prazo.</w:t>
      </w:r>
    </w:p>
    <w:p>
      <w:pPr>
        <w:pStyle w:val="BodyText"/>
      </w:pPr>
      <w:r>
        <w:t xml:space="preserve">No painel METABRIC, a figura é particularmente informativa. O modelo combinado e o CorePAM mantêm benefício líquido positivo por uma faixa de limiares mais ampla, compatível com o seguimento longo e com o desfecho de sobrevida doença-específica. Esse é o cenário em que a DCA mais se aproxima do problema clínico de tumores luminais: decidir se uma diferença biológica deve modificar intensidade de tratamento ou seguimento quando a história natural se estende por muitos anos. No painel GSE20685, o CorePAM e o modelo combinado também superam as referências em limiares baixos a intermediários, mas as curvas oscilam mais e cruzam zero em limiares altos. Isso é esperado em uma coorte menor, com menos eventos e plataforma</w:t>
      </w:r>
      <w:r>
        <w:t xml:space="preserve"> </w:t>
      </w:r>
      <w:r>
        <w:rPr>
          <w:i/>
          <w:iCs/>
        </w:rPr>
        <w:t xml:space="preserve">Affymetrix</w:t>
      </w:r>
      <w:r>
        <w:t xml:space="preserve">: a mensagem confiável está na direção e na faixa inicial de benefício, não em pequenas ondulações da curva.</w:t>
      </w:r>
    </w:p>
    <w:p>
      <w:pPr>
        <w:pStyle w:val="BodyText"/>
      </w:pPr>
      <w:r>
        <w:t xml:space="preserve">Assim, a</w:t>
      </w:r>
      <w:r>
        <w:t xml:space="preserve"> </w:t>
      </w:r>
      <w:hyperlink w:anchor="fig-dca">
        <w:r>
          <w:rPr>
            <w:rStyle w:val="Hyperlink"/>
            <w:color w:val="0563C1"/>
            <w:u w:val="single"/>
          </w:rPr>
          <w:t xml:space="preserve">Figura 20</w:t>
        </w:r>
      </w:hyperlink>
      <w:r>
        <w:t xml:space="preserve"> </w:t>
      </w:r>
      <w:r>
        <w:t xml:space="preserve">não diz que o CorePAM deve ser usado isoladamente para indicar tratamento hoje. Ela mostra algo mais específico: nas faixas de risco em que um médico realmente pondera tratar ou não tratar, o escore frequentemente acrescenta benefício líquido sobre estratégias ingênuas. Esse é o mesmo tipo de raciocínio usado para qualquer biomarcador prognóstico em oncologia: associação estatística é necessária, mas utilidade clínica exige que o marcador melhore uma decisão concreta.</w:t>
      </w:r>
    </w:p>
    <w:p>
      <w:r>
        <w:br w:type="page"/>
      </w:r>
    </w:p>
    <w:p>
      <w:pPr>
        <w:pStyle w:val="Compact"/>
        <w:jc w:val="center"/>
      </w:pPr>
      <w:bookmarkStart w:id="176" w:name="fig-pca-metabric"/>
      <w:r>
        <w:drawing>
          <wp:inline>
            <wp:extent cx="5687999" cy="2031428"/>
            <wp:effectExtent b="0" l="0" r="0" t="0"/>
            <wp:docPr descr="" title="" id="174" name="Picture"/>
            <a:graphic>
              <a:graphicData uri="http://schemas.openxmlformats.org/drawingml/2006/picture">
                <pic:pic>
                  <pic:nvPicPr>
                    <pic:cNvPr descr="../figures/supp/pt/png/FigS4_METABRIC_PCA_forensics_PT.png" id="175" name="Picture"/>
                    <pic:cNvPicPr>
                      <a:picLocks noChangeArrowheads="1" noChangeAspect="1"/>
                    </pic:cNvPicPr>
                  </pic:nvPicPr>
                  <pic:blipFill>
                    <a:blip r:embed="rId173"/>
                    <a:stretch>
                      <a:fillRect/>
                    </a:stretch>
                  </pic:blipFill>
                  <pic:spPr bwMode="auto">
                    <a:xfrm>
                      <a:off x="0" y="0"/>
                      <a:ext cx="5687999" cy="2031428"/>
                    </a:xfrm>
                    <a:prstGeom prst="rect">
                      <a:avLst/>
                    </a:prstGeom>
                    <a:noFill/>
                    <a:ln w="9525">
                      <a:noFill/>
                      <a:headEnd/>
                      <a:tailEnd/>
                    </a:ln>
                  </pic:spPr>
                </pic:pic>
              </a:graphicData>
            </a:graphic>
          </wp:inline>
        </w:drawing>
      </w:r>
    </w:p>
    <w:p>
      <w:pPr>
        <w:jc w:val="left"/>
        <w:spacing w:before="200"/>
        <w:pStyle w:val="ImageCaption"/>
      </w:pPr>
      <w:r>
        <w:t xml:space="preserve">Figura 21 — PCA forense da matriz de expressão METABRIC. Componentes principais coloridos por status de RE. PC1 captura a principal dicotomia biológica (ER+/ER-), sem evidência de efeitos de batch dominantes, confirmando integridade dos dados.</w:t>
      </w:r>
    </w:p>
    <w:bookmarkEnd w:id="176"/>
    <w:p>
      <w:pPr>
        <w:pStyle w:val="BodyText"/>
      </w:pPr>
      <w:r>
        <w:t xml:space="preserve">A</w:t>
      </w:r>
      <w:r>
        <w:t xml:space="preserve"> </w:t>
      </w:r>
      <w:hyperlink w:anchor="fig-pca-metabric">
        <w:r>
          <w:rPr>
            <w:rStyle w:val="Hyperlink"/>
            <w:color w:val="0563C1"/>
            <w:u w:val="single"/>
          </w:rPr>
          <w:t xml:space="preserve">Figura 21</w:t>
        </w:r>
      </w:hyperlink>
      <w:r>
        <w:t xml:space="preserve"> </w:t>
      </w:r>
      <w:r>
        <w:t xml:space="preserve">é uma figura de controle de qualidade, não uma análise prognóstica principal. Ela pergunta se a matriz METABRIC se comporta biologicamente como uma coorte de câncer de mama deveria se comportar. No primeiro painel, cada ponto é uma paciente e os eixos PC1 e PC2 são as duas maiores fontes de variação global na expressão gênica. A separação por status de RE ao longo do primeiro componente é esperada, pois a sinalização estrogênica é um dos eixos mais fortes da biologia transcricional do câncer de mama desde os estudos de Perou e Sørlie. Quando uma matriz separa RE+ e RE- de forma coerente, isso sugere que o sinal biológico principal foi preservado.</w:t>
      </w:r>
    </w:p>
    <w:p>
      <w:pPr>
        <w:pStyle w:val="BodyText"/>
      </w:pPr>
      <w:r>
        <w:t xml:space="preserve">O segundo painel troca PC2 por PC3 para verificar se a separação observada depende apenas de uma projeção específica. Se houvesse um lote técnico dominante, como uma placa, centro ou data de processamento, poderíamos observar agrupamentos artificiais sem relação clínica clara. Aqui, a leitura principal é que a estrutura global permanece plausível e não há evidência visual de um artefato grosseiro que explique os resultados do CorePAM. O terceiro painel, o</w:t>
      </w:r>
      <w:r>
        <w:t xml:space="preserve"> </w:t>
      </w:r>
      <w:r>
        <w:rPr>
          <w:i/>
          <w:iCs/>
        </w:rPr>
        <w:t xml:space="preserve">scree plot</w:t>
      </w:r>
      <w:r>
        <w:t xml:space="preserve">, mostra quanta variância cada componente principal captura. Em termos simples, ele informa se a matriz é dominada por um único eixo ou distribuída em múltiplas fontes de variação. Essa verificação é equivalente a checar a qualidade de uma lâmina antes de emitir um laudo: não responde à pergunta clínica final, mas aumenta a confiança de que a amostra técnica é interpretável.</w:t>
      </w:r>
    </w:p>
    <w:bookmarkEnd w:id="177"/>
    <w:bookmarkStart w:id="185" w:name="análise-de-subgrupo-por-status-de-re"/>
    <w:p>
      <w:pPr>
        <w:pageBreakBefore/>
        <w:pStyle w:val="Heading2"/>
      </w:pPr>
      <w:r>
        <w:t xml:space="preserve">4.7 Análise de subgrupo por status de RE</w:t>
      </w:r>
    </w:p>
    <w:p>
      <w:pPr>
        <w:pStyle w:val="FirstParagraph"/>
      </w:pPr>
      <w:r>
        <w:t xml:space="preserve">A heterogeneidade biológica do câncer de mama se reflete, sobretudo, na dicotomia por status de receptor de estrogênio (RE) — doenças RE-positivas e RE-negativas têm histórias naturais, tratamentos e benefícios esperados de ferramentas de estratificação distintos. A</w:t>
      </w:r>
      <w:r>
        <w:t xml:space="preserve"> </w:t>
      </w:r>
      <w:hyperlink w:anchor="tbl-er-subgroup">
        <w:r>
          <w:rPr>
            <w:rStyle w:val="Hyperlink"/>
            <w:color w:val="0563C1"/>
            <w:u w:val="single"/>
          </w:rPr>
          <w:t xml:space="preserve">Tabela 16</w:t>
        </w:r>
      </w:hyperlink>
      <w:r>
        <w:t xml:space="preserve"> </w:t>
      </w:r>
      <w:r>
        <w:t xml:space="preserve">e a</w:t>
      </w:r>
      <w:r>
        <w:t xml:space="preserve"> </w:t>
      </w:r>
      <w:hyperlink w:anchor="fig-er-forest">
        <w:r>
          <w:rPr>
            <w:rStyle w:val="Hyperlink"/>
            <w:color w:val="0563C1"/>
            <w:u w:val="single"/>
          </w:rPr>
          <w:t xml:space="preserve">Figura 22</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8" w:name="scan-b-n-2-870-os"/>
    <w:p>
      <w:pPr>
        <w:pStyle w:val="Heading3"/>
      </w:pPr>
      <w:r>
        <w:t xml:space="preserve">4.7.1 SCAN-B (N = 2 870; OS)</w:t>
      </w:r>
    </w:p>
    <w:tbl>
      <w:tblPr>
        <w:tblStyle w:val="Table"/>
        <w:tblW w:type="auto" w:w="0"/>
        <w:tblLook w:firstRow="1" w:lastRow="0" w:firstColumn="0" w:lastColumn="0" w:noHBand="0" w:noVBand="0" w:val="0020"/>
      </w:tblPr>
      <w:tblGrid>
        <w:gridCol w:w="1765"/>
        <w:gridCol w:w="967"/>
        <w:gridCol w:w="1233"/>
        <w:gridCol w:w="2429"/>
        <w:gridCol w:w="1366"/>
        <w:gridCol w:w="1310"/>
      </w:tblGrid>
      <w:tr>
        <w:trPr>
          <w:tblHeader w:val="on"/>
        </w:trPr>
        <w:tc>
          <w:tcPr>
            <w:tcW w:w="1765" w:type="dxa"/>
          </w:tcPr>
          <w:p>
            <w:pPr>
              <w:pStyle w:val="Compact"/>
            </w:pPr>
            <w:r>
              <w:t xml:space="preserve">Subgrupo</w:t>
            </w:r>
          </w:p>
        </w:tc>
        <w:tc>
          <w:tcPr>
            <w:tcW w:w="967" w:type="dxa"/>
          </w:tcPr>
          <w:p>
            <w:pPr>
              <w:pStyle w:val="Compact"/>
            </w:pPr>
            <w:r>
              <w:t xml:space="preserve">N</w:t>
            </w:r>
          </w:p>
        </w:tc>
        <w:tc>
          <w:tcPr>
            <w:tcW w:w="1233" w:type="dxa"/>
          </w:tcPr>
          <w:p>
            <w:pPr>
              <w:pStyle w:val="Compact"/>
            </w:pPr>
            <w:r>
              <w:t xml:space="preserve">Eventos</w:t>
            </w:r>
          </w:p>
        </w:tc>
        <w:tc>
          <w:tcPr>
            <w:tcW w:w="2429" w:type="dxa"/>
          </w:tcPr>
          <w:p>
            <w:pPr>
              <w:pStyle w:val="Compact"/>
            </w:pPr>
            <w:r>
              <w:t xml:space="preserve">HR (IC 95%)</w:t>
            </w:r>
          </w:p>
        </w:tc>
        <w:tc>
          <w:tcPr>
            <w:tcW w:w="1366" w:type="dxa"/>
          </w:tcPr>
          <w:p>
            <w:pPr>
              <w:pStyle w:val="Compact"/>
            </w:pPr>
            <w:r>
              <w:t xml:space="preserve">p</w:t>
            </w:r>
          </w:p>
        </w:tc>
        <w:tc>
          <w:tcPr>
            <w:tcW w:w="1310" w:type="dxa"/>
          </w:tcPr>
          <w:p>
            <w:pPr>
              <w:pStyle w:val="Compact"/>
            </w:pPr>
            <w:r>
              <w:rPr>
                <w:i/>
                <w:iCs/>
              </w:rPr>
              <w:t xml:space="preserve">C-index</w:t>
            </w:r>
          </w:p>
        </w:tc>
      </w:tr>
      <w:tr>
        <w:tc>
          <w:tcPr>
            <w:tcW w:w="1765" w:type="dxa"/>
          </w:tcPr>
          <w:p>
            <w:pPr>
              <w:pStyle w:val="Compact"/>
            </w:pPr>
            <w:r>
              <w:t xml:space="preserve">RE-positivo</w:t>
            </w:r>
          </w:p>
        </w:tc>
        <w:tc>
          <w:tcPr>
            <w:tcW w:w="967" w:type="dxa"/>
          </w:tcPr>
          <w:p>
            <w:pPr>
              <w:pStyle w:val="Compact"/>
            </w:pPr>
            <w:r>
              <w:t xml:space="preserve">2 646</w:t>
            </w:r>
          </w:p>
        </w:tc>
        <w:tc>
          <w:tcPr>
            <w:tcW w:w="1233" w:type="dxa"/>
          </w:tcPr>
          <w:p>
            <w:pPr>
              <w:pStyle w:val="Compact"/>
            </w:pPr>
            <w:r>
              <w:t xml:space="preserve">287</w:t>
            </w:r>
          </w:p>
        </w:tc>
        <w:tc>
          <w:tcPr>
            <w:tcW w:w="2429" w:type="dxa"/>
          </w:tcPr>
          <w:p>
            <w:pPr>
              <w:pStyle w:val="Compact"/>
            </w:pPr>
            <w:r>
              <w:t xml:space="preserve">1,92 (1,69-2,17)</w:t>
            </w:r>
          </w:p>
        </w:tc>
        <w:tc>
          <w:tcPr>
            <w:tcW w:w="1366" w:type="dxa"/>
          </w:tcPr>
          <w:p>
            <w:pPr>
              <w:pStyle w:val="Compact"/>
            </w:pPr>
            <w:r>
              <w:t xml:space="preserve">&lt;0,001</w:t>
            </w:r>
          </w:p>
        </w:tc>
        <w:tc>
          <w:tcPr>
            <w:tcW w:w="1310" w:type="dxa"/>
          </w:tcPr>
          <w:p>
            <w:pPr>
              <w:pStyle w:val="Compact"/>
            </w:pPr>
            <w:r>
              <w:t xml:space="preserve">0,700</w:t>
            </w:r>
          </w:p>
        </w:tc>
      </w:tr>
      <w:tr>
        <w:tc>
          <w:tcPr>
            <w:tcW w:w="1765" w:type="dxa"/>
          </w:tcPr>
          <w:p>
            <w:pPr>
              <w:pStyle w:val="Compact"/>
            </w:pPr>
            <w:r>
              <w:t xml:space="preserve">RE-negativo</w:t>
            </w:r>
          </w:p>
        </w:tc>
        <w:tc>
          <w:tcPr>
            <w:tcW w:w="967" w:type="dxa"/>
          </w:tcPr>
          <w:p>
            <w:pPr>
              <w:pStyle w:val="Compact"/>
            </w:pPr>
            <w:r>
              <w:t xml:space="preserve">224</w:t>
            </w:r>
          </w:p>
        </w:tc>
        <w:tc>
          <w:tcPr>
            <w:tcW w:w="1233" w:type="dxa"/>
          </w:tcPr>
          <w:p>
            <w:pPr>
              <w:pStyle w:val="Compact"/>
            </w:pPr>
            <w:r>
              <w:t xml:space="preserve">35</w:t>
            </w:r>
          </w:p>
        </w:tc>
        <w:tc>
          <w:tcPr>
            <w:tcW w:w="2429" w:type="dxa"/>
          </w:tcPr>
          <w:p>
            <w:pPr>
              <w:pStyle w:val="Compact"/>
            </w:pPr>
            <w:r>
              <w:t xml:space="preserve">2,53 (1,51-4,25)</w:t>
            </w:r>
          </w:p>
        </w:tc>
        <w:tc>
          <w:tcPr>
            <w:tcW w:w="1366" w:type="dxa"/>
          </w:tcPr>
          <w:p>
            <w:pPr>
              <w:pStyle w:val="Compact"/>
            </w:pPr>
            <w:r>
              <w:t xml:space="preserve">&lt;0,001</w:t>
            </w:r>
          </w:p>
        </w:tc>
        <w:tc>
          <w:tcPr>
            <w:tcW w:w="1310" w:type="dxa"/>
          </w:tcPr>
          <w:p>
            <w:pPr>
              <w:pStyle w:val="Compact"/>
            </w:pPr>
            <w:r>
              <w:t xml:space="preserve">0,697</w:t>
            </w:r>
          </w:p>
        </w:tc>
      </w:tr>
      <w:tr>
        <w:tc>
          <w:tcPr>
            <w:tcW w:w="1765" w:type="dxa"/>
          </w:tcPr>
          <w:p>
            <w:pPr>
              <w:pStyle w:val="Compact"/>
            </w:pPr>
            <w:r>
              <w:t xml:space="preserve">Interação</w:t>
            </w:r>
          </w:p>
        </w:tc>
        <w:tc>
          <w:tcPr>
            <w:tcW w:w="967" w:type="dxa"/>
          </w:tcPr>
          <w:p>
            <w:pPr>
              <w:pStyle w:val="Compact"/>
            </w:pPr>
            <w:r>
              <w:t xml:space="preserve">—</w:t>
            </w:r>
          </w:p>
        </w:tc>
        <w:tc>
          <w:tcPr>
            <w:tcW w:w="1233" w:type="dxa"/>
          </w:tcPr>
          <w:p>
            <w:pPr>
              <w:pStyle w:val="Compact"/>
            </w:pPr>
            <w:r>
              <w:t xml:space="preserve">—</w:t>
            </w:r>
          </w:p>
        </w:tc>
        <w:tc>
          <w:tcPr>
            <w:tcW w:w="2429" w:type="dxa"/>
          </w:tcPr>
          <w:p>
            <w:pPr>
              <w:pStyle w:val="Compact"/>
            </w:pPr>
            <w:r>
              <w:t xml:space="preserve">—</w:t>
            </w:r>
          </w:p>
        </w:tc>
        <w:tc>
          <w:tcPr>
            <w:tcW w:w="1366" w:type="dxa"/>
          </w:tcPr>
          <w:p>
            <w:pPr>
              <w:pStyle w:val="Compact"/>
            </w:pPr>
            <w:r>
              <w:t xml:space="preserve">p = 0,25</w:t>
            </w:r>
          </w:p>
        </w:tc>
        <w:tc>
          <w:tcPr>
            <w:tcW w:w="1310" w:type="dxa"/>
          </w:tcPr>
          <w:p>
            <w:pPr>
              <w:pStyle w:val="Compact"/>
            </w:pPr>
            <w:r>
              <w:t xml:space="preserve">—</w:t>
            </w:r>
          </w:p>
        </w:tc>
      </w:tr>
    </w:tbl>
    <w:bookmarkEnd w:id="178"/>
    <w:bookmarkStart w:id="184" w:name="metabric-n-1-936-dss"/>
    <w:p>
      <w:pPr>
        <w:pStyle w:val="Heading3"/>
      </w:pPr>
      <w:r>
        <w:t xml:space="preserve">4.7.2 METABRIC (N = 1 936; DSS)</w:t>
      </w:r>
    </w:p>
    <w:p>
      <w:pPr>
        <w:jc w:val="left"/>
        <w:spacing w:before="200"/>
        <w:pStyle w:val="ImageCaption"/>
      </w:pPr>
      <w:bookmarkStart w:id="179" w:name="tbl-er-subgroup"/>
      <w:r>
        <w:t xml:space="preserve">Tabela 16 — Análise de subgrupo por status de RE</w:t>
      </w:r>
    </w:p>
    <w:tbl>
      <w:tblPr>
        <w:tblStyle w:val="Table"/>
        <w:tblW w:type="auto" w:w="0"/>
        <w:tblLook w:firstRow="1" w:lastRow="0" w:firstColumn="0" w:lastColumn="0" w:noHBand="0" w:noVBand="0" w:val="0020"/>
      </w:tblPr>
      <w:tblGrid>
        <w:gridCol w:w="1622"/>
        <w:gridCol w:w="889"/>
        <w:gridCol w:w="1133"/>
        <w:gridCol w:w="2233"/>
        <w:gridCol w:w="1988"/>
        <w:gridCol w:w="1205"/>
      </w:tblGrid>
      <w:tr>
        <w:trPr>
          <w:tblHeader w:val="on"/>
        </w:trPr>
        <w:tc>
          <w:tcPr>
            <w:tcW w:w="1622" w:type="dxa"/>
          </w:tcPr>
          <w:p>
            <w:pPr>
              <w:pStyle w:val="Compact"/>
              <w:jc w:val="center"/>
            </w:pPr>
            <w:r>
              <w:t xml:space="preserve">Subgrupo</w:t>
            </w:r>
          </w:p>
        </w:tc>
        <w:tc>
          <w:tcPr>
            <w:tcW w:w="889" w:type="dxa"/>
          </w:tcPr>
          <w:p>
            <w:pPr>
              <w:pStyle w:val="Compact"/>
              <w:jc w:val="center"/>
            </w:pPr>
            <w:r>
              <w:t xml:space="preserve">N</w:t>
            </w:r>
          </w:p>
        </w:tc>
        <w:tc>
          <w:tcPr>
            <w:tcW w:w="1133" w:type="dxa"/>
          </w:tcPr>
          <w:p>
            <w:pPr>
              <w:pStyle w:val="Compact"/>
              <w:jc w:val="center"/>
            </w:pPr>
            <w:r>
              <w:t xml:space="preserve">Eventos</w:t>
            </w:r>
          </w:p>
        </w:tc>
        <w:tc>
          <w:tcPr>
            <w:tcW w:w="2233" w:type="dxa"/>
          </w:tcPr>
          <w:p>
            <w:pPr>
              <w:pStyle w:val="Compact"/>
              <w:jc w:val="center"/>
            </w:pPr>
            <w:r>
              <w:t xml:space="preserve">HR (IC 95%)</w:t>
            </w:r>
          </w:p>
        </w:tc>
        <w:tc>
          <w:tcPr>
            <w:tcW w:w="1988" w:type="dxa"/>
          </w:tcPr>
          <w:p>
            <w:pPr>
              <w:pStyle w:val="Compact"/>
              <w:jc w:val="center"/>
            </w:pPr>
            <w:r>
              <w:t xml:space="preserve">p</w:t>
            </w:r>
          </w:p>
        </w:tc>
        <w:tc>
          <w:tcPr>
            <w:tcW w:w="1205" w:type="dxa"/>
          </w:tcPr>
          <w:p>
            <w:pPr>
              <w:pStyle w:val="Compact"/>
              <w:jc w:val="center"/>
            </w:pPr>
            <w:r>
              <w:rPr>
                <w:i/>
                <w:iCs/>
              </w:rPr>
              <w:t xml:space="preserve">C-index</w:t>
            </w:r>
          </w:p>
        </w:tc>
      </w:tr>
      <w:tr>
        <w:tc>
          <w:tcPr>
            <w:tcW w:w="1622" w:type="dxa"/>
          </w:tcPr>
          <w:p>
            <w:pPr>
              <w:pStyle w:val="Compact"/>
              <w:jc w:val="center"/>
            </w:pPr>
            <w:r>
              <w:t xml:space="preserve">RE-positivo</w:t>
            </w:r>
          </w:p>
        </w:tc>
        <w:tc>
          <w:tcPr>
            <w:tcW w:w="889" w:type="dxa"/>
          </w:tcPr>
          <w:p>
            <w:pPr>
              <w:pStyle w:val="Compact"/>
              <w:jc w:val="center"/>
            </w:pPr>
            <w:r>
              <w:t xml:space="preserve">1 497</w:t>
            </w:r>
          </w:p>
        </w:tc>
        <w:tc>
          <w:tcPr>
            <w:tcW w:w="1133" w:type="dxa"/>
          </w:tcPr>
          <w:p>
            <w:pPr>
              <w:pStyle w:val="Compact"/>
              <w:jc w:val="center"/>
            </w:pPr>
            <w:r>
              <w:t xml:space="preserve">460</w:t>
            </w:r>
          </w:p>
        </w:tc>
        <w:tc>
          <w:tcPr>
            <w:tcW w:w="2233" w:type="dxa"/>
          </w:tcPr>
          <w:p>
            <w:pPr>
              <w:pStyle w:val="Compact"/>
              <w:jc w:val="center"/>
            </w:pPr>
            <w:r>
              <w:t xml:space="preserve">1,59 (1,44-1,76)</w:t>
            </w:r>
          </w:p>
        </w:tc>
        <w:tc>
          <w:tcPr>
            <w:tcW w:w="1988" w:type="dxa"/>
          </w:tcPr>
          <w:p>
            <w:pPr>
              <w:pStyle w:val="Compact"/>
              <w:jc w:val="center"/>
            </w:pPr>
            <w:r>
              <w:t xml:space="preserve">&lt;0,001</w:t>
            </w:r>
          </w:p>
        </w:tc>
        <w:tc>
          <w:tcPr>
            <w:tcW w:w="1205" w:type="dxa"/>
          </w:tcPr>
          <w:p>
            <w:pPr>
              <w:pStyle w:val="Compact"/>
              <w:jc w:val="center"/>
            </w:pPr>
            <w:r>
              <w:t xml:space="preserve">0,638</w:t>
            </w:r>
          </w:p>
        </w:tc>
      </w:tr>
      <w:tr>
        <w:tc>
          <w:tcPr>
            <w:tcW w:w="1622" w:type="dxa"/>
          </w:tcPr>
          <w:p>
            <w:pPr>
              <w:pStyle w:val="Compact"/>
              <w:jc w:val="center"/>
            </w:pPr>
            <w:r>
              <w:t xml:space="preserve">RE-negativo</w:t>
            </w:r>
          </w:p>
        </w:tc>
        <w:tc>
          <w:tcPr>
            <w:tcW w:w="889" w:type="dxa"/>
          </w:tcPr>
          <w:p>
            <w:pPr>
              <w:pStyle w:val="Compact"/>
              <w:jc w:val="center"/>
            </w:pPr>
            <w:r>
              <w:t xml:space="preserve">439</w:t>
            </w:r>
          </w:p>
        </w:tc>
        <w:tc>
          <w:tcPr>
            <w:tcW w:w="1133" w:type="dxa"/>
          </w:tcPr>
          <w:p>
            <w:pPr>
              <w:pStyle w:val="Compact"/>
              <w:jc w:val="center"/>
            </w:pPr>
            <w:r>
              <w:t xml:space="preserve">186</w:t>
            </w:r>
          </w:p>
        </w:tc>
        <w:tc>
          <w:tcPr>
            <w:tcW w:w="2233" w:type="dxa"/>
          </w:tcPr>
          <w:p>
            <w:pPr>
              <w:pStyle w:val="Compact"/>
              <w:jc w:val="center"/>
            </w:pPr>
            <w:r>
              <w:t xml:space="preserve">0,97 (0,82-1,15)</w:t>
            </w:r>
          </w:p>
        </w:tc>
        <w:tc>
          <w:tcPr>
            <w:tcW w:w="1988" w:type="dxa"/>
          </w:tcPr>
          <w:p>
            <w:pPr>
              <w:pStyle w:val="Compact"/>
              <w:jc w:val="center"/>
            </w:pPr>
            <w:r>
              <w:t xml:space="preserve">0,75</w:t>
            </w:r>
          </w:p>
        </w:tc>
        <w:tc>
          <w:tcPr>
            <w:tcW w:w="1205" w:type="dxa"/>
          </w:tcPr>
          <w:p>
            <w:pPr>
              <w:pStyle w:val="Compact"/>
              <w:jc w:val="center"/>
            </w:pPr>
            <w:r>
              <w:t xml:space="preserve">0,502</w:t>
            </w:r>
          </w:p>
        </w:tc>
      </w:tr>
      <w:tr>
        <w:tc>
          <w:tcPr>
            <w:tcW w:w="1622" w:type="dxa"/>
          </w:tcPr>
          <w:p>
            <w:pPr>
              <w:pStyle w:val="Compact"/>
              <w:jc w:val="center"/>
            </w:pPr>
            <w:r>
              <w:t xml:space="preserve">Interação</w:t>
            </w:r>
          </w:p>
        </w:tc>
        <w:tc>
          <w:tcPr>
            <w:tcW w:w="889" w:type="dxa"/>
          </w:tcPr>
          <w:p>
            <w:pPr>
              <w:pStyle w:val="Compact"/>
              <w:jc w:val="center"/>
            </w:pPr>
            <w:r>
              <w:t xml:space="preserve">—</w:t>
            </w:r>
          </w:p>
        </w:tc>
        <w:tc>
          <w:tcPr>
            <w:tcW w:w="1133" w:type="dxa"/>
          </w:tcPr>
          <w:p>
            <w:pPr>
              <w:pStyle w:val="Compact"/>
              <w:jc w:val="center"/>
            </w:pPr>
            <w:r>
              <w:t xml:space="preserve">—</w:t>
            </w:r>
          </w:p>
        </w:tc>
        <w:tc>
          <w:tcPr>
            <w:tcW w:w="2233" w:type="dxa"/>
          </w:tcPr>
          <w:p>
            <w:pPr>
              <w:pStyle w:val="Compact"/>
              <w:jc w:val="center"/>
            </w:pPr>
            <w:r>
              <w:t xml:space="preserve">—</w:t>
            </w:r>
          </w:p>
        </w:tc>
        <w:tc>
          <w:tcPr>
            <w:tcW w:w="1988" w:type="dxa"/>
          </w:tcPr>
          <w:p>
            <w:pPr>
              <w:pStyle w:val="Compact"/>
              <w:jc w:val="center"/>
            </w:pPr>
            <w:r>
              <w:t xml:space="preserve">p = 3,2 x 10</w:t>
            </w:r>
            <w:r>
              <w:rPr>
                <w:vertAlign w:val="superscript"/>
              </w:rPr>
              <w:t xml:space="preserve">-7</w:t>
            </w:r>
          </w:p>
        </w:tc>
        <w:tc>
          <w:tcPr>
            <w:tcW w:w="1205" w:type="dxa"/>
          </w:tcPr>
          <w:p>
            <w:pPr>
              <w:pStyle w:val="Compact"/>
              <w:jc w:val="center"/>
            </w:pPr>
            <w:r>
              <w:t xml:space="preserve">—</w:t>
            </w:r>
          </w:p>
        </w:tc>
      </w:tr>
    </w:tbl>
    <w:bookmarkEnd w:id="179"/>
    <w:p/>
    <w:bookmarkStart w:id="183" w:name="fig-er-forest"/>
    <w:p>
      <w:pPr>
        <w:pStyle w:val="Compact"/>
        <w:jc w:val="center"/>
      </w:pPr>
      <w:r>
        <w:drawing>
          <wp:inline>
            <wp:extent cx="5687999" cy="3412799"/>
            <wp:effectExtent b="0" l="0" r="0" t="0"/>
            <wp:docPr descr="" title="" id="181" name="Picture"/>
            <a:graphic>
              <a:graphicData uri="http://schemas.openxmlformats.org/drawingml/2006/picture">
                <pic:pic>
                  <pic:nvPicPr>
                    <pic:cNvPr descr="../figures/supp/pt/png/FigS_ER_Stratified_Forest_PT.png" id="182" name="Picture"/>
                    <pic:cNvPicPr>
                      <a:picLocks noChangeArrowheads="1" noChangeAspect="1"/>
                    </pic:cNvPicPr>
                  </pic:nvPicPr>
                  <pic:blipFill>
                    <a:blip r:embed="rId180"/>
                    <a:stretch>
                      <a:fillRect/>
                    </a:stretch>
                  </pic:blipFill>
                  <pic:spPr bwMode="auto">
                    <a:xfrm>
                      <a:off x="0" y="0"/>
                      <a:ext cx="5687999" cy="3412799"/>
                    </a:xfrm>
                    <a:prstGeom prst="rect">
                      <a:avLst/>
                    </a:prstGeom>
                    <a:noFill/>
                    <a:ln w="9525">
                      <a:noFill/>
                      <a:headEnd/>
                      <a:tailEnd/>
                    </a:ln>
                  </pic:spPr>
                </pic:pic>
              </a:graphicData>
            </a:graphic>
          </wp:inline>
        </w:drawing>
      </w:r>
    </w:p>
    <w:p>
      <w:pPr>
        <w:jc w:val="left"/>
        <w:spacing w:before="200"/>
        <w:pStyle w:val="ImageCaption"/>
      </w:pPr>
      <w:r>
        <w:t xml:space="preserve">Figura 22 — Forest plot de subgrupos por status de receptor de estrogênio (ER-positivo e ER-negativo). No METABRIC (análise com maior poder), o sinal prognóstico está fortemente concentrado em RE+ (HR = 1,59) com ausência de sinal em RE- (HR = 0,97).</w:t>
      </w:r>
    </w:p>
    <w:bookmarkEnd w:id="183"/>
    <w:p>
      <w:pPr>
        <w:pStyle w:val="BodyText"/>
      </w:pPr>
      <w:r>
        <w:t xml:space="preserve">Na</w:t>
      </w:r>
      <w:r>
        <w:t xml:space="preserve"> </w:t>
      </w:r>
      <w:hyperlink w:anchor="fig-er-forest">
        <w:r>
          <w:rPr>
            <w:rStyle w:val="Hyperlink"/>
            <w:color w:val="0563C1"/>
            <w:u w:val="single"/>
          </w:rPr>
          <w:t xml:space="preserve">Figura 22</w:t>
        </w:r>
      </w:hyperlink>
      <w:r>
        <w:t xml:space="preserve">, a linha vertical em HR = 1 marca ausência de associação. Pontos à direita indicam que maior CorePAM se associa a maior risco. Em SCAN-B, os pontos de RE+ e RE- ficam à direita, sugerindo sinal em ambos os subgrupos, embora o subgrupo RE- seja pequeno e tenha maior incerteza. Em METABRIC, a diferença fica mais clara: o ponto de RE+ está nitidamente à direita, enquanto o de RE- fica próximo de 1. Essa figura ajuda a colocar o CorePAM na prática clínica correta. Assim como</w:t>
      </w:r>
      <w:r>
        <w:t xml:space="preserve"> </w:t>
      </w:r>
      <w:r>
        <w:rPr>
          <w:i/>
          <w:iCs/>
        </w:rPr>
        <w:t xml:space="preserve">OncotypeDX</w:t>
      </w:r>
      <w:r>
        <w:t xml:space="preserve">,</w:t>
      </w:r>
      <w:r>
        <w:t xml:space="preserve"> </w:t>
      </w:r>
      <w:r>
        <w:rPr>
          <w:i/>
          <w:iCs/>
        </w:rPr>
        <w:t xml:space="preserve">Prosigna</w:t>
      </w:r>
      <w:r>
        <w:t xml:space="preserve"> </w:t>
      </w:r>
      <w:r>
        <w:t xml:space="preserve">e</w:t>
      </w:r>
      <w:r>
        <w:t xml:space="preserve"> </w:t>
      </w:r>
      <w:r>
        <w:rPr>
          <w:i/>
          <w:iCs/>
        </w:rPr>
        <w:t xml:space="preserve">EndoPredict</w:t>
      </w:r>
      <w:r>
        <w:t xml:space="preserve"> </w:t>
      </w:r>
      <w:r>
        <w:t xml:space="preserve">têm uso mais consolidado em doença RE+/HER2-, o CorePAM parece mais informativo no eixo luminal, onde proliferação e diferenciação hormonal modulam risco tardio e decisão de quimioterapia.</w:t>
      </w:r>
    </w:p>
    <w:bookmarkEnd w:id="184"/>
    <w:bookmarkEnd w:id="185"/>
    <w:bookmarkStart w:id="207" w:name="resposta-patológica-completa-pcr"/>
    <w:p>
      <w:pPr>
        <w:pageBreakBefore/>
        <w:pStyle w:val="Heading2"/>
      </w:pPr>
      <w:r>
        <w:t xml:space="preserve">4.8 Resposta patológica completa (pCR)</w:t>
      </w:r>
    </w:p>
    <w:p>
      <w:pPr>
        <w:pStyle w:val="FirstParagraph"/>
      </w:pPr>
      <w:r>
        <w:t xml:space="preserve">A</w:t>
      </w:r>
      <w:r>
        <w:t xml:space="preserve"> </w:t>
      </w:r>
      <w:hyperlink w:anchor="tbl-pcr">
        <w:r>
          <w:rPr>
            <w:rStyle w:val="Hyperlink"/>
            <w:color w:val="0563C1"/>
            <w:u w:val="single"/>
          </w:rPr>
          <w:t xml:space="preserve">Tabela 17</w:t>
        </w:r>
      </w:hyperlink>
      <w:r>
        <w:t xml:space="preserve"> </w:t>
      </w:r>
      <w:r>
        <w:t xml:space="preserve">e a</w:t>
      </w:r>
      <w:r>
        <w:t xml:space="preserve"> </w:t>
      </w:r>
      <w:hyperlink w:anchor="fig-pcr-forest">
        <w:r>
          <w:rPr>
            <w:rStyle w:val="Hyperlink"/>
            <w:color w:val="0563C1"/>
            <w:u w:val="single"/>
          </w:rPr>
          <w:t xml:space="preserve">Figura 23</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w:t>
      </w:r>
      <w:r>
        <w:t xml:space="preserve"> </w:t>
      </w:r>
      <w:r>
        <w:rPr>
          <w:i/>
          <w:iCs/>
        </w:rPr>
        <w:t xml:space="preserve">microarray</w:t>
      </w:r>
      <w:r>
        <w:t xml:space="preserve"> </w:t>
      </w:r>
      <w:r>
        <w:t xml:space="preserve">diferentes (Affymetrix e Agilent). A</w:t>
      </w:r>
      <w:r>
        <w:t xml:space="preserve"> </w:t>
      </w:r>
      <w:hyperlink w:anchor="fig-pcr-roc">
        <w:r>
          <w:rPr>
            <w:rStyle w:val="Hyperlink"/>
            <w:color w:val="0563C1"/>
            <w:u w:val="single"/>
          </w:rPr>
          <w:t xml:space="preserve">Figura 24</w:t>
        </w:r>
      </w:hyperlink>
      <w:r>
        <w:t xml:space="preserve">, a</w:t>
      </w:r>
      <w:r>
        <w:t xml:space="preserve"> </w:t>
      </w:r>
      <w:hyperlink w:anchor="fig-pcr-dist">
        <w:r>
          <w:rPr>
            <w:rStyle w:val="Hyperlink"/>
            <w:color w:val="0563C1"/>
            <w:u w:val="single"/>
          </w:rPr>
          <w:t xml:space="preserve">Figura 25</w:t>
        </w:r>
      </w:hyperlink>
      <w:r>
        <w:t xml:space="preserve"> </w:t>
      </w:r>
      <w:r>
        <w:t xml:space="preserve">e a</w:t>
      </w:r>
      <w:r>
        <w:t xml:space="preserve"> </w:t>
      </w:r>
      <w:hyperlink w:anchor="fig-pcr-quartile">
        <w:r>
          <w:rPr>
            <w:rStyle w:val="Hyperlink"/>
            <w:color w:val="0563C1"/>
            <w:u w:val="single"/>
          </w:rPr>
          <w:t xml:space="preserve">Figura 26</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86" w:name="tbl-pcr"/>
      <w:r>
        <w:t xml:space="preserve">Tabela 17 — Predição de pCR por coorte neoadjuvante. I-quadrado = 0%.</w:t>
      </w:r>
    </w:p>
    <w:tbl>
      <w:tblPr>
        <w:tblStyle w:val="Table"/>
        <w:tblW w:type="dxa" w:w="9070"/>
        <w:tblLayout w:type="fixed"/>
        <w:tblLook w:firstRow="1" w:lastRow="0" w:firstColumn="0" w:lastColumn="0" w:noHBand="0" w:noVBand="0" w:val="0020"/>
      </w:tblPr>
      <w:tblGrid>
        <w:gridCol w:w="2043"/>
        <w:gridCol w:w="650"/>
        <w:gridCol w:w="1149"/>
        <w:gridCol w:w="2151"/>
        <w:gridCol w:w="1289"/>
        <w:gridCol w:w="1788"/>
      </w:tblGrid>
      <w:tr>
        <w:trPr>
          <w:tblHeader w:val="on"/>
        </w:trPr>
        <w:tc>
          <w:tcPr>
            <w:tcW w:w="2043" w:type="dxa"/>
          </w:tcPr>
          <w:p>
            <w:pPr>
              <w:pStyle w:val="Compact"/>
              <w:jc w:val="center"/>
            </w:pPr>
            <w:r>
              <w:t xml:space="preserve">Coorte</w:t>
            </w:r>
          </w:p>
        </w:tc>
        <w:tc>
          <w:tcPr>
            <w:tcW w:w="650" w:type="dxa"/>
          </w:tcPr>
          <w:p>
            <w:pPr>
              <w:pStyle w:val="Compact"/>
              <w:jc w:val="center"/>
            </w:pPr>
            <w:r>
              <w:t xml:space="preserve">N</w:t>
            </w:r>
          </w:p>
        </w:tc>
        <w:tc>
          <w:tcPr>
            <w:tcW w:w="1149" w:type="dxa"/>
          </w:tcPr>
          <w:p>
            <w:pPr>
              <w:pStyle w:val="Compact"/>
              <w:jc w:val="center"/>
            </w:pPr>
            <w:r>
              <w:t xml:space="preserve">pCR n (%)</w:t>
            </w:r>
          </w:p>
        </w:tc>
        <w:tc>
          <w:tcPr>
            <w:tcW w:w="2151" w:type="dxa"/>
          </w:tcPr>
          <w:p>
            <w:pPr>
              <w:pStyle w:val="Compact"/>
              <w:jc w:val="center"/>
            </w:pPr>
            <w:r>
              <w:t xml:space="preserve">OR por 1 DP (IC 95%)</w:t>
            </w:r>
          </w:p>
        </w:tc>
        <w:tc>
          <w:tcPr>
            <w:tcW w:w="1289" w:type="dxa"/>
          </w:tcPr>
          <w:p>
            <w:pPr>
              <w:pStyle w:val="Compact"/>
              <w:jc w:val="center"/>
            </w:pPr>
            <w:r>
              <w:t xml:space="preserve">p</w:t>
            </w:r>
          </w:p>
        </w:tc>
        <w:tc>
          <w:tcPr>
            <w:tcW w:w="1788" w:type="dxa"/>
          </w:tcPr>
          <w:p>
            <w:pPr>
              <w:pStyle w:val="Compact"/>
              <w:jc w:val="center"/>
            </w:pPr>
            <w:r>
              <w:t xml:space="preserve">AUC (IC 95%)</w:t>
            </w:r>
          </w:p>
        </w:tc>
      </w:tr>
      <w:tr>
        <w:tc>
          <w:tcPr>
            <w:tcW w:w="2043" w:type="dxa"/>
          </w:tcPr>
          <w:p>
            <w:pPr>
              <w:pStyle w:val="Compact"/>
              <w:jc w:val="center"/>
            </w:pPr>
            <w:r>
              <w:t xml:space="preserve">GSE25066</w:t>
            </w:r>
          </w:p>
        </w:tc>
        <w:tc>
          <w:tcPr>
            <w:tcW w:w="650" w:type="dxa"/>
          </w:tcPr>
          <w:p>
            <w:pPr>
              <w:pStyle w:val="Compact"/>
              <w:jc w:val="center"/>
            </w:pPr>
            <w:r>
              <w:t xml:space="preserve">182</w:t>
            </w:r>
          </w:p>
        </w:tc>
        <w:tc>
          <w:tcPr>
            <w:tcW w:w="1149" w:type="dxa"/>
          </w:tcPr>
          <w:p>
            <w:pPr>
              <w:pStyle w:val="Compact"/>
              <w:jc w:val="center"/>
            </w:pPr>
            <w:r>
              <w:t xml:space="preserve">42 (23,1%)</w:t>
            </w:r>
          </w:p>
        </w:tc>
        <w:tc>
          <w:tcPr>
            <w:tcW w:w="2151" w:type="dxa"/>
          </w:tcPr>
          <w:p>
            <w:pPr>
              <w:pStyle w:val="Compact"/>
              <w:jc w:val="center"/>
            </w:pPr>
            <w:r>
              <w:t xml:space="preserve">1,44 (0,98-2,09)</w:t>
            </w:r>
          </w:p>
        </w:tc>
        <w:tc>
          <w:tcPr>
            <w:tcW w:w="1289" w:type="dxa"/>
          </w:tcPr>
          <w:p>
            <w:pPr>
              <w:pStyle w:val="Compact"/>
              <w:jc w:val="center"/>
            </w:pPr>
            <w:r>
              <w:t xml:space="preserve">0,060</w:t>
            </w:r>
          </w:p>
        </w:tc>
        <w:tc>
          <w:tcPr>
            <w:tcW w:w="1788" w:type="dxa"/>
          </w:tcPr>
          <w:p>
            <w:pPr>
              <w:pStyle w:val="Compact"/>
              <w:jc w:val="center"/>
            </w:pPr>
            <w:r>
              <w:t xml:space="preserve">0,576 (0,477-0,676)</w:t>
            </w:r>
          </w:p>
        </w:tc>
      </w:tr>
      <w:tr>
        <w:tc>
          <w:tcPr>
            <w:tcW w:w="2043" w:type="dxa"/>
          </w:tcPr>
          <w:p>
            <w:pPr>
              <w:pStyle w:val="Compact"/>
              <w:jc w:val="center"/>
            </w:pPr>
            <w:r>
              <w:t xml:space="preserve">GSE20194</w:t>
            </w:r>
          </w:p>
        </w:tc>
        <w:tc>
          <w:tcPr>
            <w:tcW w:w="650" w:type="dxa"/>
          </w:tcPr>
          <w:p>
            <w:pPr>
              <w:pStyle w:val="Compact"/>
              <w:jc w:val="center"/>
            </w:pPr>
            <w:r>
              <w:t xml:space="preserve">278</w:t>
            </w:r>
          </w:p>
        </w:tc>
        <w:tc>
          <w:tcPr>
            <w:tcW w:w="1149" w:type="dxa"/>
          </w:tcPr>
          <w:p>
            <w:pPr>
              <w:pStyle w:val="Compact"/>
              <w:jc w:val="center"/>
            </w:pPr>
            <w:r>
              <w:t xml:space="preserve">56 (20,1%)</w:t>
            </w:r>
          </w:p>
        </w:tc>
        <w:tc>
          <w:tcPr>
            <w:tcW w:w="2151" w:type="dxa"/>
          </w:tcPr>
          <w:p>
            <w:pPr>
              <w:pStyle w:val="Compact"/>
              <w:jc w:val="center"/>
            </w:pPr>
            <w:r>
              <w:t xml:space="preserve">1,73 (1,25-2,38)</w:t>
            </w:r>
          </w:p>
        </w:tc>
        <w:tc>
          <w:tcPr>
            <w:tcW w:w="1289" w:type="dxa"/>
          </w:tcPr>
          <w:p>
            <w:pPr>
              <w:pStyle w:val="Compact"/>
              <w:jc w:val="center"/>
            </w:pPr>
            <w:r>
              <w:t xml:space="preserve">&lt;0,001</w:t>
            </w:r>
          </w:p>
        </w:tc>
        <w:tc>
          <w:tcPr>
            <w:tcW w:w="1788" w:type="dxa"/>
          </w:tcPr>
          <w:p>
            <w:pPr>
              <w:pStyle w:val="Compact"/>
              <w:jc w:val="center"/>
            </w:pPr>
            <w:r>
              <w:t xml:space="preserve">0,660 (0,586-0,734)</w:t>
            </w:r>
          </w:p>
        </w:tc>
      </w:tr>
      <w:tr>
        <w:tc>
          <w:tcPr>
            <w:tcW w:w="2043" w:type="dxa"/>
          </w:tcPr>
          <w:p>
            <w:pPr>
              <w:pStyle w:val="Compact"/>
              <w:jc w:val="center"/>
            </w:pPr>
            <w:r>
              <w:t xml:space="preserve">GSE32646</w:t>
            </w:r>
          </w:p>
        </w:tc>
        <w:tc>
          <w:tcPr>
            <w:tcW w:w="650" w:type="dxa"/>
          </w:tcPr>
          <w:p>
            <w:pPr>
              <w:pStyle w:val="Compact"/>
              <w:jc w:val="center"/>
            </w:pPr>
            <w:r>
              <w:t xml:space="preserve">115</w:t>
            </w:r>
          </w:p>
        </w:tc>
        <w:tc>
          <w:tcPr>
            <w:tcW w:w="1149" w:type="dxa"/>
          </w:tcPr>
          <w:p>
            <w:pPr>
              <w:pStyle w:val="Compact"/>
              <w:jc w:val="center"/>
            </w:pPr>
            <w:r>
              <w:t xml:space="preserve">27 (23,5%)</w:t>
            </w:r>
          </w:p>
        </w:tc>
        <w:tc>
          <w:tcPr>
            <w:tcW w:w="2151" w:type="dxa"/>
          </w:tcPr>
          <w:p>
            <w:pPr>
              <w:pStyle w:val="Compact"/>
              <w:jc w:val="center"/>
            </w:pPr>
            <w:r>
              <w:t xml:space="preserve">2,10 (1,31-3,39)</w:t>
            </w:r>
          </w:p>
        </w:tc>
        <w:tc>
          <w:tcPr>
            <w:tcW w:w="1289" w:type="dxa"/>
          </w:tcPr>
          <w:p>
            <w:pPr>
              <w:pStyle w:val="Compact"/>
              <w:jc w:val="center"/>
            </w:pPr>
            <w:r>
              <w:t xml:space="preserve">0,002</w:t>
            </w:r>
          </w:p>
        </w:tc>
        <w:tc>
          <w:tcPr>
            <w:tcW w:w="1788" w:type="dxa"/>
          </w:tcPr>
          <w:p>
            <w:pPr>
              <w:pStyle w:val="Compact"/>
              <w:jc w:val="center"/>
            </w:pPr>
            <w:r>
              <w:t xml:space="preserve">0,716 (0,611-0,821)</w:t>
            </w:r>
          </w:p>
        </w:tc>
      </w:tr>
      <w:tr>
        <w:tc>
          <w:tcPr>
            <w:tcW w:w="2043" w:type="dxa"/>
          </w:tcPr>
          <w:p>
            <w:pPr>
              <w:pStyle w:val="Compact"/>
              <w:jc w:val="center"/>
            </w:pPr>
            <w:r>
              <w:t xml:space="preserve">I-SPY1</w:t>
            </w:r>
          </w:p>
        </w:tc>
        <w:tc>
          <w:tcPr>
            <w:tcW w:w="650" w:type="dxa"/>
          </w:tcPr>
          <w:p>
            <w:pPr>
              <w:pStyle w:val="Compact"/>
              <w:jc w:val="center"/>
            </w:pPr>
            <w:r>
              <w:t xml:space="preserve">122</w:t>
            </w:r>
          </w:p>
        </w:tc>
        <w:tc>
          <w:tcPr>
            <w:tcW w:w="1149" w:type="dxa"/>
          </w:tcPr>
          <w:p>
            <w:pPr>
              <w:pStyle w:val="Compact"/>
              <w:jc w:val="center"/>
            </w:pPr>
            <w:r>
              <w:t xml:space="preserve">32 (26,2%)</w:t>
            </w:r>
          </w:p>
        </w:tc>
        <w:tc>
          <w:tcPr>
            <w:tcW w:w="2151" w:type="dxa"/>
          </w:tcPr>
          <w:p>
            <w:pPr>
              <w:pStyle w:val="Compact"/>
              <w:jc w:val="center"/>
            </w:pPr>
            <w:r>
              <w:t xml:space="preserve">1,66 (1,05-2,63)</w:t>
            </w:r>
          </w:p>
        </w:tc>
        <w:tc>
          <w:tcPr>
            <w:tcW w:w="1289" w:type="dxa"/>
          </w:tcPr>
          <w:p>
            <w:pPr>
              <w:pStyle w:val="Compact"/>
              <w:jc w:val="center"/>
            </w:pPr>
            <w:r>
              <w:t xml:space="preserve">0,030</w:t>
            </w:r>
          </w:p>
        </w:tc>
        <w:tc>
          <w:tcPr>
            <w:tcW w:w="1788" w:type="dxa"/>
          </w:tcPr>
          <w:p>
            <w:pPr>
              <w:pStyle w:val="Compact"/>
              <w:jc w:val="center"/>
            </w:pPr>
            <w:r>
              <w:t xml:space="preserve">0,622 (0,517-0,726)</w:t>
            </w:r>
          </w:p>
        </w:tc>
      </w:tr>
      <w:tr>
        <w:tc>
          <w:tcPr>
            <w:tcW w:w="2043"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149" w:type="dxa"/>
          </w:tcPr>
          <w:p>
            <w:pPr>
              <w:pStyle w:val="Compact"/>
            </w:pPr>
          </w:p>
        </w:tc>
        <w:tc>
          <w:tcPr>
            <w:tcW w:w="2151" w:type="dxa"/>
          </w:tcPr>
          <w:p>
            <w:pPr>
              <w:pStyle w:val="Compact"/>
              <w:jc w:val="center"/>
            </w:pPr>
            <w:r>
              <w:rPr>
                <w:b/>
                <w:bCs/>
              </w:rPr>
              <w:t xml:space="preserve">1,69 (1,39-2,05)</w:t>
            </w:r>
          </w:p>
        </w:tc>
        <w:tc>
          <w:tcPr>
            <w:tcW w:w="1289" w:type="dxa"/>
          </w:tcPr>
          <w:p>
            <w:pPr>
              <w:pStyle w:val="Compact"/>
              <w:jc w:val="center"/>
            </w:pPr>
            <w:r>
              <w:rPr>
                <w:b/>
                <w:bCs/>
              </w:rPr>
              <w:t xml:space="preserve">1,9 x 10</w:t>
            </w:r>
            <w:r>
              <w:rPr>
                <w:b/>
                <w:bCs/>
                <w:vertAlign w:val="superscript"/>
              </w:rPr>
              <w:t xml:space="preserve">-7</w:t>
            </w:r>
          </w:p>
        </w:tc>
        <w:tc>
          <w:tcPr>
            <w:tcW w:w="1788" w:type="dxa"/>
          </w:tcPr>
          <w:p>
            <w:pPr>
              <w:pStyle w:val="Compact"/>
            </w:pPr>
          </w:p>
        </w:tc>
      </w:tr>
    </w:tbl>
    <w:bookmarkEnd w:id="186"/>
    <w:p/>
    <w:bookmarkStart w:id="190" w:name="fig-pcr-forest"/>
    <w:p>
      <w:pPr>
        <w:pStyle w:val="Compact"/>
        <w:jc w:val="center"/>
      </w:pPr>
      <w:r>
        <w:drawing>
          <wp:inline>
            <wp:extent cx="5687999" cy="3159999"/>
            <wp:effectExtent b="0" l="0" r="0" t="0"/>
            <wp:docPr descr="" title="" id="188" name="Picture"/>
            <a:graphic>
              <a:graphicData uri="http://schemas.openxmlformats.org/drawingml/2006/picture">
                <pic:pic>
                  <pic:nvPicPr>
                    <pic:cNvPr descr="../figures/pcr/pt/png/Fig_pCR1_Forest_OR_PT.png" id="189" name="Picture"/>
                    <pic:cNvPicPr>
                      <a:picLocks noChangeArrowheads="1" noChangeAspect="1"/>
                    </pic:cNvPicPr>
                  </pic:nvPicPr>
                  <pic:blipFill>
                    <a:blip r:embed="rId187"/>
                    <a:stretch>
                      <a:fillRect/>
                    </a:stretch>
                  </pic:blipFill>
                  <pic:spPr bwMode="auto">
                    <a:xfrm>
                      <a:off x="0" y="0"/>
                      <a:ext cx="5687999" cy="3159999"/>
                    </a:xfrm>
                    <a:prstGeom prst="rect">
                      <a:avLst/>
                    </a:prstGeom>
                    <a:noFill/>
                    <a:ln w="9525">
                      <a:noFill/>
                      <a:headEnd/>
                      <a:tailEnd/>
                    </a:ln>
                  </pic:spPr>
                </pic:pic>
              </a:graphicData>
            </a:graphic>
          </wp:inline>
        </w:drawing>
      </w:r>
    </w:p>
    <w:p>
      <w:pPr>
        <w:jc w:val="left"/>
        <w:spacing w:before="200"/>
        <w:pStyle w:val="ImageCaption"/>
      </w:pPr>
      <w:r>
        <w:t xml:space="preserve">Figura 23 — Forest plot de pCR (OR por 1-DP, K = 4 coortes primárias + I-SPY2 exploratória). Modelo de efeitos aleatórios. OR agrupado = 1,69 (IC 95% 1,39-2,05; p = 1,9 x 10^-7). I-quadrado = 0%, indicando consistência notável entre coortes de diferentes plataformas.</w:t>
      </w:r>
    </w:p>
    <w:bookmarkEnd w:id="190"/>
    <w:p>
      <w:pPr>
        <w:pStyle w:val="BodyText"/>
      </w:pPr>
      <w:r>
        <w:t xml:space="preserve">Na</w:t>
      </w:r>
      <w:r>
        <w:t xml:space="preserve"> </w:t>
      </w:r>
      <w:hyperlink w:anchor="fig-pcr-forest">
        <w:r>
          <w:rPr>
            <w:rStyle w:val="Hyperlink"/>
            <w:color w:val="0563C1"/>
            <w:u w:val="single"/>
          </w:rPr>
          <w:t xml:space="preserve">Figura 23</w:t>
        </w:r>
      </w:hyperlink>
      <w:r>
        <w:t xml:space="preserve">, cada linha corresponde a uma coorte neoadjuvante e o ponto mostra o aumento da chance de pCR para cada 1 desvio-padrão a mais no CorePAM. A linha vertical em OR = 1 indica ausência de associação. Todas as estimativas ficam à direita de 1, e o diamante agrupado resume OR = 1,69, com heterogeneidade I-quadrado = 0%. Esse padrão é clinicamente plausível: tumores mais proliferativos costumam ter pior prognóstico quando não erradicados, mas também podem responder melhor à quimioterapia citotóxica. É a mesma lógica observada na prática quando tumores biologicamente mais agressivos apresentam maior taxa de pCR, especialmente em fenótipos HER2-positivo e triplo-negativo, embora a tradução para decisão individual ainda exija validação prospectiva.</w:t>
      </w:r>
    </w:p>
    <w:p>
      <w:r>
        <w:br w:type="page"/>
      </w:r>
    </w:p>
    <w:p>
      <w:pPr>
        <w:pStyle w:val="Compact"/>
        <w:jc w:val="center"/>
      </w:pPr>
      <w:bookmarkStart w:id="194" w:name="fig-pcr-roc"/>
      <w:r>
        <w:drawing>
          <wp:inline>
            <wp:extent cx="5687999" cy="4976999"/>
            <wp:effectExtent b="0" l="0" r="0" t="0"/>
            <wp:docPr descr="" title="" id="192" name="Picture"/>
            <a:graphic>
              <a:graphicData uri="http://schemas.openxmlformats.org/drawingml/2006/picture">
                <pic:pic>
                  <pic:nvPicPr>
                    <pic:cNvPr descr="../figures/pcr/pt/png/Fig_pCR2_ROC_PT.png" id="193" name="Picture"/>
                    <pic:cNvPicPr>
                      <a:picLocks noChangeArrowheads="1" noChangeAspect="1"/>
                    </pic:cNvPicPr>
                  </pic:nvPicPr>
                  <pic:blipFill>
                    <a:blip r:embed="rId191"/>
                    <a:stretch>
                      <a:fillRect/>
                    </a:stretch>
                  </pic:blipFill>
                  <pic:spPr bwMode="auto">
                    <a:xfrm>
                      <a:off x="0" y="0"/>
                      <a:ext cx="5687999" cy="4976999"/>
                    </a:xfrm>
                    <a:prstGeom prst="rect">
                      <a:avLst/>
                    </a:prstGeom>
                    <a:noFill/>
                    <a:ln w="9525">
                      <a:noFill/>
                      <a:headEnd/>
                      <a:tailEnd/>
                    </a:ln>
                  </pic:spPr>
                </pic:pic>
              </a:graphicData>
            </a:graphic>
          </wp:inline>
        </w:drawing>
      </w:r>
    </w:p>
    <w:p>
      <w:pPr>
        <w:jc w:val="left"/>
        <w:spacing w:before="200"/>
        <w:pStyle w:val="ImageCaption"/>
      </w:pPr>
      <w:r>
        <w:t xml:space="preserve">Figura 24 — Curvas ROC para predição de pCR em cada coorte neoadjuvante. AUC variou de 0,576 (GSE25066) a 0,716 (GSE32646), indicando capacidade discriminativa moderada a boa — notável considerando que o escore foi derivado para sobrevida, não para pCR.</w:t>
      </w:r>
    </w:p>
    <w:bookmarkEnd w:id="194"/>
    <w:p>
      <w:pPr>
        <w:pStyle w:val="BodyText"/>
      </w:pPr>
      <w:r>
        <w:t xml:space="preserve">Na</w:t>
      </w:r>
      <w:r>
        <w:t xml:space="preserve"> </w:t>
      </w:r>
      <w:hyperlink w:anchor="fig-pcr-roc">
        <w:r>
          <w:rPr>
            <w:rStyle w:val="Hyperlink"/>
            <w:color w:val="0563C1"/>
            <w:u w:val="single"/>
          </w:rPr>
          <w:t xml:space="preserve">Figura 24</w:t>
        </w:r>
      </w:hyperlink>
      <w:r>
        <w:t xml:space="preserve">, cada curva mostra a capacidade do escore de separar pacientes que atingiram pCR daquelas que não atingiram. A diagonal de referência representa desempenho ao acaso; curvas acima dela indicam discriminação. As AUCs entre 0,58 e 0,72 são moderadas, não definitivas, mas relevantes porque o CorePAM não foi criado para pCR. Em termos clínicos, isso significa que o escore sozinho não deve decidir neoadjuvância, mas carrega informação compatível com quimiossensibilidade. Essa leitura é parecida com a de Ki67: útil para compor o quadro, insuficiente como juiz único.</w:t>
      </w:r>
    </w:p>
    <w:p>
      <w:r>
        <w:br w:type="page"/>
      </w:r>
    </w:p>
    <w:p>
      <w:pPr>
        <w:pStyle w:val="Compact"/>
        <w:jc w:val="center"/>
      </w:pPr>
      <w:bookmarkStart w:id="198" w:name="fig-pcr-dist"/>
      <w:r>
        <w:drawing>
          <wp:inline>
            <wp:extent cx="5687999" cy="4265999"/>
            <wp:effectExtent b="0" l="0" r="0" t="0"/>
            <wp:docPr descr="" title="" id="196" name="Picture"/>
            <a:graphic>
              <a:graphicData uri="http://schemas.openxmlformats.org/drawingml/2006/picture">
                <pic:pic>
                  <pic:nvPicPr>
                    <pic:cNvPr descr="../figures/pcr/pt/png/Fig_pCR4_ScoreDist_PT.png" id="197" name="Picture"/>
                    <pic:cNvPicPr>
                      <a:picLocks noChangeArrowheads="1" noChangeAspect="1"/>
                    </pic:cNvPicPr>
                  </pic:nvPicPr>
                  <pic:blipFill>
                    <a:blip r:embed="rId195"/>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25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8"/>
    <w:p>
      <w:pPr>
        <w:pStyle w:val="BodyText"/>
      </w:pPr>
      <w:r>
        <w:t xml:space="preserve">Na</w:t>
      </w:r>
      <w:r>
        <w:t xml:space="preserve"> </w:t>
      </w:r>
      <w:hyperlink w:anchor="fig-pcr-dist">
        <w:r>
          <w:rPr>
            <w:rStyle w:val="Hyperlink"/>
            <w:color w:val="0563C1"/>
            <w:u w:val="single"/>
          </w:rPr>
          <w:t xml:space="preserve">Figura 25</w:t>
        </w:r>
      </w:hyperlink>
      <w:r>
        <w:t xml:space="preserve">, o eixo horizontal é o escore CorePAM e as distribuições comparam pacientes com e sem pCR. O deslocamento das pacientes com pCR para escores mais altos mostra que o achado não depende apenas de um ponto de corte arbitrário; há mudança global da distribuição. Quando as curvas se sobrepõem, isso indica incerteza individual: muitas pacientes sem pCR também têm escore alto, e algumas com pCR têm escore baixo. Essa sobreposição é esperada em oncologia, porque resposta à quimioterapia depende de múltiplas dimensões além de proliferação, como subtipo, imunidade tumoral, reparo de DNA, esquema terapêutico e resistência farmacológica.</w:t>
      </w:r>
    </w:p>
    <w:p>
      <w:r>
        <w:br w:type="page"/>
      </w:r>
    </w:p>
    <w:p>
      <w:pPr>
        <w:pStyle w:val="Compact"/>
        <w:jc w:val="center"/>
      </w:pPr>
      <w:bookmarkStart w:id="202" w:name="fig-pcr-quartile"/>
      <w:r>
        <w:drawing>
          <wp:inline>
            <wp:extent cx="5687999" cy="3554999"/>
            <wp:effectExtent b="0" l="0" r="0" t="0"/>
            <wp:docPr descr="" title="" id="200" name="Picture"/>
            <a:graphic>
              <a:graphicData uri="http://schemas.openxmlformats.org/drawingml/2006/picture">
                <pic:pic>
                  <pic:nvPicPr>
                    <pic:cNvPr descr="../figures/pcr/pt/png/Fig_pCR3_QuartileRate_PT.png" id="201" name="Picture"/>
                    <pic:cNvPicPr>
                      <a:picLocks noChangeArrowheads="1" noChangeAspect="1"/>
                    </pic:cNvPicPr>
                  </pic:nvPicPr>
                  <pic:blipFill>
                    <a:blip r:embed="rId199"/>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26 — Taxa de pCR por quartil do escore CorePAM em cada coorte neoadjuvante. Gradiente dose-resposta consistente: quartis mais altos associados a maiores taxas de pCR.</w:t>
      </w:r>
    </w:p>
    <w:bookmarkEnd w:id="202"/>
    <w:p>
      <w:pPr>
        <w:pStyle w:val="BodyText"/>
      </w:pPr>
      <w:r>
        <w:t xml:space="preserve">Na</w:t>
      </w:r>
      <w:r>
        <w:t xml:space="preserve"> </w:t>
      </w:r>
      <w:hyperlink w:anchor="fig-pcr-quartile">
        <w:r>
          <w:rPr>
            <w:rStyle w:val="Hyperlink"/>
            <w:color w:val="0563C1"/>
            <w:u w:val="single"/>
          </w:rPr>
          <w:t xml:space="preserve">Figura 26</w:t>
        </w:r>
      </w:hyperlink>
      <w:r>
        <w:t xml:space="preserve">, o escore é dividido em quatro grupos ordenados. A pergunta é se existe gradiente dose-resposta: quanto maior o CorePAM, maior a taxa de pCR? Esse tipo de leitura é familiar na clínica, como comparar resposta por quartis de Ki67 ou por categorias de carga tumoral. O padrão ascendente reforça coerência biológica, porque uma associação verdadeira tende a aparecer como gradiente, não apenas como diferença entre dois grupos escolhidos depois. Ainda assim, quartis são ferramenta de visualização; a análise principal permanece contínua, usando o escore completo.</w:t>
      </w:r>
    </w:p>
    <w:p>
      <w:pPr>
        <w:pStyle w:val="BodyText"/>
      </w:pPr>
      <w:r>
        <w:t xml:space="preserve">A</w:t>
      </w:r>
      <w:r>
        <w:t xml:space="preserve"> </w:t>
      </w:r>
      <w:hyperlink w:anchor="fig-dca-pcr">
        <w:r>
          <w:rPr>
            <w:rStyle w:val="Hyperlink"/>
            <w:color w:val="0563C1"/>
            <w:u w:val="single"/>
          </w:rPr>
          <w:t xml:space="preserve">Figura 27</w:t>
        </w:r>
      </w:hyperlink>
      <w:r>
        <w:t xml:space="preserve"> </w:t>
      </w:r>
      <w:r>
        <w:t xml:space="preserve">traduz esse achado para decisão clínica exploratória em pCR. Aqui, o limiar não é risco de morte, mas probabilidade mínima de resposta completa que justificaria uma conduta, como priorizar neoadjuvância, discutir intensificação ou considerar entrada em protocolo. A linha</w:t>
      </w:r>
      <w:r>
        <w:t xml:space="preserve"> </w:t>
      </w:r>
      <w:r>
        <w:t xml:space="preserve">“tratar todos”</w:t>
      </w:r>
      <w:r>
        <w:t xml:space="preserve"> </w:t>
      </w:r>
      <w:r>
        <w:t xml:space="preserve">equivale a assumir que todas as pacientes seriam candidatas à estratégia; a linha</w:t>
      </w:r>
      <w:r>
        <w:t xml:space="preserve"> </w:t>
      </w:r>
      <w:r>
        <w:t xml:space="preserve">“tratar nenhum”</w:t>
      </w:r>
      <w:r>
        <w:t xml:space="preserve"> </w:t>
      </w:r>
      <w:r>
        <w:t xml:space="preserve">equivale a não usar o escore para selecionar ninguém. A curva do CorePAM mostra em que limiares a seleção pelo escore melhora o balanço entre identificar respondedoras e selecionar falsos positivos.</w:t>
      </w:r>
    </w:p>
    <w:p>
      <w:pPr>
        <w:pStyle w:val="Compact"/>
        <w:jc w:val="center"/>
      </w:pPr>
      <w:bookmarkStart w:id="206" w:name="fig-dca-pcr"/>
      <w:r>
        <w:drawing>
          <wp:inline>
            <wp:extent cx="5687999" cy="4136727"/>
            <wp:effectExtent b="0" l="0" r="0" t="0"/>
            <wp:docPr descr="" title="" id="204" name="Picture"/>
            <a:graphic>
              <a:graphicData uri="http://schemas.openxmlformats.org/drawingml/2006/picture">
                <pic:pic>
                  <pic:nvPicPr>
                    <pic:cNvPr descr="../figures/supp/pt/png/FigS_DCA_pCR_PT.png" id="205" name="Picture"/>
                    <pic:cNvPicPr>
                      <a:picLocks noChangeArrowheads="1" noChangeAspect="1"/>
                    </pic:cNvPicPr>
                  </pic:nvPicPr>
                  <pic:blipFill>
                    <a:blip r:embed="rId203"/>
                    <a:stretch>
                      <a:fillRect/>
                    </a:stretch>
                  </pic:blipFill>
                  <pic:spPr bwMode="auto">
                    <a:xfrm>
                      <a:off x="0" y="0"/>
                      <a:ext cx="5687999" cy="4136727"/>
                    </a:xfrm>
                    <a:prstGeom prst="rect">
                      <a:avLst/>
                    </a:prstGeom>
                    <a:noFill/>
                    <a:ln w="9525">
                      <a:noFill/>
                      <a:headEnd/>
                      <a:tailEnd/>
                    </a:ln>
                  </pic:spPr>
                </pic:pic>
              </a:graphicData>
            </a:graphic>
          </wp:inline>
        </w:drawing>
      </w:r>
    </w:p>
    <w:p>
      <w:pPr>
        <w:jc w:val="left"/>
        <w:spacing w:before="200"/>
        <w:pStyle w:val="ImageCaption"/>
      </w:pPr>
      <w:r>
        <w:t xml:space="preserve">Figura 27 — Análise de curva de decisão para predição de pCR nas quatro coortes neoadjuvantes primárias. A curva do CorePAM é comparada com as estratégias de tratar todos e tratar nenhum em limiares de decisão de 0% a 60%.</w:t>
      </w:r>
    </w:p>
    <w:bookmarkEnd w:id="206"/>
    <w:p>
      <w:pPr>
        <w:pStyle w:val="BodyText"/>
      </w:pPr>
      <w:r>
        <w:t xml:space="preserve">Na</w:t>
      </w:r>
      <w:r>
        <w:t xml:space="preserve"> </w:t>
      </w:r>
      <w:hyperlink w:anchor="fig-dca-pcr">
        <w:r>
          <w:rPr>
            <w:rStyle w:val="Hyperlink"/>
            <w:color w:val="0563C1"/>
            <w:u w:val="single"/>
          </w:rPr>
          <w:t xml:space="preserve">Figura 27</w:t>
        </w:r>
      </w:hyperlink>
      <w:r>
        <w:t xml:space="preserve">, o painel GSE25066 mostra benefício líquido modesto em limiares baixos a intermediários, com perda de utilidade quando o limiar ultrapassa a faixa em que o escore separa respondedoras de não respondedoras. Em GSE20194, o benefício se estende por faixa um pouco maior, compatível com a AUC mais alta dessa coorte. Em GSE32646 e I-SPY1, a curva permanece acima de</w:t>
      </w:r>
      <w:r>
        <w:t xml:space="preserve"> </w:t>
      </w:r>
      <w:r>
        <w:t xml:space="preserve">“tratar todos”</w:t>
      </w:r>
      <w:r>
        <w:t xml:space="preserve"> </w:t>
      </w:r>
      <w:r>
        <w:t xml:space="preserve">e</w:t>
      </w:r>
      <w:r>
        <w:t xml:space="preserve"> </w:t>
      </w:r>
      <w:r>
        <w:t xml:space="preserve">“tratar nenhum”</w:t>
      </w:r>
      <w:r>
        <w:t xml:space="preserve"> </w:t>
      </w:r>
      <w:r>
        <w:t xml:space="preserve">em parte relevante dos limiares, mas oscila em limiares altos, onde o número de pacientes selecionadas cai e a incerteza aumenta. A mensagem clínica é deliberadamente conservadora: o CorePAM sugere utilidade para enriquecer populações com maior chance de pCR, mas não deve ser interpretado como teste autônomo para escolher quimioterapia neoadjuvante.</w:t>
      </w:r>
    </w:p>
    <w:bookmarkEnd w:id="207"/>
    <w:bookmarkStart w:id="213" w:name="comparação-head-to-head-com-pam50-full"/>
    <w:p>
      <w:pPr>
        <w:pageBreakBefore/>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color w:val="0563C1"/>
            <w:u w:val="single"/>
          </w:rPr>
          <w:t xml:space="preserve">Tabela 18</w:t>
        </w:r>
      </w:hyperlink>
      <w:r>
        <w:t xml:space="preserve"> </w:t>
      </w:r>
      <w:r>
        <w:t xml:space="preserve">e a</w:t>
      </w:r>
      <w:r>
        <w:t xml:space="preserve"> </w:t>
      </w:r>
      <w:hyperlink w:anchor="fig-headtohead">
        <w:r>
          <w:rPr>
            <w:rStyle w:val="Hyperlink"/>
            <w:color w:val="0563C1"/>
            <w:u w:val="single"/>
          </w:rPr>
          <w:t xml:space="preserve">Figura 28</w:t>
        </w:r>
      </w:hyperlink>
      <w:r>
        <w:t xml:space="preserve"> </w:t>
      </w:r>
      <w:r>
        <w:t xml:space="preserve">confrontam diretamente o CorePAM (24 genes) contra o comparador PAM50-full penalizado no mesmo</w:t>
      </w:r>
      <w:r>
        <w:t xml:space="preserve"> </w:t>
      </w:r>
      <w:r>
        <w:rPr>
          <w:i/>
          <w:iCs/>
        </w:rPr>
        <w:t xml:space="preserve">pipeline</w:t>
      </w:r>
      <w:r>
        <w:t xml:space="preserve"> </w:t>
      </w:r>
      <w:r>
        <w:t xml:space="preserve">de derivação. Para evitar ambiguidade, vale repetir: o PAM50 original tem 50 genes; o comparador desta tabela tem 49 porque o ajuste</w:t>
      </w:r>
      <w:r>
        <w:t xml:space="preserve"> </w:t>
      </w:r>
      <w:r>
        <w:rPr>
          <w:i/>
          <w:iCs/>
        </w:rPr>
        <w:t xml:space="preserve">elastic-net</w:t>
      </w:r>
      <w:r>
        <w:t xml:space="preserve"> </w:t>
      </w:r>
      <w:r>
        <w:t xml:space="preserve">completo, feito no SCAN-B com os 50 genes candidatos, manteve 49 coeficientes não-zero no maior ponto da trajetória. Isso é comportamento esperado de um modelo penalizado e não indica gene ausente nem erro de cobertura.</w:t>
      </w:r>
    </w:p>
    <w:p>
      <w:pPr>
        <w:pStyle w:val="BodyText"/>
      </w:pPr>
      <w:r>
        <w:t xml:space="preserve">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é o</w:t>
      </w:r>
      <w:r>
        <w:t xml:space="preserve"> </w:t>
      </w:r>
      <w:r>
        <w:rPr>
          <w:i/>
          <w:iCs/>
        </w:rPr>
        <w:t xml:space="preserve">C-index</w:t>
      </w:r>
      <w:r>
        <w:t xml:space="preserve"> </w:t>
      </w:r>
      <w:r>
        <w:t xml:space="preserve">do comparador PAM50-full penalizado. Delta-C positivo significa vantagem do modelo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A vantagem cresce à medida que a distância de plataforma em relação ao SCAN-B aumenta, sugerindo que genes adicionais podem carregar ruído técnico que se transporta mal. A coluna r mostra a correlação entre os dois escores paciente-a-paciente; apesar da correlação alta, pequenas divergências em regiões decisivas do ranking explicam a diferença de desempenho.</w:t>
      </w:r>
    </w:p>
    <w:p>
      <w:pPr>
        <w:jc w:val="left"/>
        <w:spacing w:before="200"/>
        <w:pStyle w:val="ImageCaption"/>
      </w:pPr>
      <w:bookmarkStart w:id="208" w:name="tbl-head-to-head"/>
      <w:r>
        <w:t xml:space="preserve">Tabela 18 — Comparação</w:t>
      </w:r>
      <w:r>
        <w:t xml:space="preserve"> </w:t>
      </w:r>
      <w:r>
        <w:rPr>
          <w:i/>
          <w:iCs/>
        </w:rPr>
        <w:t xml:space="preserve">head-to-head</w:t>
      </w:r>
      <w:r>
        <w:t xml:space="preserve">: CorePAM (24 genes) vs comparador PAM50-full</w:t>
      </w:r>
      <w:r>
        <w:t xml:space="preserve"> </w:t>
      </w:r>
      <w:r>
        <w:rPr>
          <w:i/>
          <w:iCs/>
        </w:rPr>
        <w:t xml:space="preserve">elastic-net</w:t>
      </w:r>
      <w:r>
        <w:t xml:space="preserve"> </w:t>
      </w:r>
      <w:r>
        <w:t xml:space="preserve">com 49 coeficientes não-zero. O PAM50 canônico permanece definido por 50 genes; o número 49 refere-se apenas ao maior modelo penalizado efetivamente obtido neste</w:t>
      </w:r>
      <w:r>
        <w:t xml:space="preserve"> </w:t>
      </w:r>
      <w:r>
        <w:rPr>
          <w:i/>
          <w:iCs/>
        </w:rPr>
        <w:t xml:space="preserve">pipeline</w:t>
      </w:r>
      <w:r>
        <w:t xml:space="preserve">.</w:t>
      </w:r>
    </w:p>
    <w:tbl>
      <w:tblPr>
        <w:tblStyle w:val="Table"/>
        <w:tblW w:type="dxa" w:w="9070"/>
        <w:tblLayout w:type="fixed"/>
        <w:tblLook w:firstRow="1" w:lastRow="0" w:firstColumn="0" w:lastColumn="0" w:noHBand="0" w:noVBand="0" w:val="0020"/>
      </w:tblPr>
      <w:tblGrid>
        <w:gridCol w:w="1300"/>
        <w:gridCol w:w="1274"/>
        <w:gridCol w:w="822"/>
        <w:gridCol w:w="822"/>
        <w:gridCol w:w="822"/>
        <w:gridCol w:w="1166"/>
        <w:gridCol w:w="2038"/>
        <w:gridCol w:w="826"/>
      </w:tblGrid>
      <w:tr>
        <w:trPr>
          <w:tblHeader w:val="on"/>
        </w:trPr>
        <w:tc>
          <w:tcPr>
            <w:tcW w:w="1300" w:type="dxa"/>
          </w:tcPr>
          <w:p>
            <w:pPr>
              <w:pStyle w:val="Compact"/>
              <w:jc w:val="center"/>
            </w:pPr>
            <w:r>
              <w:t xml:space="preserve">Coorte</w:t>
            </w:r>
          </w:p>
        </w:tc>
        <w:tc>
          <w:tcPr>
            <w:tcW w:w="1274" w:type="dxa"/>
          </w:tcPr>
          <w:p>
            <w:pPr>
              <w:pStyle w:val="Compact"/>
              <w:jc w:val="center"/>
            </w:pPr>
            <w:r>
              <w:t xml:space="preserve">Modo</w:t>
            </w:r>
          </w:p>
        </w:tc>
        <w:tc>
          <w:tcPr>
            <w:tcW w:w="822" w:type="dxa"/>
          </w:tcPr>
          <w:p>
            <w:pPr>
              <w:pStyle w:val="Compact"/>
              <w:jc w:val="center"/>
            </w:pPr>
            <w:r>
              <w:t xml:space="preserve">N</w:t>
            </w:r>
          </w:p>
        </w:tc>
        <w:tc>
          <w:tcPr>
            <w:tcW w:w="822" w:type="dxa"/>
          </w:tcPr>
          <w:p>
            <w:pPr>
              <w:pStyle w:val="Compact"/>
              <w:jc w:val="center"/>
            </w:pPr>
            <w:r>
              <w:t xml:space="preserve">C</w:t>
            </w:r>
            <w:r>
              <w:rPr>
                <w:vertAlign w:val="subscript"/>
              </w:rPr>
              <w:t xml:space="preserve">24</w:t>
            </w:r>
          </w:p>
        </w:tc>
        <w:tc>
          <w:tcPr>
            <w:tcW w:w="822" w:type="dxa"/>
          </w:tcPr>
          <w:p>
            <w:pPr>
              <w:pStyle w:val="Compact"/>
              <w:jc w:val="center"/>
            </w:pPr>
            <w:r>
              <w:t xml:space="preserve">C</w:t>
            </w:r>
            <w:r>
              <w:rPr>
                <w:vertAlign w:val="subscript"/>
              </w:rPr>
              <w:t xml:space="preserve">49</w:t>
            </w:r>
          </w:p>
        </w:tc>
        <w:tc>
          <w:tcPr>
            <w:tcW w:w="1166" w:type="dxa"/>
          </w:tcPr>
          <w:p>
            <w:pPr>
              <w:pStyle w:val="Compact"/>
              <w:jc w:val="center"/>
            </w:pPr>
            <w:r>
              <w:t xml:space="preserve">Delta-C</w:t>
            </w:r>
          </w:p>
        </w:tc>
        <w:tc>
          <w:tcPr>
            <w:tcW w:w="2038" w:type="dxa"/>
          </w:tcPr>
          <w:p>
            <w:pPr>
              <w:pStyle w:val="Compact"/>
              <w:jc w:val="center"/>
            </w:pPr>
            <w:r>
              <w:t xml:space="preserve">IC 95%</w:t>
            </w:r>
          </w:p>
        </w:tc>
        <w:tc>
          <w:tcPr>
            <w:tcW w:w="826" w:type="dxa"/>
          </w:tcPr>
          <w:p>
            <w:pPr>
              <w:pStyle w:val="Compact"/>
              <w:jc w:val="center"/>
            </w:pPr>
            <w:r>
              <w:t xml:space="preserve">r</w:t>
            </w:r>
          </w:p>
        </w:tc>
      </w:tr>
      <w:tr>
        <w:tc>
          <w:tcPr>
            <w:tcW w:w="1300" w:type="dxa"/>
          </w:tcPr>
          <w:p>
            <w:pPr>
              <w:pStyle w:val="Compact"/>
              <w:jc w:val="center"/>
            </w:pPr>
            <w:r>
              <w:t xml:space="preserve">TCGA-BRCA</w:t>
            </w:r>
          </w:p>
        </w:tc>
        <w:tc>
          <w:tcPr>
            <w:tcW w:w="1274" w:type="dxa"/>
          </w:tcPr>
          <w:p>
            <w:pPr>
              <w:pStyle w:val="Compact"/>
              <w:jc w:val="center"/>
            </w:pPr>
            <w:r>
              <w:t xml:space="preserve">intra</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0,631</w:t>
            </w:r>
          </w:p>
        </w:tc>
        <w:tc>
          <w:tcPr>
            <w:tcW w:w="1166" w:type="dxa"/>
          </w:tcPr>
          <w:p>
            <w:pPr>
              <w:pStyle w:val="Compact"/>
              <w:jc w:val="center"/>
            </w:pPr>
            <w:r>
              <w:t xml:space="preserve">-0,008</w:t>
            </w:r>
          </w:p>
        </w:tc>
        <w:tc>
          <w:tcPr>
            <w:tcW w:w="2038" w:type="dxa"/>
          </w:tcPr>
          <w:p>
            <w:pPr>
              <w:pStyle w:val="Compact"/>
              <w:jc w:val="center"/>
            </w:pPr>
            <w:r>
              <w:t xml:space="preserve">(-0,038, +0,022)</w:t>
            </w:r>
          </w:p>
        </w:tc>
        <w:tc>
          <w:tcPr>
            <w:tcW w:w="826" w:type="dxa"/>
          </w:tcPr>
          <w:p>
            <w:pPr>
              <w:pStyle w:val="Compact"/>
              <w:jc w:val="center"/>
            </w:pPr>
            <w:r>
              <w:t xml:space="preserve">0,853</w:t>
            </w:r>
          </w:p>
        </w:tc>
      </w:tr>
      <w:tr>
        <w:tc>
          <w:tcPr>
            <w:tcW w:w="1300" w:type="dxa"/>
          </w:tcPr>
          <w:p>
            <w:pPr>
              <w:pStyle w:val="Compact"/>
              <w:jc w:val="center"/>
            </w:pPr>
            <w:r>
              <w:t xml:space="preserve">TCGA-BRCA</w:t>
            </w:r>
          </w:p>
        </w:tc>
        <w:tc>
          <w:tcPr>
            <w:tcW w:w="1274" w:type="dxa"/>
          </w:tcPr>
          <w:p>
            <w:pPr>
              <w:pStyle w:val="Compact"/>
              <w:jc w:val="center"/>
            </w:pPr>
            <w:r>
              <w:t xml:space="preserve">congelado</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0,634</w:t>
            </w:r>
          </w:p>
        </w:tc>
        <w:tc>
          <w:tcPr>
            <w:tcW w:w="1166" w:type="dxa"/>
          </w:tcPr>
          <w:p>
            <w:pPr>
              <w:pStyle w:val="Compact"/>
              <w:jc w:val="center"/>
            </w:pPr>
            <w:r>
              <w:t xml:space="preserve">-0,010</w:t>
            </w:r>
          </w:p>
        </w:tc>
        <w:tc>
          <w:tcPr>
            <w:tcW w:w="2038" w:type="dxa"/>
          </w:tcPr>
          <w:p>
            <w:pPr>
              <w:pStyle w:val="Compact"/>
              <w:jc w:val="center"/>
            </w:pPr>
            <w:r>
              <w:t xml:space="preserve">(-0,039, +0,020)</w:t>
            </w:r>
          </w:p>
        </w:tc>
        <w:tc>
          <w:tcPr>
            <w:tcW w:w="826" w:type="dxa"/>
          </w:tcPr>
          <w:p>
            <w:pPr>
              <w:pStyle w:val="Compact"/>
              <w:jc w:val="center"/>
            </w:pPr>
            <w:r>
              <w:t xml:space="preserve">0,864</w:t>
            </w:r>
          </w:p>
        </w:tc>
      </w:tr>
      <w:tr>
        <w:tc>
          <w:tcPr>
            <w:tcW w:w="1300" w:type="dxa"/>
          </w:tcPr>
          <w:p>
            <w:pPr>
              <w:pStyle w:val="Compact"/>
              <w:jc w:val="center"/>
            </w:pPr>
            <w:r>
              <w:t xml:space="preserve">METABRIC</w:t>
            </w:r>
          </w:p>
        </w:tc>
        <w:tc>
          <w:tcPr>
            <w:tcW w:w="1274" w:type="dxa"/>
          </w:tcPr>
          <w:p>
            <w:pPr>
              <w:pStyle w:val="Compact"/>
              <w:jc w:val="center"/>
            </w:pPr>
            <w:r>
              <w:t xml:space="preserve">intra</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0,616</w:t>
            </w:r>
          </w:p>
        </w:tc>
        <w:tc>
          <w:tcPr>
            <w:tcW w:w="1166" w:type="dxa"/>
          </w:tcPr>
          <w:p>
            <w:pPr>
              <w:pStyle w:val="Compact"/>
              <w:jc w:val="center"/>
            </w:pPr>
            <w:r>
              <w:rPr>
                <w:b/>
                <w:bCs/>
              </w:rPr>
              <w:t xml:space="preserve">+0,022</w:t>
            </w:r>
          </w:p>
        </w:tc>
        <w:tc>
          <w:tcPr>
            <w:tcW w:w="2038" w:type="dxa"/>
          </w:tcPr>
          <w:p>
            <w:pPr>
              <w:pStyle w:val="Compact"/>
              <w:jc w:val="center"/>
            </w:pPr>
            <w:r>
              <w:t xml:space="preserve">(+0,011, +0,032)</w:t>
            </w:r>
          </w:p>
        </w:tc>
        <w:tc>
          <w:tcPr>
            <w:tcW w:w="826" w:type="dxa"/>
          </w:tcPr>
          <w:p>
            <w:pPr>
              <w:pStyle w:val="Compact"/>
              <w:jc w:val="center"/>
            </w:pPr>
            <w:r>
              <w:t xml:space="preserve">0,902</w:t>
            </w:r>
          </w:p>
        </w:tc>
      </w:tr>
      <w:tr>
        <w:tc>
          <w:tcPr>
            <w:tcW w:w="1300" w:type="dxa"/>
          </w:tcPr>
          <w:p>
            <w:pPr>
              <w:pStyle w:val="Compact"/>
              <w:jc w:val="center"/>
            </w:pPr>
            <w:r>
              <w:t xml:space="preserve">METABRIC</w:t>
            </w:r>
          </w:p>
        </w:tc>
        <w:tc>
          <w:tcPr>
            <w:tcW w:w="1274" w:type="dxa"/>
          </w:tcPr>
          <w:p>
            <w:pPr>
              <w:pStyle w:val="Compact"/>
              <w:jc w:val="center"/>
            </w:pPr>
            <w:r>
              <w:t xml:space="preserve">congelado</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0,622</w:t>
            </w:r>
          </w:p>
        </w:tc>
        <w:tc>
          <w:tcPr>
            <w:tcW w:w="1166" w:type="dxa"/>
          </w:tcPr>
          <w:p>
            <w:pPr>
              <w:pStyle w:val="Compact"/>
              <w:jc w:val="center"/>
            </w:pPr>
            <w:r>
              <w:rPr>
                <w:b/>
                <w:bCs/>
              </w:rPr>
              <w:t xml:space="preserve">+0,017</w:t>
            </w:r>
          </w:p>
        </w:tc>
        <w:tc>
          <w:tcPr>
            <w:tcW w:w="2038" w:type="dxa"/>
          </w:tcPr>
          <w:p>
            <w:pPr>
              <w:pStyle w:val="Compact"/>
              <w:jc w:val="center"/>
            </w:pPr>
            <w:r>
              <w:t xml:space="preserve">(+0,007, +0,027)</w:t>
            </w:r>
          </w:p>
        </w:tc>
        <w:tc>
          <w:tcPr>
            <w:tcW w:w="826" w:type="dxa"/>
          </w:tcPr>
          <w:p>
            <w:pPr>
              <w:pStyle w:val="Compact"/>
              <w:jc w:val="center"/>
            </w:pPr>
            <w:r>
              <w:t xml:space="preserve">0,914</w:t>
            </w:r>
          </w:p>
        </w:tc>
      </w:tr>
      <w:tr>
        <w:tc>
          <w:tcPr>
            <w:tcW w:w="1300" w:type="dxa"/>
          </w:tcPr>
          <w:p>
            <w:pPr>
              <w:pStyle w:val="Compact"/>
              <w:jc w:val="center"/>
            </w:pPr>
            <w:r>
              <w:t xml:space="preserve">GSE20685</w:t>
            </w:r>
          </w:p>
        </w:tc>
        <w:tc>
          <w:tcPr>
            <w:tcW w:w="1274" w:type="dxa"/>
          </w:tcPr>
          <w:p>
            <w:pPr>
              <w:pStyle w:val="Compact"/>
              <w:jc w:val="center"/>
            </w:pPr>
            <w:r>
              <w:t xml:space="preserve">intra</w:t>
            </w:r>
          </w:p>
        </w:tc>
        <w:tc>
          <w:tcPr>
            <w:tcW w:w="822" w:type="dxa"/>
          </w:tcPr>
          <w:p>
            <w:pPr>
              <w:pStyle w:val="Compact"/>
              <w:jc w:val="center"/>
            </w:pPr>
            <w:r>
              <w:t xml:space="preserve">327</w:t>
            </w:r>
          </w:p>
        </w:tc>
        <w:tc>
          <w:tcPr>
            <w:tcW w:w="822" w:type="dxa"/>
          </w:tcPr>
          <w:p>
            <w:pPr>
              <w:pStyle w:val="Compact"/>
              <w:jc w:val="center"/>
            </w:pPr>
            <w:r>
              <w:t xml:space="preserve">0,626</w:t>
            </w:r>
          </w:p>
        </w:tc>
        <w:tc>
          <w:tcPr>
            <w:tcW w:w="822" w:type="dxa"/>
          </w:tcPr>
          <w:p>
            <w:pPr>
              <w:pStyle w:val="Compact"/>
              <w:jc w:val="center"/>
            </w:pPr>
            <w:r>
              <w:t xml:space="preserve">0,571</w:t>
            </w:r>
          </w:p>
        </w:tc>
        <w:tc>
          <w:tcPr>
            <w:tcW w:w="1166" w:type="dxa"/>
          </w:tcPr>
          <w:p>
            <w:pPr>
              <w:pStyle w:val="Compact"/>
              <w:jc w:val="center"/>
            </w:pPr>
            <w:r>
              <w:rPr>
                <w:b/>
                <w:bCs/>
              </w:rPr>
              <w:t xml:space="preserve">+0,055</w:t>
            </w:r>
          </w:p>
        </w:tc>
        <w:tc>
          <w:tcPr>
            <w:tcW w:w="2038" w:type="dxa"/>
          </w:tcPr>
          <w:p>
            <w:pPr>
              <w:pStyle w:val="Compact"/>
              <w:jc w:val="center"/>
            </w:pPr>
            <w:r>
              <w:t xml:space="preserve">(+0,010, +0,101)</w:t>
            </w:r>
          </w:p>
        </w:tc>
        <w:tc>
          <w:tcPr>
            <w:tcW w:w="826" w:type="dxa"/>
          </w:tcPr>
          <w:p>
            <w:pPr>
              <w:pStyle w:val="Compact"/>
              <w:jc w:val="center"/>
            </w:pPr>
            <w:r>
              <w:t xml:space="preserve">0,823</w:t>
            </w:r>
          </w:p>
        </w:tc>
      </w:tr>
      <w:tr>
        <w:tc>
          <w:tcPr>
            <w:tcW w:w="1300" w:type="dxa"/>
          </w:tcPr>
          <w:p>
            <w:pPr>
              <w:pStyle w:val="Compact"/>
              <w:jc w:val="center"/>
            </w:pPr>
            <w:r>
              <w:t xml:space="preserve">GSE20685</w:t>
            </w:r>
          </w:p>
        </w:tc>
        <w:tc>
          <w:tcPr>
            <w:tcW w:w="1274" w:type="dxa"/>
          </w:tcPr>
          <w:p>
            <w:pPr>
              <w:pStyle w:val="Compact"/>
              <w:jc w:val="center"/>
            </w:pPr>
            <w:r>
              <w:t xml:space="preserve">congelado</w:t>
            </w:r>
          </w:p>
        </w:tc>
        <w:tc>
          <w:tcPr>
            <w:tcW w:w="822" w:type="dxa"/>
          </w:tcPr>
          <w:p>
            <w:pPr>
              <w:pStyle w:val="Compact"/>
              <w:jc w:val="center"/>
            </w:pPr>
            <w:r>
              <w:t xml:space="preserve">327</w:t>
            </w:r>
          </w:p>
        </w:tc>
        <w:tc>
          <w:tcPr>
            <w:tcW w:w="822" w:type="dxa"/>
          </w:tcPr>
          <w:p>
            <w:pPr>
              <w:pStyle w:val="Compact"/>
              <w:jc w:val="center"/>
            </w:pPr>
            <w:r>
              <w:t xml:space="preserve">0,591</w:t>
            </w:r>
          </w:p>
        </w:tc>
        <w:tc>
          <w:tcPr>
            <w:tcW w:w="822" w:type="dxa"/>
          </w:tcPr>
          <w:p>
            <w:pPr>
              <w:pStyle w:val="Compact"/>
              <w:jc w:val="center"/>
            </w:pPr>
            <w:r>
              <w:t xml:space="preserve">0,544</w:t>
            </w:r>
          </w:p>
        </w:tc>
        <w:tc>
          <w:tcPr>
            <w:tcW w:w="1166" w:type="dxa"/>
          </w:tcPr>
          <w:p>
            <w:pPr>
              <w:pStyle w:val="Compact"/>
              <w:jc w:val="center"/>
            </w:pPr>
            <w:r>
              <w:rPr>
                <w:b/>
                <w:bCs/>
              </w:rPr>
              <w:t xml:space="preserve">+0,047</w:t>
            </w:r>
          </w:p>
        </w:tc>
        <w:tc>
          <w:tcPr>
            <w:tcW w:w="2038" w:type="dxa"/>
          </w:tcPr>
          <w:p>
            <w:pPr>
              <w:pStyle w:val="Compact"/>
              <w:jc w:val="center"/>
            </w:pPr>
            <w:r>
              <w:t xml:space="preserve">(+0,007, +0,085)</w:t>
            </w:r>
          </w:p>
        </w:tc>
        <w:tc>
          <w:tcPr>
            <w:tcW w:w="826" w:type="dxa"/>
          </w:tcPr>
          <w:p>
            <w:pPr>
              <w:pStyle w:val="Compact"/>
              <w:jc w:val="center"/>
            </w:pPr>
            <w:r>
              <w:t xml:space="preserve">0,843</w:t>
            </w:r>
          </w:p>
        </w:tc>
      </w:tr>
      <w:tr>
        <w:tc>
          <w:tcPr>
            <w:tcW w:w="1300" w:type="dxa"/>
          </w:tcPr>
          <w:p>
            <w:pPr>
              <w:pStyle w:val="Compact"/>
              <w:jc w:val="center"/>
            </w:pPr>
            <w:r>
              <w:t xml:space="preserve">GSE1456</w:t>
            </w:r>
          </w:p>
        </w:tc>
        <w:tc>
          <w:tcPr>
            <w:tcW w:w="1274" w:type="dxa"/>
          </w:tcPr>
          <w:p>
            <w:pPr>
              <w:pStyle w:val="Compact"/>
              <w:jc w:val="center"/>
            </w:pPr>
            <w:r>
              <w:t xml:space="preserve">intra</w:t>
            </w:r>
          </w:p>
        </w:tc>
        <w:tc>
          <w:tcPr>
            <w:tcW w:w="822" w:type="dxa"/>
          </w:tcPr>
          <w:p>
            <w:pPr>
              <w:pStyle w:val="Compact"/>
              <w:jc w:val="center"/>
            </w:pPr>
            <w:r>
              <w:t xml:space="preserve">159</w:t>
            </w:r>
          </w:p>
        </w:tc>
        <w:tc>
          <w:tcPr>
            <w:tcW w:w="822" w:type="dxa"/>
          </w:tcPr>
          <w:p>
            <w:pPr>
              <w:pStyle w:val="Compact"/>
              <w:jc w:val="center"/>
            </w:pPr>
            <w:r>
              <w:t xml:space="preserve">0,661</w:t>
            </w:r>
          </w:p>
        </w:tc>
        <w:tc>
          <w:tcPr>
            <w:tcW w:w="822" w:type="dxa"/>
          </w:tcPr>
          <w:p>
            <w:pPr>
              <w:pStyle w:val="Compact"/>
              <w:jc w:val="center"/>
            </w:pPr>
            <w:r>
              <w:t xml:space="preserve">0,564</w:t>
            </w:r>
          </w:p>
        </w:tc>
        <w:tc>
          <w:tcPr>
            <w:tcW w:w="1166" w:type="dxa"/>
          </w:tcPr>
          <w:p>
            <w:pPr>
              <w:pStyle w:val="Compact"/>
              <w:jc w:val="center"/>
            </w:pPr>
            <w:r>
              <w:rPr>
                <w:b/>
                <w:bCs/>
              </w:rPr>
              <w:t xml:space="preserve">+0,097</w:t>
            </w:r>
          </w:p>
        </w:tc>
        <w:tc>
          <w:tcPr>
            <w:tcW w:w="2038" w:type="dxa"/>
          </w:tcPr>
          <w:p>
            <w:pPr>
              <w:pStyle w:val="Compact"/>
              <w:jc w:val="center"/>
            </w:pPr>
            <w:r>
              <w:t xml:space="preserve">(+0,032, +0,166)</w:t>
            </w:r>
          </w:p>
        </w:tc>
        <w:tc>
          <w:tcPr>
            <w:tcW w:w="826" w:type="dxa"/>
          </w:tcPr>
          <w:p>
            <w:pPr>
              <w:pStyle w:val="Compact"/>
              <w:jc w:val="center"/>
            </w:pPr>
            <w:r>
              <w:t xml:space="preserve">0,697</w:t>
            </w:r>
          </w:p>
        </w:tc>
      </w:tr>
      <w:tr>
        <w:tc>
          <w:tcPr>
            <w:tcW w:w="1300" w:type="dxa"/>
          </w:tcPr>
          <w:p>
            <w:pPr>
              <w:pStyle w:val="Compact"/>
              <w:jc w:val="center"/>
            </w:pPr>
            <w:r>
              <w:t xml:space="preserve">GSE1456</w:t>
            </w:r>
          </w:p>
        </w:tc>
        <w:tc>
          <w:tcPr>
            <w:tcW w:w="1274" w:type="dxa"/>
          </w:tcPr>
          <w:p>
            <w:pPr>
              <w:pStyle w:val="Compact"/>
              <w:jc w:val="center"/>
            </w:pPr>
            <w:r>
              <w:t xml:space="preserve">congelado</w:t>
            </w:r>
          </w:p>
        </w:tc>
        <w:tc>
          <w:tcPr>
            <w:tcW w:w="822" w:type="dxa"/>
          </w:tcPr>
          <w:p>
            <w:pPr>
              <w:pStyle w:val="Compact"/>
              <w:jc w:val="center"/>
            </w:pPr>
            <w:r>
              <w:t xml:space="preserve">159</w:t>
            </w:r>
          </w:p>
        </w:tc>
        <w:tc>
          <w:tcPr>
            <w:tcW w:w="822" w:type="dxa"/>
          </w:tcPr>
          <w:p>
            <w:pPr>
              <w:pStyle w:val="Compact"/>
              <w:jc w:val="center"/>
            </w:pPr>
            <w:r>
              <w:t xml:space="preserve">0,622</w:t>
            </w:r>
          </w:p>
        </w:tc>
        <w:tc>
          <w:tcPr>
            <w:tcW w:w="822" w:type="dxa"/>
          </w:tcPr>
          <w:p>
            <w:pPr>
              <w:pStyle w:val="Compact"/>
              <w:jc w:val="center"/>
            </w:pPr>
            <w:r>
              <w:t xml:space="preserve">0,510</w:t>
            </w:r>
          </w:p>
        </w:tc>
        <w:tc>
          <w:tcPr>
            <w:tcW w:w="1166" w:type="dxa"/>
          </w:tcPr>
          <w:p>
            <w:pPr>
              <w:pStyle w:val="Compact"/>
              <w:jc w:val="center"/>
            </w:pPr>
            <w:r>
              <w:rPr>
                <w:b/>
                <w:bCs/>
              </w:rPr>
              <w:t xml:space="preserve">+0,111</w:t>
            </w:r>
          </w:p>
        </w:tc>
        <w:tc>
          <w:tcPr>
            <w:tcW w:w="2038" w:type="dxa"/>
          </w:tcPr>
          <w:p>
            <w:pPr>
              <w:pStyle w:val="Compact"/>
              <w:jc w:val="center"/>
            </w:pPr>
            <w:r>
              <w:t xml:space="preserve">(+0,045, +0,181)</w:t>
            </w:r>
          </w:p>
        </w:tc>
        <w:tc>
          <w:tcPr>
            <w:tcW w:w="826" w:type="dxa"/>
          </w:tcPr>
          <w:p>
            <w:pPr>
              <w:pStyle w:val="Compact"/>
              <w:jc w:val="center"/>
            </w:pPr>
            <w:r>
              <w:t xml:space="preserve">0,617</w:t>
            </w:r>
          </w:p>
        </w:tc>
      </w:tr>
    </w:tbl>
    <w:bookmarkEnd w:id="208"/>
    <w:p/>
    <w:bookmarkStart w:id="212" w:name="fig-headtohead"/>
    <w:p>
      <w:pPr>
        <w:pStyle w:val="Compact"/>
        <w:jc w:val="center"/>
      </w:pPr>
      <w:r>
        <w:drawing>
          <wp:inline>
            <wp:extent cx="5687999" cy="3554999"/>
            <wp:effectExtent b="0" l="0" r="0" t="0"/>
            <wp:docPr descr="" title="" id="210" name="Picture"/>
            <a:graphic>
              <a:graphicData uri="http://schemas.openxmlformats.org/drawingml/2006/picture">
                <pic:pic>
                  <pic:nvPicPr>
                    <pic:cNvPr descr="../figures/supp/pt/png/FigS_HeadToHead_24vs50_PT.png" id="211" name="Picture"/>
                    <pic:cNvPicPr>
                      <a:picLocks noChangeArrowheads="1" noChangeAspect="1"/>
                    </pic:cNvPicPr>
                  </pic:nvPicPr>
                  <pic:blipFill>
                    <a:blip r:embed="rId209"/>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28 — Comparação head-to-head CorePAM (24 genes) vs PAM50-full penalizado (49 coeficientes não-zero) por coorte e modo de pontuação. Em TCGA-BRCA, desempenho equivalente. Nas três coortes restantes, o CorePAM superou significativamente o comparador penalizado, com vantagem crescente com a distância de plataforma em relação ao SCAN-B.</w:t>
      </w:r>
    </w:p>
    <w:bookmarkEnd w:id="212"/>
    <w:p>
      <w:pPr>
        <w:pStyle w:val="BodyText"/>
      </w:pPr>
      <w:r>
        <w:t xml:space="preserve">Na</w:t>
      </w:r>
      <w:r>
        <w:t xml:space="preserve"> </w:t>
      </w:r>
      <w:hyperlink w:anchor="fig-headtohead">
        <w:r>
          <w:rPr>
            <w:rStyle w:val="Hyperlink"/>
            <w:color w:val="0563C1"/>
            <w:u w:val="single"/>
          </w:rPr>
          <w:t xml:space="preserve">Figura 28</w:t>
        </w:r>
      </w:hyperlink>
      <w:r>
        <w:t xml:space="preserve">, cada ponto compara diretamente os dois modelos na mesma coorte. Quando o Delta-C fica próximo de zero, os modelos se comportam de forma semelhante; quando fica positivo, o CorePAM ordena melhor o risco. TCGA-BRCA fica perto da equivalência, o que faz sentido por ser</w:t>
      </w:r>
      <w:r>
        <w:t xml:space="preserve"> </w:t>
      </w:r>
      <w:r>
        <w:rPr>
          <w:i/>
          <w:iCs/>
        </w:rPr>
        <w:t xml:space="preserve">RNA-seq</w:t>
      </w:r>
      <w:r>
        <w:t xml:space="preserve">, tecnologia mais próxima da coorte de treinamento. METABRIC, GSE20685 e GSE1456 mostram vantagem do modelo menor. A ponte com a prática clínica é simples: um exame maior nem sempre é melhor se parte da informação adicional é instável entre laboratórios. Em um cenário de implantação real, menos genes podem significar não apenas menor custo, mas menor exposição a ruído de plataforma.</w:t>
      </w:r>
    </w:p>
    <w:bookmarkEnd w:id="213"/>
    <w:bookmarkStart w:id="219" w:name="comparação-com-assinaturas-estabelecidas"/>
    <w:p>
      <w:pPr>
        <w:pageBreakBefore/>
        <w:pStyle w:val="Heading2"/>
      </w:pPr>
      <w:r>
        <w:t xml:space="preserve">4.10 Comparação com assinaturas estabelecidas</w:t>
      </w:r>
    </w:p>
    <w:p>
      <w:pPr>
        <w:pStyle w:val="FirstParagraph"/>
      </w:pPr>
      <w:r>
        <w:t xml:space="preserve">A</w:t>
      </w:r>
      <w:r>
        <w:t xml:space="preserve"> </w:t>
      </w:r>
      <w:hyperlink w:anchor="tbl-comparison">
        <w:r>
          <w:rPr>
            <w:rStyle w:val="Hyperlink"/>
            <w:color w:val="0563C1"/>
            <w:u w:val="single"/>
          </w:rPr>
          <w:t xml:space="preserve">Tabela 19</w:t>
        </w:r>
      </w:hyperlink>
      <w:r>
        <w:t xml:space="preserve"> </w:t>
      </w:r>
      <w:r>
        <w:t xml:space="preserve">e a</w:t>
      </w:r>
      <w:r>
        <w:t xml:space="preserve"> </w:t>
      </w:r>
      <w:hyperlink w:anchor="fig-cindex-comparison">
        <w:r>
          <w:rPr>
            <w:rStyle w:val="Hyperlink"/>
            <w:color w:val="0563C1"/>
            <w:u w:val="single"/>
          </w:rPr>
          <w:t xml:space="preserve">Figura 29</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w:t>
      </w:r>
      <w:r>
        <w:t xml:space="preserve"> </w:t>
      </w:r>
      <w:r>
        <w:rPr>
          <w:i/>
          <w:iCs/>
        </w:rPr>
        <w:t xml:space="preserve">cross-plataforma</w:t>
      </w:r>
      <w:r>
        <w:t xml:space="preserve">, e permanece competitivo em toda a faixa — nunca sendo pior que os dois competidores simultaneamente em nenhuma coorte.</w:t>
      </w:r>
    </w:p>
    <w:p>
      <w:pPr>
        <w:jc w:val="left"/>
        <w:spacing w:before="200"/>
        <w:pStyle w:val="ImageCaption"/>
      </w:pPr>
      <w:bookmarkStart w:id="214" w:name="tbl-comparison"/>
      <w:r>
        <w:t xml:space="preserve">Tabela 19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9070"/>
        <w:tblLayout w:type="fixed"/>
        <w:tblLook w:firstRow="1" w:lastRow="0" w:firstColumn="0" w:lastColumn="0" w:noHBand="0" w:noVBand="0" w:val="0020"/>
      </w:tblPr>
      <w:tblGrid>
        <w:gridCol w:w="1300"/>
        <w:gridCol w:w="730"/>
        <w:gridCol w:w="1267"/>
        <w:gridCol w:w="987"/>
        <w:gridCol w:w="1151"/>
        <w:gridCol w:w="1212"/>
        <w:gridCol w:w="1151"/>
        <w:gridCol w:w="1272"/>
      </w:tblGrid>
      <w:tr>
        <w:trPr>
          <w:tblHeader w:val="on"/>
        </w:trPr>
        <w:tc>
          <w:tcPr>
            <w:tcW w:w="1300" w:type="dxa"/>
          </w:tcPr>
          <w:p>
            <w:pPr>
              <w:pStyle w:val="Compact"/>
              <w:jc w:val="center"/>
            </w:pPr>
            <w:r>
              <w:t xml:space="preserve">Coorte</w:t>
            </w:r>
          </w:p>
        </w:tc>
        <w:tc>
          <w:tcPr>
            <w:tcW w:w="730" w:type="dxa"/>
          </w:tcPr>
          <w:p>
            <w:pPr>
              <w:pStyle w:val="Compact"/>
              <w:jc w:val="center"/>
            </w:pPr>
            <w:r>
              <w:t xml:space="preserve">N</w:t>
            </w:r>
          </w:p>
        </w:tc>
        <w:tc>
          <w:tcPr>
            <w:tcW w:w="1267" w:type="dxa"/>
          </w:tcPr>
          <w:p>
            <w:pPr>
              <w:pStyle w:val="Compact"/>
              <w:jc w:val="center"/>
            </w:pPr>
            <w:r>
              <w:t xml:space="preserve">CorePAM C</w:t>
            </w:r>
          </w:p>
        </w:tc>
        <w:tc>
          <w:tcPr>
            <w:tcW w:w="987" w:type="dxa"/>
          </w:tcPr>
          <w:p>
            <w:pPr>
              <w:pStyle w:val="Compact"/>
              <w:jc w:val="center"/>
            </w:pPr>
            <w:r>
              <w:rPr>
                <w:i/>
                <w:iCs/>
              </w:rPr>
              <w:t xml:space="preserve">ROR-S</w:t>
            </w:r>
            <w:r>
              <w:t xml:space="preserve"> </w:t>
            </w:r>
            <w:r>
              <w:t xml:space="preserve">C</w:t>
            </w:r>
          </w:p>
        </w:tc>
        <w:tc>
          <w:tcPr>
            <w:tcW w:w="1151" w:type="dxa"/>
          </w:tcPr>
          <w:p>
            <w:pPr>
              <w:pStyle w:val="Compact"/>
              <w:jc w:val="center"/>
            </w:pPr>
            <w:r>
              <w:t xml:space="preserve">ODX-RS C</w:t>
            </w:r>
          </w:p>
        </w:tc>
        <w:tc>
          <w:tcPr>
            <w:tcW w:w="1212" w:type="dxa"/>
          </w:tcPr>
          <w:p>
            <w:pPr>
              <w:pStyle w:val="Compact"/>
              <w:jc w:val="center"/>
            </w:pPr>
            <w:r>
              <w:t xml:space="preserve">CorePAM HR</w:t>
            </w:r>
          </w:p>
        </w:tc>
        <w:tc>
          <w:tcPr>
            <w:tcW w:w="1151" w:type="dxa"/>
          </w:tcPr>
          <w:p>
            <w:pPr>
              <w:pStyle w:val="Compact"/>
              <w:jc w:val="center"/>
            </w:pPr>
            <w:r>
              <w:rPr>
                <w:i/>
                <w:iCs/>
              </w:rPr>
              <w:t xml:space="preserve">ROR-S</w:t>
            </w:r>
            <w:r>
              <w:t xml:space="preserve"> </w:t>
            </w:r>
            <w:r>
              <w:t xml:space="preserve">HR</w:t>
            </w:r>
          </w:p>
        </w:tc>
        <w:tc>
          <w:tcPr>
            <w:tcW w:w="1272" w:type="dxa"/>
          </w:tcPr>
          <w:p>
            <w:pPr>
              <w:pStyle w:val="Compact"/>
              <w:jc w:val="center"/>
            </w:pPr>
            <w:r>
              <w:t xml:space="preserve">ODX-RS HR</w:t>
            </w:r>
          </w:p>
        </w:tc>
      </w:tr>
      <w:tr>
        <w:tc>
          <w:tcPr>
            <w:tcW w:w="1300" w:type="dxa"/>
          </w:tcPr>
          <w:p>
            <w:pPr>
              <w:pStyle w:val="Compact"/>
              <w:jc w:val="center"/>
            </w:pPr>
            <w:r>
              <w:t xml:space="preserve">SCAN-B</w:t>
            </w:r>
          </w:p>
        </w:tc>
        <w:tc>
          <w:tcPr>
            <w:tcW w:w="730" w:type="dxa"/>
          </w:tcPr>
          <w:p>
            <w:pPr>
              <w:pStyle w:val="Compact"/>
              <w:jc w:val="center"/>
            </w:pPr>
            <w:r>
              <w:t xml:space="preserve">3 069</w:t>
            </w:r>
          </w:p>
        </w:tc>
        <w:tc>
          <w:tcPr>
            <w:tcW w:w="1267" w:type="dxa"/>
          </w:tcPr>
          <w:p>
            <w:pPr>
              <w:pStyle w:val="Compact"/>
              <w:jc w:val="center"/>
            </w:pPr>
            <w:r>
              <w:rPr>
                <w:b/>
                <w:bCs/>
              </w:rPr>
              <w:t xml:space="preserve">0,698</w:t>
            </w:r>
          </w:p>
        </w:tc>
        <w:tc>
          <w:tcPr>
            <w:tcW w:w="987" w:type="dxa"/>
          </w:tcPr>
          <w:p>
            <w:pPr>
              <w:pStyle w:val="Compact"/>
              <w:jc w:val="center"/>
            </w:pPr>
            <w:r>
              <w:t xml:space="preserve">0,641</w:t>
            </w:r>
          </w:p>
        </w:tc>
        <w:tc>
          <w:tcPr>
            <w:tcW w:w="1151" w:type="dxa"/>
          </w:tcPr>
          <w:p>
            <w:pPr>
              <w:pStyle w:val="Compact"/>
              <w:jc w:val="center"/>
            </w:pPr>
            <w:r>
              <w:t xml:space="preserve">0,607</w:t>
            </w:r>
          </w:p>
        </w:tc>
        <w:tc>
          <w:tcPr>
            <w:tcW w:w="1212" w:type="dxa"/>
          </w:tcPr>
          <w:p>
            <w:pPr>
              <w:pStyle w:val="Compact"/>
              <w:jc w:val="center"/>
            </w:pPr>
            <w:r>
              <w:rPr>
                <w:b/>
                <w:bCs/>
              </w:rPr>
              <w:t xml:space="preserve">1,92</w:t>
            </w:r>
          </w:p>
        </w:tc>
        <w:tc>
          <w:tcPr>
            <w:tcW w:w="1151" w:type="dxa"/>
          </w:tcPr>
          <w:p>
            <w:pPr>
              <w:pStyle w:val="Compact"/>
              <w:jc w:val="center"/>
            </w:pPr>
            <w:r>
              <w:t xml:space="preserve">1,56</w:t>
            </w:r>
          </w:p>
        </w:tc>
        <w:tc>
          <w:tcPr>
            <w:tcW w:w="1272" w:type="dxa"/>
          </w:tcPr>
          <w:p>
            <w:pPr>
              <w:pStyle w:val="Compact"/>
              <w:jc w:val="center"/>
            </w:pPr>
            <w:r>
              <w:t xml:space="preserve">1,40</w:t>
            </w:r>
          </w:p>
        </w:tc>
      </w:tr>
      <w:tr>
        <w:tc>
          <w:tcPr>
            <w:tcW w:w="1300" w:type="dxa"/>
          </w:tcPr>
          <w:p>
            <w:pPr>
              <w:pStyle w:val="Compact"/>
              <w:jc w:val="center"/>
            </w:pPr>
            <w:r>
              <w:t xml:space="preserve">TCGA-BRCA</w:t>
            </w:r>
          </w:p>
        </w:tc>
        <w:tc>
          <w:tcPr>
            <w:tcW w:w="730" w:type="dxa"/>
          </w:tcPr>
          <w:p>
            <w:pPr>
              <w:pStyle w:val="Compact"/>
              <w:jc w:val="center"/>
            </w:pPr>
            <w:r>
              <w:t xml:space="preserve">1 072</w:t>
            </w:r>
          </w:p>
        </w:tc>
        <w:tc>
          <w:tcPr>
            <w:tcW w:w="1267" w:type="dxa"/>
          </w:tcPr>
          <w:p>
            <w:pPr>
              <w:pStyle w:val="Compact"/>
              <w:jc w:val="center"/>
            </w:pPr>
            <w:r>
              <w:rPr>
                <w:b/>
                <w:bCs/>
              </w:rPr>
              <w:t xml:space="preserve">0,624</w:t>
            </w:r>
          </w:p>
        </w:tc>
        <w:tc>
          <w:tcPr>
            <w:tcW w:w="987" w:type="dxa"/>
          </w:tcPr>
          <w:p>
            <w:pPr>
              <w:pStyle w:val="Compact"/>
              <w:jc w:val="center"/>
            </w:pPr>
            <w:r>
              <w:t xml:space="preserve">0,602</w:t>
            </w:r>
          </w:p>
        </w:tc>
        <w:tc>
          <w:tcPr>
            <w:tcW w:w="1151" w:type="dxa"/>
          </w:tcPr>
          <w:p>
            <w:pPr>
              <w:pStyle w:val="Compact"/>
              <w:jc w:val="center"/>
            </w:pPr>
            <w:r>
              <w:t xml:space="preserve">0,586</w:t>
            </w:r>
          </w:p>
        </w:tc>
        <w:tc>
          <w:tcPr>
            <w:tcW w:w="1212" w:type="dxa"/>
          </w:tcPr>
          <w:p>
            <w:pPr>
              <w:pStyle w:val="Compact"/>
              <w:jc w:val="center"/>
            </w:pPr>
            <w:r>
              <w:t xml:space="preserve">1,20</w:t>
            </w:r>
          </w:p>
        </w:tc>
        <w:tc>
          <w:tcPr>
            <w:tcW w:w="1151" w:type="dxa"/>
          </w:tcPr>
          <w:p>
            <w:pPr>
              <w:pStyle w:val="Compact"/>
              <w:jc w:val="center"/>
            </w:pPr>
            <w:r>
              <w:rPr>
                <w:b/>
                <w:bCs/>
              </w:rPr>
              <w:t xml:space="preserve">1,25</w:t>
            </w:r>
          </w:p>
        </w:tc>
        <w:tc>
          <w:tcPr>
            <w:tcW w:w="1272" w:type="dxa"/>
          </w:tcPr>
          <w:p>
            <w:pPr>
              <w:pStyle w:val="Compact"/>
              <w:jc w:val="center"/>
            </w:pPr>
            <w:r>
              <w:t xml:space="preserve">1,13</w:t>
            </w:r>
          </w:p>
        </w:tc>
      </w:tr>
      <w:tr>
        <w:tc>
          <w:tcPr>
            <w:tcW w:w="1300" w:type="dxa"/>
          </w:tcPr>
          <w:p>
            <w:pPr>
              <w:pStyle w:val="Compact"/>
              <w:jc w:val="center"/>
            </w:pPr>
            <w:r>
              <w:t xml:space="preserve">METABRIC</w:t>
            </w:r>
          </w:p>
        </w:tc>
        <w:tc>
          <w:tcPr>
            <w:tcW w:w="730" w:type="dxa"/>
          </w:tcPr>
          <w:p>
            <w:pPr>
              <w:pStyle w:val="Compact"/>
              <w:jc w:val="center"/>
            </w:pPr>
            <w:r>
              <w:t xml:space="preserve">1 978</w:t>
            </w:r>
          </w:p>
        </w:tc>
        <w:tc>
          <w:tcPr>
            <w:tcW w:w="1267" w:type="dxa"/>
          </w:tcPr>
          <w:p>
            <w:pPr>
              <w:pStyle w:val="Compact"/>
              <w:jc w:val="center"/>
            </w:pPr>
            <w:r>
              <w:t xml:space="preserve">0,638</w:t>
            </w:r>
          </w:p>
        </w:tc>
        <w:tc>
          <w:tcPr>
            <w:tcW w:w="987" w:type="dxa"/>
          </w:tcPr>
          <w:p>
            <w:pPr>
              <w:pStyle w:val="Compact"/>
              <w:jc w:val="center"/>
            </w:pPr>
            <w:r>
              <w:t xml:space="preserve">0,643</w:t>
            </w:r>
          </w:p>
        </w:tc>
        <w:tc>
          <w:tcPr>
            <w:tcW w:w="1151" w:type="dxa"/>
          </w:tcPr>
          <w:p>
            <w:pPr>
              <w:pStyle w:val="Compact"/>
              <w:jc w:val="center"/>
            </w:pPr>
            <w:r>
              <w:rPr>
                <w:b/>
                <w:bCs/>
              </w:rPr>
              <w:t xml:space="preserve">0,665</w:t>
            </w:r>
          </w:p>
        </w:tc>
        <w:tc>
          <w:tcPr>
            <w:tcW w:w="1212" w:type="dxa"/>
          </w:tcPr>
          <w:p>
            <w:pPr>
              <w:pStyle w:val="Compact"/>
              <w:jc w:val="center"/>
            </w:pPr>
            <w:r>
              <w:t xml:space="preserve">1,41</w:t>
            </w:r>
          </w:p>
        </w:tc>
        <w:tc>
          <w:tcPr>
            <w:tcW w:w="1151" w:type="dxa"/>
          </w:tcPr>
          <w:p>
            <w:pPr>
              <w:pStyle w:val="Compact"/>
              <w:jc w:val="center"/>
            </w:pPr>
            <w:r>
              <w:t xml:space="preserve">1,53</w:t>
            </w:r>
          </w:p>
        </w:tc>
        <w:tc>
          <w:tcPr>
            <w:tcW w:w="1272" w:type="dxa"/>
          </w:tcPr>
          <w:p>
            <w:pPr>
              <w:pStyle w:val="Compact"/>
              <w:jc w:val="center"/>
            </w:pPr>
            <w:r>
              <w:rPr>
                <w:b/>
                <w:bCs/>
              </w:rPr>
              <w:t xml:space="preserve">1,51</w:t>
            </w:r>
          </w:p>
        </w:tc>
      </w:tr>
      <w:tr>
        <w:tc>
          <w:tcPr>
            <w:tcW w:w="1300" w:type="dxa"/>
          </w:tcPr>
          <w:p>
            <w:pPr>
              <w:pStyle w:val="Compact"/>
              <w:jc w:val="center"/>
            </w:pPr>
            <w:r>
              <w:t xml:space="preserve">GSE20685</w:t>
            </w:r>
          </w:p>
        </w:tc>
        <w:tc>
          <w:tcPr>
            <w:tcW w:w="730" w:type="dxa"/>
          </w:tcPr>
          <w:p>
            <w:pPr>
              <w:pStyle w:val="Compact"/>
              <w:jc w:val="center"/>
            </w:pPr>
            <w:r>
              <w:t xml:space="preserve">327</w:t>
            </w:r>
          </w:p>
        </w:tc>
        <w:tc>
          <w:tcPr>
            <w:tcW w:w="1267" w:type="dxa"/>
          </w:tcPr>
          <w:p>
            <w:pPr>
              <w:pStyle w:val="Compact"/>
              <w:jc w:val="center"/>
            </w:pPr>
            <w:r>
              <w:t xml:space="preserve">0,626</w:t>
            </w:r>
          </w:p>
        </w:tc>
        <w:tc>
          <w:tcPr>
            <w:tcW w:w="987" w:type="dxa"/>
          </w:tcPr>
          <w:p>
            <w:pPr>
              <w:pStyle w:val="Compact"/>
              <w:jc w:val="center"/>
            </w:pPr>
            <w:r>
              <w:t xml:space="preserve">0,646</w:t>
            </w:r>
          </w:p>
        </w:tc>
        <w:tc>
          <w:tcPr>
            <w:tcW w:w="1151" w:type="dxa"/>
          </w:tcPr>
          <w:p>
            <w:pPr>
              <w:pStyle w:val="Compact"/>
              <w:jc w:val="center"/>
            </w:pPr>
            <w:r>
              <w:rPr>
                <w:b/>
                <w:bCs/>
              </w:rPr>
              <w:t xml:space="preserve">0,651</w:t>
            </w:r>
          </w:p>
        </w:tc>
        <w:tc>
          <w:tcPr>
            <w:tcW w:w="1212" w:type="dxa"/>
          </w:tcPr>
          <w:p>
            <w:pPr>
              <w:pStyle w:val="Compact"/>
              <w:jc w:val="center"/>
            </w:pPr>
            <w:r>
              <w:t xml:space="preserve">1,40</w:t>
            </w:r>
          </w:p>
        </w:tc>
        <w:tc>
          <w:tcPr>
            <w:tcW w:w="1151" w:type="dxa"/>
          </w:tcPr>
          <w:p>
            <w:pPr>
              <w:pStyle w:val="Compact"/>
              <w:jc w:val="center"/>
            </w:pPr>
            <w:r>
              <w:t xml:space="preserve">1,55</w:t>
            </w:r>
          </w:p>
        </w:tc>
        <w:tc>
          <w:tcPr>
            <w:tcW w:w="1272" w:type="dxa"/>
          </w:tcPr>
          <w:p>
            <w:pPr>
              <w:pStyle w:val="Compact"/>
              <w:jc w:val="center"/>
            </w:pPr>
            <w:r>
              <w:rPr>
                <w:b/>
                <w:bCs/>
              </w:rPr>
              <w:t xml:space="preserve">1,61</w:t>
            </w:r>
          </w:p>
        </w:tc>
      </w:tr>
    </w:tbl>
    <w:bookmarkEnd w:id="214"/>
    <w:p/>
    <w:bookmarkStart w:id="218" w:name="fig-cindex-comparison"/>
    <w:p>
      <w:pPr>
        <w:pStyle w:val="Compact"/>
        <w:jc w:val="center"/>
      </w:pPr>
      <w:r>
        <w:drawing>
          <wp:inline>
            <wp:extent cx="5687999" cy="4062857"/>
            <wp:effectExtent b="0" l="0" r="0" t="0"/>
            <wp:docPr descr="" title="" id="216" name="Picture"/>
            <a:graphic>
              <a:graphicData uri="http://schemas.openxmlformats.org/drawingml/2006/picture">
                <pic:pic>
                  <pic:nvPicPr>
                    <pic:cNvPr descr="../figures/supp/pt/png/FigS_Cindex_ByCohort_PT.png" id="217" name="Picture"/>
                    <pic:cNvPicPr>
                      <a:picLocks noChangeArrowheads="1" noChangeAspect="1"/>
                    </pic:cNvPicPr>
                  </pic:nvPicPr>
                  <pic:blipFill>
                    <a:blip r:embed="rId215"/>
                    <a:stretch>
                      <a:fillRect/>
                    </a:stretch>
                  </pic:blipFill>
                  <pic:spPr bwMode="auto">
                    <a:xfrm>
                      <a:off x="0" y="0"/>
                      <a:ext cx="5687999" cy="4062857"/>
                    </a:xfrm>
                    <a:prstGeom prst="rect">
                      <a:avLst/>
                    </a:prstGeom>
                    <a:noFill/>
                    <a:ln w="9525">
                      <a:noFill/>
                      <a:headEnd/>
                      <a:tailEnd/>
                    </a:ln>
                  </pic:spPr>
                </pic:pic>
              </a:graphicData>
            </a:graphic>
          </wp:inline>
        </w:drawing>
      </w:r>
    </w:p>
    <w:p>
      <w:pPr>
        <w:jc w:val="left"/>
        <w:spacing w:before="200"/>
        <w:pStyle w:val="ImageCaption"/>
      </w:pPr>
      <w:r>
        <w:t xml:space="preserve">Figura 29 — Comparação de C-index: CorePAM vs ROR-S vs OncotypeDX-RS (implementações genefu) por coorte. O CorePAM demonstra desempenho competitivo, com vantagem nas coortes RNA-seq e déficits nas coortes microarray — refletindo o domínio de treinamento.</w:t>
      </w:r>
    </w:p>
    <w:bookmarkEnd w:id="218"/>
    <w:p>
      <w:pPr>
        <w:pStyle w:val="BodyText"/>
      </w:pPr>
      <w:r>
        <w:t xml:space="preserve">Na</w:t>
      </w:r>
      <w:r>
        <w:t xml:space="preserve"> </w:t>
      </w:r>
      <w:hyperlink w:anchor="fig-cindex-comparison">
        <w:r>
          <w:rPr>
            <w:rStyle w:val="Hyperlink"/>
            <w:color w:val="0563C1"/>
            <w:u w:val="single"/>
          </w:rPr>
          <w:t xml:space="preserve">Figura 29</w:t>
        </w:r>
      </w:hyperlink>
      <w:r>
        <w:t xml:space="preserve">, o eixo vertical resume a discriminação de cada assinatura por coorte. A leitura importante não é declarar um vencedor universal, porque isso seria artificial. O CorePAM performa melhor nas coortes</w:t>
      </w:r>
      <w:r>
        <w:t xml:space="preserve"> </w:t>
      </w:r>
      <w:r>
        <w:rPr>
          <w:i/>
          <w:iCs/>
        </w:rPr>
        <w:t xml:space="preserve">RNA-seq</w:t>
      </w:r>
      <w:r>
        <w:t xml:space="preserve">, enquanto</w:t>
      </w:r>
      <w:r>
        <w:t xml:space="preserve"> </w:t>
      </w:r>
      <w:r>
        <w:rPr>
          <w:i/>
          <w:iCs/>
        </w:rPr>
        <w:t xml:space="preserve">OncotypeDX</w:t>
      </w:r>
      <w:r>
        <w:t xml:space="preserve">-RS tende a performar melhor nas coortes</w:t>
      </w:r>
      <w:r>
        <w:t xml:space="preserve"> </w:t>
      </w:r>
      <w:r>
        <w:rPr>
          <w:i/>
          <w:iCs/>
        </w:rPr>
        <w:t xml:space="preserve">microarray</w:t>
      </w:r>
      <w:r>
        <w:t xml:space="preserve">. Essa alternância é compatível com a literatura de assinaturas gênicas: testes diferentes capturam dimensões parcialmente sobrepostas, mas não idênticas, e sua performance depende de população, plataforma, desfecho e implementação. Para a prática clínica, a mensagem é que o CorePAM é competitivo como prova de conceito, mas ainda não substitui ensaios comerciais validados prospectivamente. Ele aponta um caminho de desenvolvimento de ensaio mais simples e potencialmente mais acessível.</w:t>
      </w:r>
    </w:p>
    <w:bookmarkEnd w:id="219"/>
    <w:bookmarkEnd w:id="220"/>
    <w:bookmarkStart w:id="235" w:name="discussão"/>
    <w:p>
      <w:pPr>
        <w:pageBreakBefore/>
        <w:pStyle w:val="Heading1"/>
      </w:pPr>
      <w:r>
        <w:t xml:space="preserve">5. DISCUSSÃO</w:t>
      </w:r>
    </w:p>
    <w:bookmarkStart w:id="221"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evitável. No câncer de mama, as assinaturas gênicas multigenes —</w:t>
      </w:r>
      <w:r>
        <w:t xml:space="preserve"> </w:t>
      </w:r>
      <w:r>
        <w:rPr>
          <w:i/>
          <w:iCs/>
        </w:rPr>
        <w:t xml:space="preserve">OncotypeDX</w:t>
      </w:r>
      <w:r>
        <w:rPr>
          <w:vertAlign w:val="superscript"/>
        </w:rPr>
        <w:t xml:space="preserve">22–25</w:t>
      </w:r>
      <w:r>
        <w:t xml:space="preserve">,</w:t>
      </w:r>
      <w:r>
        <w:t xml:space="preserve"> </w:t>
      </w:r>
      <w:r>
        <w:rPr>
          <w:i/>
          <w:iCs/>
        </w:rPr>
        <w:t xml:space="preserve">MammaPrint</w:t>
      </w:r>
      <w:r>
        <w:rPr>
          <w:vertAlign w:val="superscript"/>
        </w:rPr>
        <w:t xml:space="preserve">26–28</w:t>
      </w:r>
      <w:r>
        <w:t xml:space="preserve">, PAM50/</w:t>
      </w:r>
      <w:r>
        <w:rPr>
          <w:i/>
          <w:iCs/>
        </w:rPr>
        <w:t xml:space="preserve">Prosigna</w:t>
      </w:r>
      <w:r>
        <w:rPr>
          <w:vertAlign w:val="superscript"/>
        </w:rPr>
        <w:t xml:space="preserve">13,17,18</w:t>
      </w:r>
      <w:r>
        <w:t xml:space="preserve">,</w:t>
      </w:r>
      <w:r>
        <w:t xml:space="preserve"> </w:t>
      </w:r>
      <w:r>
        <w:rPr>
          <w:i/>
          <w:iCs/>
        </w:rPr>
        <w:t xml:space="preserve">EndoPredict</w:t>
      </w:r>
      <w:r>
        <w:rPr>
          <w:vertAlign w:val="superscript"/>
        </w:rPr>
        <w:t xml:space="preserve">29</w:t>
      </w:r>
      <w:r>
        <w:t xml:space="preserve"> </w:t>
      </w:r>
      <w:r>
        <w:t xml:space="preserve">e Breast Cancer Index</w:t>
      </w:r>
      <w:r>
        <w:rPr>
          <w:vertAlign w:val="superscript"/>
        </w:rPr>
        <w:t xml:space="preserve">30</w:t>
      </w:r>
      <w:r>
        <w:t xml:space="preserve"> </w:t>
      </w:r>
      <w:r>
        <w:t xml:space="preserve">— já pouparam milhares de mulheres no mundo de quimioterapia adjuvante desnecessária, especialmente em doença RE-positiva, HER2-negativa, linfonodo-negativa ou com 1-3 linfonodos positivos</w:t>
      </w:r>
      <w:r>
        <w:rPr>
          <w:vertAlign w:val="superscript"/>
        </w:rPr>
        <w:t xml:space="preserve">20,21</w:t>
      </w:r>
      <w:r>
        <w:t xml:space="preserve">. Em termos práticos, estimativas conservadoras indicam que um terço a metade das pacientes com câncer de mama RE+/HER2- estágio precoce elegíveis para quimioterapia adjuvante no modelo clínico tradicional pode, com segurança, evitá-la quando estratificada por essas ferramentas — uma redução absoluta de mortalidade por toxicidade, infertilidade induzida, cardiotoxicidade e neoplasias secundárias cujo impacto populacional é substancial</w:t>
      </w:r>
      <w:r>
        <w:rPr>
          <w:vertAlign w:val="superscript"/>
        </w:rPr>
        <w:t xml:space="preserve">4,7</w:t>
      </w:r>
      <w:r>
        <w:t xml:space="preserve">.</w:t>
      </w:r>
    </w:p>
    <w:p>
      <w:pPr>
        <w:pStyle w:val="BodyText"/>
      </w:pPr>
      <w:r>
        <w:t xml:space="preserve">No entanto, a realidade global é marcada por profundas desigualdades de acesso a essa tecnologia. O custo individual dos testes (US$ 3 000-4 000 nos EUA, preços análogos em mercado de saúde suplementar no Brasil), a dependência de laboratórios de referência centralizados e a logística de envio internacional são barreiras reais. No Brasil, o</w:t>
      </w:r>
      <w:r>
        <w:t xml:space="preserve"> </w:t>
      </w:r>
      <w:r>
        <w:rPr>
          <w:i/>
          <w:iCs/>
        </w:rPr>
        <w:t xml:space="preserve">OncotypeDX</w:t>
      </w:r>
      <w:r>
        <w:t xml:space="preserve"> </w:t>
      </w:r>
      <w:r>
        <w:t xml:space="preserve">foi incorporado ao Sistema Único de Saúde (SUS) por decisão da Comissão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é que, mesmo em centros acadêmicos públicos brasileiros de ponta, a indicação de quimioterapia adjuvante em doença RE+/HER2- continua a se apoiar majoritariamente em critérios clínico-patológicos clássicos — idade, T, N, grau, Ki67 por IHQ —, produzindo inevitavelmente um número de sub e sobre-tratamentos que a literatura internacional já demonstrou ser evitável.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ao maior comparador PAM50-full penalizado obtido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unitário por ensaio, menor exigência de infraestrutura e maior plausibilidade de execução em laboratórios de hospitais universitários brasileiros, sem dependência de envio internacional. O presente trabalho não se propõe a substituir um ensaio comercial por outro equivalente, mas sim a mostrar que a estrutura subjacente de informação prognóstica admite compressão considerável, o que é uma descoberta com implicações econômicas e de equidade não triviais.</w:t>
      </w:r>
    </w:p>
    <w:bookmarkEnd w:id="221"/>
    <w:bookmarkStart w:id="222"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(Delta-</w:t>
      </w:r>
      <w:r>
        <w:rPr>
          <w:i/>
          <w:iCs/>
        </w:rPr>
        <w:t xml:space="preserve">C-index</w:t>
      </w:r>
      <w:r>
        <w:t xml:space="preserve"> </w:t>
      </w:r>
      <w:r>
        <w:t xml:space="preserve">=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reprodutível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22"/>
    <w:bookmarkStart w:id="223" w:name="X986d28efad25c764b2311c3e14d27f16848bdb6"/>
    <w:p>
      <w:pPr>
        <w:pStyle w:val="Heading2"/>
      </w:pPr>
      <w:r>
        <w:t xml:space="preserve">5.3 Coerência biológica: por que esses 24 genes?</w:t>
      </w:r>
    </w:p>
    <w:p>
      <w:pPr>
        <w:pStyle w:val="FirstParagraph"/>
      </w:pPr>
      <w:r>
        <w:t xml:space="preserve">Os 24 genes do CorePAM não são um conjunto arbitrário; demonstram coerência biológica notável, representando todos os quatro eixos funcionais reconhecidos do PAM50 e da biologia intrínseca do câncer de mama</w:t>
      </w:r>
      <w:r>
        <w:rPr>
          <w:vertAlign w:val="superscript"/>
        </w:rP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estrogênio) é o regulador mestre do programa luminal; sua expressão é alta em tumores RE-positivos que dependem da via estrogênica e, portanto, respondem à terapia endócrina. PGR (receptor de progesterona) é um alvo direto da sinalização estrogênica funcional. BCL2 é regulador antiapoptótico classicamente associado a pior resposta à quimioterapia mas melhor prognóstico global em RE+. NAT1 e MLPH são genes menos conhecidos mas consistentemente altos em luminais bem diferenciados. FOXA1, fator de transcrição pioneiro, abre a cromatina para ESR1 e é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em nível transcricional, o que Ki67 tenta representar isoladamente na IHQ. Estes genes estão relacionados à progressão do ciclo celular (MYBL2, CDC20), reparo de DNA e segregação cromossômica (EXO1, CENPF, BIRC5, UBE2C), metabolismo de nucleotídeos (TYMS) e sinalização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é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Fenótipo basal e mioepitelial:</w:t>
      </w:r>
      <w:r>
        <w:t xml:space="preserve"> </w:t>
      </w:r>
      <w:r>
        <w:t xml:space="preserve">KRT5, KRT14, KRT17, FOXC1. Citoqueratinas de alto peso molecular e fator de transcrição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cânceres de mama); GRB7 co-localiza no amplicon 17q12; MIA integra a resposta</w:t>
      </w:r>
      <w:r>
        <w:t xml:space="preserve"> </w:t>
      </w:r>
      <w:r>
        <w:rPr>
          <w:i/>
          <w:iCs/>
        </w:rPr>
        <w:t xml:space="preserve">downstream</w:t>
      </w:r>
      <w:r>
        <w:t xml:space="preserve">.</w:t>
      </w:r>
    </w:p>
    <w:p>
      <w:pPr>
        <w:pStyle w:val="FirstParagraph"/>
      </w:pPr>
      <w:r>
        <w:t xml:space="preserve">A preservação dos quatro eixos no CorePAM é biologicamente não 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w:t>
      </w:r>
      <w:r>
        <w:t xml:space="preserve"> </w:t>
      </w:r>
      <w:r>
        <w:rPr>
          <w:i/>
          <w:iCs/>
        </w:rPr>
        <w:t xml:space="preserve">alpha</w:t>
      </w:r>
      <w:r>
        <w:t xml:space="preserve"> </w:t>
      </w:r>
      <w:r>
        <w:t xml:space="preserve">= 0,5 preservar os quatro eixos é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otimização, poderia ter sido racionalmente proposto por um biólogo do câncer de mama que se perguntasse</w:t>
      </w:r>
      <w:r>
        <w:t xml:space="preserve"> </w:t>
      </w:r>
      <w:r>
        <w:t xml:space="preserve">“qual é o subconjunto mínimo de genes que captura proliferação, diferenciação luminal, basal e HER2?”</w:t>
      </w:r>
      <w:r>
        <w:t xml:space="preserve">. A convergência entre escolha orientada por dados e escolha racional biológica é um indicador forte de que o resultado não é um artefato de overfitting.</w:t>
      </w:r>
    </w:p>
    <w:bookmarkEnd w:id="223"/>
    <w:bookmarkStart w:id="224"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painéis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o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w:t>
      </w:r>
      <w:r>
        <w:t xml:space="preserve"> </w:t>
      </w:r>
      <m:oMath>
        <m:r>
          <m:t>r</m:t>
        </m:r>
        <m:r>
          <m:rPr>
            <m:sty m:val="p"/>
          </m:rPr>
          <m:t>≥</m:t>
        </m:r>
        <m:r>
          <m:t>0</m:t>
        </m:r>
        <m:r>
          <m:rPr>
            <m:sty m:val="p"/>
          </m:rPr>
          <m:t>,</m:t>
        </m:r>
        <m:r>
          <m:t>958</m:t>
        </m:r>
      </m:oMath>
      <w:r>
        <w:t xml:space="preserve"> </w:t>
      </w:r>
      <w:r>
        <w:t xml:space="preserve">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é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distorções específicas em determinados transcritos do PAM50 (particularmente genes de baixa expressão basal ou com alta heterogeneidade de isoformas). Esta observação informa uma recomendação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descendência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24"/>
    <w:bookmarkStart w:id="225" w:name="X09309006730d5e448ff9f40dfabccfdd9a5f18b"/>
    <w:p>
      <w:pPr>
        <w:pStyle w:val="Heading2"/>
      </w:pPr>
      <w:r>
        <w:t xml:space="preserve">5.5 O paradoxo de menos genes, mais informação</w:t>
      </w:r>
    </w:p>
    <w:p>
      <w:pPr>
        <w:pStyle w:val="FirstParagraph"/>
      </w:pPr>
      <w:r>
        <w:t xml:space="preserve">Em três das quatro coortes externas — METABRIC, GSE20685 e GSE1456 —, o modelo CorePAM de 24 genes superou significativamente o comparador PAM50-full penalizado, que manteve 49 coeficientes não-zero, em discriminação (</w:t>
      </w:r>
      <w:r>
        <w:rPr>
          <w:i/>
          <w:iCs/>
        </w:rPr>
        <w:t xml:space="preserve">C-index</w:t>
      </w:r>
      <w:r>
        <w:t xml:space="preserve">). O PAM50 canônico continua sendo um painel de 50 genes; o número 49 aqui pertence apenas ao comparador estatístico ajustado no nosso</w:t>
      </w:r>
      <w:r>
        <w:t xml:space="preserve"> </w:t>
      </w:r>
      <w:r>
        <w:rPr>
          <w:i/>
          <w:iCs/>
        </w:rPr>
        <w:t xml:space="preserve">pipeline</w:t>
      </w:r>
      <w:r>
        <w:t xml:space="preserve">. Apenas em TCGA-BRCA os dois modelos foram equivalentes. A princípio, este resultado é contraintuitivo: como um modelo com menos informação pode discriminar melhor do que um com mais informação?</w:t>
      </w:r>
    </w:p>
    <w:p>
      <w:pPr>
        <w:pStyle w:val="BodyText"/>
      </w:pPr>
      <w:r>
        <w:t xml:space="preserve">A explicação reside classicamente no</w:t>
      </w:r>
      <w:r>
        <w:t xml:space="preserve"> </w:t>
      </w:r>
      <w:r>
        <w:rPr>
          <w:b/>
          <w:bCs/>
        </w:rPr>
        <w:t xml:space="preserve">trade-off viés-variância</w:t>
      </w:r>
      <w:r>
        <w:t xml:space="preserve"> </w:t>
      </w:r>
      <w:r>
        <w:t xml:space="preserve">da teoria estatística. Um modelo com até 49 coeficientes não-zero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construção, descarta coeficientes pequenos que refletem majoritariamente ruído e mantém apenas os sinais robustos — sendo, portanto, menos sujeito a esta degradação.</w:t>
      </w:r>
    </w:p>
    <w:p>
      <w:pPr>
        <w:pStyle w:val="BodyText"/>
      </w:pPr>
      <w:r>
        <w:t xml:space="preserve">A magnitude do ganho do modelo mais parcimonioso aumenta com a distância da plataforma de teste em relação à plataforma de treinamento (maior em</w:t>
      </w:r>
      <w:r>
        <w:t xml:space="preserve"> </w:t>
      </w:r>
      <w:r>
        <w:rPr>
          <w:i/>
          <w:iCs/>
        </w:rPr>
        <w:t xml:space="preserve">Affymetrix</w:t>
      </w:r>
      <w:r>
        <w:t xml:space="preserve"> </w:t>
      </w:r>
      <w:r>
        <w:t xml:space="preserve">GSE1456, menor em TCGA-BRCA). Este gradiente é consistente com a interpretação: quanto mais distante a plataforma, mais o ruído específico do SCAN-B captado pelo comparador penalizado maior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cosmética (reduzir tamanho), mas como ferramenta ativa de melhoria de generalização. O CorePAM não é apenas mais barato de implementar; é, provavelmente, mais transportável.</w:t>
      </w:r>
    </w:p>
    <w:bookmarkEnd w:id="225"/>
    <w:bookmarkStart w:id="226"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Três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esta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w:t>
      </w:r>
      <w:r>
        <w:rPr>
          <w:b/>
          <w:bCs/>
        </w:rPr>
        <w:t xml:space="preserve"> </w:t>
      </w:r>
      <w:r>
        <w:rPr>
          <w:b/>
          <w:bCs/>
          <w:i/>
          <w:iCs/>
        </w:rPr>
        <w:t xml:space="preserve">scoring</w:t>
      </w:r>
      <w:r>
        <w:rPr>
          <w:b/>
          <w:bCs/>
        </w:rPr>
        <w:t xml:space="preserve">:</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é recomendável.</w:t>
      </w:r>
    </w:p>
    <w:bookmarkEnd w:id="226"/>
    <w:bookmarkStart w:id="227"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é precisamente na doença RE-positiva, HER2-negativa, estágio precoce que os ensaios multigenes são mais utilizados para decisão de quimioterapia adjuvante.</w:t>
      </w:r>
    </w:p>
    <w:p>
      <w:pPr>
        <w:pStyle w:val="BodyText"/>
      </w:pPr>
      <w:r>
        <w:t xml:space="preserve">A interpretação biológica é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dimensões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é que o CorePAM — como o</w:t>
      </w:r>
      <w:r>
        <w:t xml:space="preserve"> </w:t>
      </w:r>
      <w:r>
        <w:rPr>
          <w:i/>
          <w:iCs/>
        </w:rPr>
        <w:t xml:space="preserve">OncotypeDX</w:t>
      </w:r>
      <w:r>
        <w:t xml:space="preserve">, o</w:t>
      </w:r>
      <w:r>
        <w:t xml:space="preserve"> </w:t>
      </w:r>
      <w:r>
        <w:rPr>
          <w:i/>
          <w:iCs/>
        </w:rPr>
        <w:t xml:space="preserve">MammaPrint</w:t>
      </w:r>
      <w:r>
        <w:t xml:space="preserve"> </w:t>
      </w:r>
      <w:r>
        <w:t xml:space="preserve">e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é menos justificada pela biologia.</w:t>
      </w:r>
    </w:p>
    <w:bookmarkEnd w:id="227"/>
    <w:bookmarkStart w:id="228"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à resposta patológica completa (pCR) à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é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à quimioterapia neoadjuvante (drogas citotóxicas atuam preferencialmente em células em divisão). Este</w:t>
      </w:r>
      <w:r>
        <w:t xml:space="preserve"> </w:t>
      </w:r>
      <w:r>
        <w:rPr>
          <w:i/>
          <w:iCs/>
        </w:rPr>
        <w:t xml:space="preserve">paradoxo</w:t>
      </w:r>
      <w:r>
        <w:t xml:space="preserve"> </w:t>
      </w:r>
      <w:r>
        <w:t xml:space="preserve">— que tumores biologicamente ruins são, em parte, mais quimiossensíveis — é clássico na oncologia mamária</w:t>
      </w:r>
      <w:r>
        <w:rPr>
          <w:vertAlign w:val="superscript"/>
        </w:rP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é que o escore pode ter utilidade bivalente em cenários clínicos específicos: em doença RE-positiva, para decidir se é necessário adicionar quimioterapia à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28"/>
    <w:bookmarkStart w:id="229"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têm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à população-alvo). Este padrão não é peculiar do CorePAM; é comum em modelos derivados em uma coorte e aplicados em outra com prevalência de eventos, seguimento e composição clínica distintas.</w:t>
      </w:r>
    </w:p>
    <w:p>
      <w:pPr>
        <w:pStyle w:val="BodyText"/>
      </w:pPr>
      <w:r>
        <w:t xml:space="preserve">A implicação prática é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29"/>
    <w:bookmarkStart w:id="230"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é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30"/>
    <w:bookmarkStart w:id="231"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É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é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e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 aprovação de</w:t>
      </w:r>
      <w:r>
        <w:t xml:space="preserve"> </w:t>
      </w:r>
      <w:r>
        <w:rPr>
          <w:i/>
          <w:iCs/>
        </w:rPr>
        <w:t xml:space="preserve">in vitro diagnostics</w:t>
      </w:r>
      <w:r>
        <w:t xml:space="preserve">.</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é impossível, e todos seguem modelo já trilhado por assinaturas concorrentes.</w:t>
      </w:r>
    </w:p>
    <w:bookmarkEnd w:id="231"/>
    <w:bookmarkStart w:id="232"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e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executável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e, crucialmente, com execução local, sem dependência de logística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é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trás do presente trabalho e sua validação requer estudo subsequente específico de custo-efetividade no contexto brasileiro.</w:t>
      </w:r>
    </w:p>
    <w:bookmarkEnd w:id="232"/>
    <w:bookmarkStart w:id="233"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Populações predominantemente europeias.</w:t>
      </w:r>
      <w:r>
        <w:t xml:space="preserve"> </w:t>
      </w:r>
      <w:r>
        <w:t xml:space="preserve">SCAN-B (sueca), TCGA-BRCA (maioria americana, predominantemente de descendência europeia), METABRIC (britânica, canadense), GSE1456 (sueca). GSE20685 (Taiwan) é a única coorte com predominância asiática. Nenhuma coorte brasileira ou latino-americana foi testada. Desempenho em populações com composição genética e prevalência de subtipos distintas é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têm informação de grau histológico, T, N, HER2 em formatos harmonizáveis.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aproximações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é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produção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33"/>
    <w:bookmarkStart w:id="234"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obrigatória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discordância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é provavelmente subótimo para decisão, e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hipotético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à realidade do SUS.</w:t>
      </w:r>
    </w:p>
    <w:p>
      <w:pPr>
        <w:pStyle w:val="FirstParagraph"/>
      </w:pPr>
      <w:r>
        <w:t xml:space="preserve">Horizontes mais distantes incluem a adaptação do CorePAM para plataformas de terceira geração (sequenciamento de RNA de célula única e sequenciamento Nanopore direto de RNA) e a integração com inteligência artificial multimodal combinando patologia digital (imagens histológicas processadas por deep learning) com assinatura gênica reduzida — cenário que pode produzir ferramentas prognósticas ainda mais robustas e acessíveis.</w:t>
      </w:r>
    </w:p>
    <w:bookmarkEnd w:id="234"/>
    <w:bookmarkEnd w:id="235"/>
    <w:bookmarkStart w:id="236" w:name="conclusão"/>
    <w:p>
      <w:pPr>
        <w:pageBreakBefore/>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e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comparador PAM50-full penalizado com 49 coeficientes não-zero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e a validação clínica prospectiva são os próximos passos necessários para qualquer aplicação clínica.</w:t>
      </w:r>
    </w:p>
    <w:bookmarkEnd w:id="236"/>
    <w:bookmarkStart w:id="389" w:name="referências-bibliográficas"/>
    <w:p>
      <w:pPr>
        <w:pageBreakBefore/>
        <w:pStyle w:val="Heading1"/>
      </w:pPr>
      <w:r>
        <w:t xml:space="preserve">REFERÊNCIAS BIBLIOGRÁFICAS</w:t>
      </w:r>
    </w:p>
    <w:bookmarkStart w:id="388" w:name="refs"/>
    <w:bookmarkStart w:id="238"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r>
        <w:t xml:space="preserve"> </w:t>
      </w:r>
      <w:hyperlink r:id="rId237">
        <w:r>
          <w:rPr>
            <w:rStyle w:val="Hyperlink"/>
            <w:color w:val="0563C1"/>
            <w:u w:val="single"/>
          </w:rPr>
          <w:t xml:space="preserve">https://doi.org/10.3322/caac.21660</w:t>
        </w:r>
      </w:hyperlink>
    </w:p>
    <w:bookmarkEnd w:id="238"/>
    <w:bookmarkStart w:id="240"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r>
        <w:t xml:space="preserve"> </w:t>
      </w:r>
      <w:hyperlink r:id="rId239">
        <w:r>
          <w:rPr>
            <w:rStyle w:val="Hyperlink"/>
            <w:color w:val="0563C1"/>
            <w:u w:val="single"/>
          </w:rPr>
          <w:t xml:space="preserve">https://doi.org/10.3322/caac.21834</w:t>
        </w:r>
      </w:hyperlink>
    </w:p>
    <w:bookmarkEnd w:id="240"/>
    <w:bookmarkStart w:id="242"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r>
        <w:t xml:space="preserve"> </w:t>
      </w:r>
      <w:hyperlink r:id="rId241">
        <w:r>
          <w:rPr>
            <w:rStyle w:val="Hyperlink"/>
            <w:color w:val="0563C1"/>
            <w:u w:val="single"/>
          </w:rPr>
          <w:t xml:space="preserve">https://doi.org/10.1016/S0140-6736(11)61625-5</w:t>
        </w:r>
      </w:hyperlink>
    </w:p>
    <w:bookmarkEnd w:id="242"/>
    <w:bookmarkStart w:id="244"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r>
        <w:t xml:space="preserve"> </w:t>
      </w:r>
      <w:hyperlink r:id="rId243">
        <w:r>
          <w:rPr>
            <w:rStyle w:val="Hyperlink"/>
            <w:color w:val="0563C1"/>
            <w:u w:val="single"/>
          </w:rPr>
          <w:t xml:space="preserve">https://doi.org/10.1016/S0140-6736(11)60993-8</w:t>
        </w:r>
      </w:hyperlink>
    </w:p>
    <w:bookmarkEnd w:id="244"/>
    <w:bookmarkStart w:id="245"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45"/>
    <w:bookmarkStart w:id="247"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w:t>
      </w:r>
      <w:r>
        <w:t xml:space="preserve"> </w:t>
      </w:r>
      <w:hyperlink r:id="rId246">
        <w:r>
          <w:rPr>
            <w:rStyle w:val="Hyperlink"/>
            <w:color w:val="0563C1"/>
            <w:u w:val="single"/>
          </w:rPr>
          <w:t xml:space="preserve">https://doi.org/10.1590/0102-311X00074817</w:t>
        </w:r>
      </w:hyperlink>
    </w:p>
    <w:bookmarkEnd w:id="247"/>
    <w:bookmarkStart w:id="249"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r>
        <w:t xml:space="preserve"> </w:t>
      </w:r>
      <w:hyperlink r:id="rId248">
        <w:r>
          <w:rPr>
            <w:rStyle w:val="Hyperlink"/>
            <w:color w:val="0563C1"/>
            <w:u w:val="single"/>
          </w:rPr>
          <w:t xml:space="preserve">https://doi.org/10.1038/s41572-019-0111-2</w:t>
        </w:r>
      </w:hyperlink>
    </w:p>
    <w:bookmarkEnd w:id="249"/>
    <w:bookmarkStart w:id="251"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r>
        <w:t xml:space="preserve"> </w:t>
      </w:r>
      <w:hyperlink r:id="rId250">
        <w:r>
          <w:rPr>
            <w:rStyle w:val="Hyperlink"/>
            <w:color w:val="0563C1"/>
            <w:u w:val="single"/>
          </w:rPr>
          <w:t xml:space="preserve">https://doi.org/10.1038/35021093</w:t>
        </w:r>
      </w:hyperlink>
    </w:p>
    <w:bookmarkEnd w:id="251"/>
    <w:bookmarkStart w:id="253"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r>
        <w:t xml:space="preserve"> </w:t>
      </w:r>
      <w:hyperlink r:id="rId252">
        <w:r>
          <w:rPr>
            <w:rStyle w:val="Hyperlink"/>
            <w:color w:val="0563C1"/>
            <w:u w:val="single"/>
          </w:rPr>
          <w:t xml:space="preserve">https://doi.org/10.1073/pnas.191367098</w:t>
        </w:r>
      </w:hyperlink>
    </w:p>
    <w:bookmarkEnd w:id="253"/>
    <w:bookmarkStart w:id="255"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r>
        <w:t xml:space="preserve"> </w:t>
      </w:r>
      <w:hyperlink r:id="rId254">
        <w:r>
          <w:rPr>
            <w:rStyle w:val="Hyperlink"/>
            <w:color w:val="0563C1"/>
            <w:u w:val="single"/>
          </w:rPr>
          <w:t xml:space="preserve">https://doi.org/10.1016/j.molonc.2010.11.003</w:t>
        </w:r>
      </w:hyperlink>
    </w:p>
    <w:bookmarkEnd w:id="255"/>
    <w:bookmarkStart w:id="257"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r>
        <w:t xml:space="preserve"> </w:t>
      </w:r>
      <w:hyperlink r:id="rId256">
        <w:r>
          <w:rPr>
            <w:rStyle w:val="Hyperlink"/>
            <w:color w:val="0563C1"/>
            <w:u w:val="single"/>
          </w:rPr>
          <w:t xml:space="preserve">https://doi.org/10.1038/nature10983</w:t>
        </w:r>
      </w:hyperlink>
    </w:p>
    <w:bookmarkEnd w:id="257"/>
    <w:bookmarkStart w:id="259"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r>
        <w:t xml:space="preserve"> </w:t>
      </w:r>
      <w:hyperlink r:id="rId258">
        <w:r>
          <w:rPr>
            <w:rStyle w:val="Hyperlink"/>
            <w:color w:val="0563C1"/>
            <w:u w:val="single"/>
          </w:rPr>
          <w:t xml:space="preserve">https://doi.org/10.1038/ncomms11479</w:t>
        </w:r>
      </w:hyperlink>
    </w:p>
    <w:bookmarkEnd w:id="259"/>
    <w:bookmarkStart w:id="261"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r>
        <w:t xml:space="preserve"> </w:t>
      </w:r>
      <w:hyperlink r:id="rId260">
        <w:r>
          <w:rPr>
            <w:rStyle w:val="Hyperlink"/>
            <w:color w:val="0563C1"/>
            <w:u w:val="single"/>
          </w:rPr>
          <w:t xml:space="preserve">https://doi.org/10.1200/JCO.2008.18.1370</w:t>
        </w:r>
      </w:hyperlink>
    </w:p>
    <w:bookmarkEnd w:id="261"/>
    <w:bookmarkStart w:id="263"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r>
        <w:t xml:space="preserve"> </w:t>
      </w:r>
      <w:hyperlink r:id="rId262">
        <w:r>
          <w:rPr>
            <w:rStyle w:val="Hyperlink"/>
            <w:color w:val="0563C1"/>
            <w:u w:val="single"/>
          </w:rPr>
          <w:t xml:space="preserve">https://doi.org/10.1158/1078-0432.CCR-10-1282</w:t>
        </w:r>
      </w:hyperlink>
    </w:p>
    <w:bookmarkEnd w:id="263"/>
    <w:bookmarkStart w:id="265"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r>
        <w:t xml:space="preserve"> </w:t>
      </w:r>
      <w:hyperlink r:id="rId264">
        <w:r>
          <w:rPr>
            <w:rStyle w:val="Hyperlink"/>
            <w:color w:val="0563C1"/>
            <w:u w:val="single"/>
          </w:rPr>
          <w:t xml:space="preserve">https://doi.org/10.1158/1078-0432.CCR-12-0286</w:t>
        </w:r>
      </w:hyperlink>
    </w:p>
    <w:bookmarkEnd w:id="265"/>
    <w:bookmarkStart w:id="267"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r>
        <w:t xml:space="preserve"> </w:t>
      </w:r>
      <w:hyperlink r:id="rId266">
        <w:r>
          <w:rPr>
            <w:rStyle w:val="Hyperlink"/>
            <w:color w:val="0563C1"/>
            <w:u w:val="single"/>
          </w:rPr>
          <w:t xml:space="preserve">https://doi.org/10.1186/s12920-015-0129-6</w:t>
        </w:r>
      </w:hyperlink>
    </w:p>
    <w:bookmarkEnd w:id="267"/>
    <w:bookmarkStart w:id="269"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r>
        <w:t xml:space="preserve"> </w:t>
      </w:r>
      <w:hyperlink r:id="rId268">
        <w:r>
          <w:rPr>
            <w:rStyle w:val="Hyperlink"/>
            <w:color w:val="0563C1"/>
            <w:u w:val="single"/>
          </w:rPr>
          <w:t xml:space="preserve">https://doi.org/10.1200/JCO.2009.24.4798</w:t>
        </w:r>
      </w:hyperlink>
    </w:p>
    <w:bookmarkEnd w:id="269"/>
    <w:bookmarkStart w:id="271"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r>
        <w:t xml:space="preserve"> </w:t>
      </w:r>
      <w:hyperlink r:id="rId270">
        <w:r>
          <w:rPr>
            <w:rStyle w:val="Hyperlink"/>
            <w:color w:val="0563C1"/>
            <w:u w:val="single"/>
          </w:rPr>
          <w:t xml:space="preserve">https://doi.org/10.1093/annonc/mdt494</w:t>
        </w:r>
      </w:hyperlink>
    </w:p>
    <w:bookmarkEnd w:id="271"/>
    <w:bookmarkStart w:id="273"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r>
        <w:t xml:space="preserve"> </w:t>
      </w:r>
      <w:hyperlink r:id="rId272">
        <w:r>
          <w:rPr>
            <w:rStyle w:val="Hyperlink"/>
            <w:color w:val="0563C1"/>
            <w:u w:val="single"/>
          </w:rPr>
          <w:t xml:space="preserve">https://doi.org/10.1093/annonc/mdv221</w:t>
        </w:r>
      </w:hyperlink>
    </w:p>
    <w:bookmarkEnd w:id="273"/>
    <w:bookmarkStart w:id="275"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r>
        <w:t xml:space="preserve"> </w:t>
      </w:r>
      <w:hyperlink r:id="rId274">
        <w:r>
          <w:rPr>
            <w:rStyle w:val="Hyperlink"/>
            <w:color w:val="0563C1"/>
            <w:u w:val="single"/>
          </w:rPr>
          <w:t xml:space="preserve">https://doi.org/10.1093/annonc/mdz235</w:t>
        </w:r>
      </w:hyperlink>
    </w:p>
    <w:bookmarkEnd w:id="275"/>
    <w:bookmarkStart w:id="277"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r>
        <w:t xml:space="preserve"> </w:t>
      </w:r>
      <w:hyperlink r:id="rId276">
        <w:r>
          <w:rPr>
            <w:rStyle w:val="Hyperlink"/>
            <w:color w:val="0563C1"/>
            <w:u w:val="single"/>
          </w:rPr>
          <w:t xml:space="preserve">https://doi.org/10.1200/JCO.22.00069</w:t>
        </w:r>
      </w:hyperlink>
    </w:p>
    <w:bookmarkEnd w:id="277"/>
    <w:bookmarkStart w:id="279"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r>
        <w:t xml:space="preserve"> </w:t>
      </w:r>
      <w:hyperlink r:id="rId278">
        <w:r>
          <w:rPr>
            <w:rStyle w:val="Hyperlink"/>
            <w:color w:val="0563C1"/>
            <w:u w:val="single"/>
          </w:rPr>
          <w:t xml:space="preserve">https://doi.org/10.1056/NEJMoa041588</w:t>
        </w:r>
      </w:hyperlink>
    </w:p>
    <w:bookmarkEnd w:id="279"/>
    <w:bookmarkStart w:id="281"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r>
        <w:t xml:space="preserve"> </w:t>
      </w:r>
      <w:hyperlink r:id="rId280">
        <w:r>
          <w:rPr>
            <w:rStyle w:val="Hyperlink"/>
            <w:color w:val="0563C1"/>
            <w:u w:val="single"/>
          </w:rPr>
          <w:t xml:space="preserve">https://doi.org/10.1056/NEJMoa1804710</w:t>
        </w:r>
      </w:hyperlink>
    </w:p>
    <w:bookmarkEnd w:id="281"/>
    <w:bookmarkStart w:id="283"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r>
        <w:t xml:space="preserve"> </w:t>
      </w:r>
      <w:hyperlink r:id="rId282">
        <w:r>
          <w:rPr>
            <w:rStyle w:val="Hyperlink"/>
            <w:color w:val="0563C1"/>
            <w:u w:val="single"/>
          </w:rPr>
          <w:t xml:space="preserve">https://doi.org/10.1056/NEJMoa1904819</w:t>
        </w:r>
      </w:hyperlink>
    </w:p>
    <w:bookmarkEnd w:id="283"/>
    <w:bookmarkStart w:id="285"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r>
        <w:t xml:space="preserve"> </w:t>
      </w:r>
      <w:hyperlink r:id="rId284">
        <w:r>
          <w:rPr>
            <w:rStyle w:val="Hyperlink"/>
            <w:color w:val="0563C1"/>
            <w:u w:val="single"/>
          </w:rPr>
          <w:t xml:space="preserve">https://doi.org/10.1056/NEJMoa2108873</w:t>
        </w:r>
      </w:hyperlink>
    </w:p>
    <w:bookmarkEnd w:id="285"/>
    <w:bookmarkStart w:id="287"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r>
        <w:t xml:space="preserve"> </w:t>
      </w:r>
      <w:hyperlink r:id="rId286">
        <w:r>
          <w:rPr>
            <w:rStyle w:val="Hyperlink"/>
            <w:color w:val="0563C1"/>
            <w:u w:val="single"/>
          </w:rPr>
          <w:t xml:space="preserve">https://doi.org/10.1038/415530a</w:t>
        </w:r>
      </w:hyperlink>
    </w:p>
    <w:bookmarkEnd w:id="287"/>
    <w:bookmarkStart w:id="289"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r>
        <w:t xml:space="preserve"> </w:t>
      </w:r>
      <w:hyperlink r:id="rId288">
        <w:r>
          <w:rPr>
            <w:rStyle w:val="Hyperlink"/>
            <w:color w:val="0563C1"/>
            <w:u w:val="single"/>
          </w:rPr>
          <w:t xml:space="preserve">https://doi.org/10.1056/NEJMoa1602253</w:t>
        </w:r>
      </w:hyperlink>
    </w:p>
    <w:bookmarkEnd w:id="289"/>
    <w:bookmarkStart w:id="291"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r>
        <w:t xml:space="preserve"> </w:t>
      </w:r>
      <w:hyperlink r:id="rId290">
        <w:r>
          <w:rPr>
            <w:rStyle w:val="Hyperlink"/>
            <w:color w:val="0563C1"/>
            <w:u w:val="single"/>
          </w:rPr>
          <w:t xml:space="preserve">https://doi.org/10.1016/S1470-2045(21)00007-3</w:t>
        </w:r>
      </w:hyperlink>
    </w:p>
    <w:bookmarkEnd w:id="291"/>
    <w:bookmarkStart w:id="293"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r>
        <w:t xml:space="preserve"> </w:t>
      </w:r>
      <w:hyperlink r:id="rId292">
        <w:r>
          <w:rPr>
            <w:rStyle w:val="Hyperlink"/>
            <w:color w:val="0563C1"/>
            <w:u w:val="single"/>
          </w:rPr>
          <w:t xml:space="preserve">https://doi.org/10.1158/1078-0432.CCR-11-0926</w:t>
        </w:r>
      </w:hyperlink>
    </w:p>
    <w:bookmarkEnd w:id="293"/>
    <w:bookmarkStart w:id="295"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r>
        <w:t xml:space="preserve"> </w:t>
      </w:r>
      <w:hyperlink r:id="rId294">
        <w:r>
          <w:rPr>
            <w:rStyle w:val="Hyperlink"/>
            <w:color w:val="0563C1"/>
            <w:u w:val="single"/>
          </w:rPr>
          <w:t xml:space="preserve">https://doi.org/10.1158/1078-0432.CCR-13-0804</w:t>
        </w:r>
      </w:hyperlink>
    </w:p>
    <w:bookmarkEnd w:id="295"/>
    <w:bookmarkStart w:id="297"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r>
        <w:t xml:space="preserve"> </w:t>
      </w:r>
      <w:hyperlink r:id="rId296">
        <w:r>
          <w:rPr>
            <w:rStyle w:val="Hyperlink"/>
            <w:color w:val="0563C1"/>
            <w:u w:val="single"/>
          </w:rPr>
          <w:t xml:space="preserve">https://doi.org/10.1001/jamaoncol.2017.5524</w:t>
        </w:r>
      </w:hyperlink>
    </w:p>
    <w:bookmarkEnd w:id="297"/>
    <w:bookmarkStart w:id="299"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r>
        <w:t xml:space="preserve"> </w:t>
      </w:r>
      <w:hyperlink r:id="rId298">
        <w:r>
          <w:rPr>
            <w:rStyle w:val="Hyperlink"/>
            <w:color w:val="0563C1"/>
            <w:u w:val="single"/>
          </w:rPr>
          <w:t xml:space="preserve">https://doi.org/10.1186/s13059-014-0550-8</w:t>
        </w:r>
      </w:hyperlink>
    </w:p>
    <w:bookmarkEnd w:id="299"/>
    <w:bookmarkStart w:id="301"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r>
        <w:t xml:space="preserve"> </w:t>
      </w:r>
      <w:hyperlink r:id="rId300">
        <w:r>
          <w:rPr>
            <w:rStyle w:val="Hyperlink"/>
            <w:color w:val="0563C1"/>
            <w:u w:val="single"/>
          </w:rPr>
          <w:t xml:space="preserve">https://doi.org/10.1093/nar/gkv007</w:t>
        </w:r>
      </w:hyperlink>
    </w:p>
    <w:bookmarkEnd w:id="301"/>
    <w:bookmarkStart w:id="303" w:name="ref-maqc2010"/>
    <w:p>
      <w:pPr>
        <w:pStyle w:val="Bibliography"/>
      </w:pPr>
      <w:r>
        <w:t xml:space="preserve">34.</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r>
        <w:t xml:space="preserve"> </w:t>
      </w:r>
      <w:hyperlink r:id="rId302">
        <w:r>
          <w:rPr>
            <w:rStyle w:val="Hyperlink"/>
            <w:color w:val="0563C1"/>
            <w:u w:val="single"/>
          </w:rPr>
          <w:t xml:space="preserve">https://doi.org/10.1038/nbt.1665</w:t>
        </w:r>
      </w:hyperlink>
    </w:p>
    <w:bookmarkEnd w:id="303"/>
    <w:bookmarkStart w:id="305"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r>
        <w:t xml:space="preserve"> </w:t>
      </w:r>
      <w:hyperlink r:id="rId304">
        <w:r>
          <w:rPr>
            <w:rStyle w:val="Hyperlink"/>
            <w:color w:val="0563C1"/>
            <w:u w:val="single"/>
          </w:rPr>
          <w:t xml:space="preserve">https://doi.org/10.1093/biostatistics/kxj037</w:t>
        </w:r>
      </w:hyperlink>
    </w:p>
    <w:bookmarkEnd w:id="305"/>
    <w:bookmarkStart w:id="307" w:name="ref-leek2010"/>
    <w:p>
      <w:pPr>
        <w:pStyle w:val="Bibliography"/>
      </w:pPr>
      <w:r>
        <w:t xml:space="preserve">36.</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r>
        <w:t xml:space="preserve"> </w:t>
      </w:r>
      <w:hyperlink r:id="rId306">
        <w:r>
          <w:rPr>
            <w:rStyle w:val="Hyperlink"/>
            <w:color w:val="0563C1"/>
            <w:u w:val="single"/>
          </w:rPr>
          <w:t xml:space="preserve">https://doi.org/10.1038/nrg2825</w:t>
        </w:r>
      </w:hyperlink>
    </w:p>
    <w:bookmarkEnd w:id="307"/>
    <w:bookmarkStart w:id="309" w:name="ref-saal2015"/>
    <w:p>
      <w:pPr>
        <w:pStyle w:val="Bibliography"/>
      </w:pPr>
      <w:r>
        <w:t xml:space="preserve">37.</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r>
        <w:t xml:space="preserve"> </w:t>
      </w:r>
      <w:hyperlink r:id="rId308">
        <w:r>
          <w:rPr>
            <w:rStyle w:val="Hyperlink"/>
            <w:color w:val="0563C1"/>
            <w:u w:val="single"/>
          </w:rPr>
          <w:t xml:space="preserve">https://doi.org/10.1186/s13073-015-0131-9</w:t>
        </w:r>
      </w:hyperlink>
    </w:p>
    <w:bookmarkEnd w:id="309"/>
    <w:bookmarkStart w:id="311" w:name="ref-brueffer2018"/>
    <w:p>
      <w:pPr>
        <w:pStyle w:val="Bibliography"/>
      </w:pPr>
      <w:r>
        <w:t xml:space="preserve">38.</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w:t>
      </w:r>
      <w:r>
        <w:t xml:space="preserve"> </w:t>
      </w:r>
      <w:hyperlink r:id="rId310">
        <w:r>
          <w:rPr>
            <w:rStyle w:val="Hyperlink"/>
            <w:color w:val="0563C1"/>
            <w:u w:val="single"/>
          </w:rPr>
          <w:t xml:space="preserve">https://doi.org/10.1200/PO.17.00135</w:t>
        </w:r>
      </w:hyperlink>
    </w:p>
    <w:bookmarkEnd w:id="311"/>
    <w:bookmarkStart w:id="313" w:name="ref-tcga2012"/>
    <w:p>
      <w:pPr>
        <w:pStyle w:val="Bibliography"/>
      </w:pPr>
      <w:r>
        <w:t xml:space="preserve">39.</w:t>
      </w:r>
      <w:r>
        <w:t xml:space="preserve"> </w:t>
      </w:r>
      <w:r>
        <w:t xml:space="preserve">	</w:t>
      </w:r>
      <w:r>
        <w:t xml:space="preserve">TCGA Network. Comprehensive molecular portraits of human breast tumours. Nature. 2012;490(7418):61–70.</w:t>
      </w:r>
      <w:r>
        <w:t xml:space="preserve"> </w:t>
      </w:r>
      <w:hyperlink r:id="rId312">
        <w:r>
          <w:rPr>
            <w:rStyle w:val="Hyperlink"/>
            <w:color w:val="0563C1"/>
            <w:u w:val="single"/>
          </w:rPr>
          <w:t xml:space="preserve">https://doi.org/10.1038/nature11412</w:t>
        </w:r>
      </w:hyperlink>
    </w:p>
    <w:bookmarkEnd w:id="313"/>
    <w:bookmarkStart w:id="315" w:name="ref-kao2011"/>
    <w:p>
      <w:pPr>
        <w:pStyle w:val="Bibliography"/>
      </w:pPr>
      <w:r>
        <w:t xml:space="preserve">40.</w:t>
      </w:r>
      <w:r>
        <w:t xml:space="preserve"> </w:t>
      </w:r>
      <w:r>
        <w:t xml:space="preserve">	</w:t>
      </w:r>
      <w:r>
        <w:t xml:space="preserve">Kuo-Jang Kao, Kai-Ming Chang, Hsueh-Chih Hsu, Ai Tao Huang. Correlation of microarray-based breast cancer molecular subtypes and clinical outcomes. BMC Cancer. 2011;11:143.</w:t>
      </w:r>
      <w:r>
        <w:t xml:space="preserve"> </w:t>
      </w:r>
      <w:hyperlink r:id="rId314">
        <w:r>
          <w:rPr>
            <w:rStyle w:val="Hyperlink"/>
            <w:color w:val="0563C1"/>
            <w:u w:val="single"/>
          </w:rPr>
          <w:t xml:space="preserve">https://doi.org/10.1186/1471-2407-11-143</w:t>
        </w:r>
      </w:hyperlink>
    </w:p>
    <w:bookmarkEnd w:id="315"/>
    <w:bookmarkStart w:id="317" w:name="ref-pawitan2005"/>
    <w:p>
      <w:pPr>
        <w:pStyle w:val="Bibliography"/>
      </w:pPr>
      <w:r>
        <w:t xml:space="preserve">41.</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w:t>
      </w:r>
      <w:r>
        <w:t xml:space="preserve"> </w:t>
      </w:r>
      <w:hyperlink r:id="rId316">
        <w:r>
          <w:rPr>
            <w:rStyle w:val="Hyperlink"/>
            <w:color w:val="0563C1"/>
            <w:u w:val="single"/>
          </w:rPr>
          <w:t xml:space="preserve">https://doi.org/10.1186/bcr1325</w:t>
        </w:r>
      </w:hyperlink>
    </w:p>
    <w:bookmarkEnd w:id="317"/>
    <w:bookmarkStart w:id="319" w:name="ref-hatzis2011"/>
    <w:p>
      <w:pPr>
        <w:pStyle w:val="Bibliography"/>
      </w:pPr>
      <w:r>
        <w:t xml:space="preserve">42.</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r>
        <w:t xml:space="preserve"> </w:t>
      </w:r>
      <w:hyperlink r:id="rId318">
        <w:r>
          <w:rPr>
            <w:rStyle w:val="Hyperlink"/>
            <w:color w:val="0563C1"/>
            <w:u w:val="single"/>
          </w:rPr>
          <w:t xml:space="preserve">https://doi.org/10.1001/jama.2011.593</w:t>
        </w:r>
      </w:hyperlink>
    </w:p>
    <w:bookmarkEnd w:id="319"/>
    <w:bookmarkStart w:id="321"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r>
        <w:t xml:space="preserve"> </w:t>
      </w:r>
      <w:hyperlink r:id="rId320">
        <w:r>
          <w:rPr>
            <w:rStyle w:val="Hyperlink"/>
            <w:color w:val="0563C1"/>
            <w:u w:val="single"/>
          </w:rPr>
          <w:t xml:space="preserve">https://doi.org/10.1111/j.1349-7006.2012.02241.x</w:t>
        </w:r>
      </w:hyperlink>
    </w:p>
    <w:bookmarkEnd w:id="321"/>
    <w:bookmarkStart w:id="323"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w:t>
      </w:r>
      <w:r>
        <w:t xml:space="preserve"> </w:t>
      </w:r>
      <w:hyperlink r:id="rId322">
        <w:r>
          <w:rPr>
            <w:rStyle w:val="Hyperlink"/>
            <w:color w:val="0563C1"/>
            <w:u w:val="single"/>
          </w:rPr>
          <w:t xml:space="preserve">https://doi.org/10.1007/s10549-011-1895-2</w:t>
        </w:r>
      </w:hyperlink>
    </w:p>
    <w:bookmarkEnd w:id="323"/>
    <w:bookmarkStart w:id="325"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w:t>
      </w:r>
      <w:r>
        <w:t xml:space="preserve"> </w:t>
      </w:r>
      <w:hyperlink r:id="rId324">
        <w:r>
          <w:rPr>
            <w:rStyle w:val="Hyperlink"/>
            <w:color w:val="0563C1"/>
            <w:u w:val="single"/>
          </w:rPr>
          <w:t xml:space="preserve">https://doi.org/10.1016/j.ccell.2022.05.005</w:t>
        </w:r>
      </w:hyperlink>
    </w:p>
    <w:bookmarkEnd w:id="325"/>
    <w:bookmarkStart w:id="327"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r>
        <w:t xml:space="preserve"> </w:t>
      </w:r>
      <w:hyperlink r:id="rId326">
        <w:r>
          <w:rPr>
            <w:rStyle w:val="Hyperlink"/>
            <w:color w:val="0563C1"/>
            <w:u w:val="single"/>
          </w:rPr>
          <w:t xml:space="preserve">https://doi.org/10.7326/M14-0698</w:t>
        </w:r>
      </w:hyperlink>
    </w:p>
    <w:bookmarkEnd w:id="327"/>
    <w:bookmarkStart w:id="329"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r>
        <w:t xml:space="preserve"> </w:t>
      </w:r>
      <w:hyperlink r:id="rId328">
        <w:r>
          <w:rPr>
            <w:rStyle w:val="Hyperlink"/>
            <w:color w:val="0563C1"/>
            <w:u w:val="single"/>
          </w:rPr>
          <w:t xml:space="preserve">https://doi.org/10.1136/bmj.g7594</w:t>
        </w:r>
      </w:hyperlink>
    </w:p>
    <w:bookmarkEnd w:id="329"/>
    <w:bookmarkStart w:id="331"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w:t>
      </w:r>
      <w:r>
        <w:t xml:space="preserve"> </w:t>
      </w:r>
      <w:hyperlink r:id="rId330">
        <w:r>
          <w:rPr>
            <w:rStyle w:val="Hyperlink"/>
            <w:color w:val="0563C1"/>
            <w:u w:val="single"/>
          </w:rPr>
          <w:t xml:space="preserve">https://doi.org/10.1186/1471-2288-13-33</w:t>
        </w:r>
      </w:hyperlink>
    </w:p>
    <w:bookmarkEnd w:id="331"/>
    <w:bookmarkStart w:id="333"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r>
        <w:t xml:space="preserve"> </w:t>
      </w:r>
      <w:hyperlink r:id="rId332">
        <w:r>
          <w:rPr>
            <w:rStyle w:val="Hyperlink"/>
            <w:color w:val="0563C1"/>
            <w:u w:val="single"/>
          </w:rPr>
          <w:t xml:space="preserve">https://doi.org/10.1016/j.jclinepi.2015.04.005</w:t>
        </w:r>
      </w:hyperlink>
    </w:p>
    <w:bookmarkEnd w:id="333"/>
    <w:bookmarkStart w:id="335"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r>
        <w:t xml:space="preserve"> </w:t>
      </w:r>
      <w:hyperlink r:id="rId334">
        <w:r>
          <w:rPr>
            <w:rStyle w:val="Hyperlink"/>
            <w:color w:val="0563C1"/>
            <w:u w:val="single"/>
          </w:rPr>
          <w:t xml:space="preserve">https://doi.org/10.1093/bioinformatics/btp616</w:t>
        </w:r>
      </w:hyperlink>
    </w:p>
    <w:bookmarkEnd w:id="335"/>
    <w:bookmarkStart w:id="337"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r>
        <w:t xml:space="preserve"> </w:t>
      </w:r>
      <w:hyperlink r:id="rId336">
        <w:r>
          <w:rPr>
            <w:rStyle w:val="Hyperlink"/>
            <w:color w:val="0563C1"/>
            <w:u w:val="single"/>
          </w:rPr>
          <w:t xml:space="preserve">https://doi.org/10.1186/gb-2010-11-3-r25</w:t>
        </w:r>
      </w:hyperlink>
    </w:p>
    <w:bookmarkEnd w:id="337"/>
    <w:bookmarkStart w:id="339" w:name="ref-zou2005"/>
    <w:p>
      <w:pPr>
        <w:pStyle w:val="Bibliography"/>
      </w:pPr>
      <w:r>
        <w:t xml:space="preserve">52.</w:t>
      </w:r>
      <w:r>
        <w:t xml:space="preserve"> </w:t>
      </w:r>
      <w:r>
        <w:t xml:space="preserve">	</w:t>
      </w:r>
      <w:r>
        <w:t xml:space="preserve">Hui Zou, Trevor Hastie. Regularization and variable selection via the elastic net. J R Stat Soc B. 2005;67(2):301–20.</w:t>
      </w:r>
      <w:r>
        <w:t xml:space="preserve"> </w:t>
      </w:r>
      <w:hyperlink r:id="rId338">
        <w:r>
          <w:rPr>
            <w:rStyle w:val="Hyperlink"/>
            <w:color w:val="0563C1"/>
            <w:u w:val="single"/>
          </w:rPr>
          <w:t xml:space="preserve">https://doi.org/10.1111/j.1467-9868.2005.00503.x</w:t>
        </w:r>
      </w:hyperlink>
    </w:p>
    <w:bookmarkEnd w:id="339"/>
    <w:bookmarkStart w:id="341" w:name="ref-tibshirani1996"/>
    <w:p>
      <w:pPr>
        <w:pStyle w:val="Bibliography"/>
      </w:pPr>
      <w:r>
        <w:t xml:space="preserve">53.</w:t>
      </w:r>
      <w:r>
        <w:t xml:space="preserve"> </w:t>
      </w:r>
      <w:r>
        <w:t xml:space="preserve">	</w:t>
      </w:r>
      <w:r>
        <w:t xml:space="preserve">Robert Tibshirani. Regression shrinkage and selection via the lasso. J R Stat Soc B. 1996;58(1):267–88.</w:t>
      </w:r>
      <w:r>
        <w:t xml:space="preserve"> </w:t>
      </w:r>
      <w:hyperlink r:id="rId340">
        <w:r>
          <w:rPr>
            <w:rStyle w:val="Hyperlink"/>
            <w:color w:val="0563C1"/>
            <w:u w:val="single"/>
          </w:rPr>
          <w:t xml:space="preserve">https://doi.org/10.1111/j.2517-6161.1996.tb02080.x</w:t>
        </w:r>
      </w:hyperlink>
    </w:p>
    <w:bookmarkEnd w:id="341"/>
    <w:bookmarkStart w:id="343"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r>
        <w:t xml:space="preserve"> </w:t>
      </w:r>
      <w:hyperlink r:id="rId342">
        <w:r>
          <w:rPr>
            <w:rStyle w:val="Hyperlink"/>
            <w:color w:val="0563C1"/>
            <w:u w:val="single"/>
          </w:rPr>
          <w:t xml:space="preserve">https://doi.org/10.1002/(SICI)1097-0258(19970228)16:4&lt;385::AID-SIM380&gt;3.0.CO;2-3</w:t>
        </w:r>
      </w:hyperlink>
    </w:p>
    <w:bookmarkEnd w:id="343"/>
    <w:bookmarkStart w:id="345"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r>
        <w:t xml:space="preserve"> </w:t>
      </w:r>
      <w:hyperlink r:id="rId344">
        <w:r>
          <w:rPr>
            <w:rStyle w:val="Hyperlink"/>
            <w:color w:val="0563C1"/>
            <w:u w:val="single"/>
          </w:rPr>
          <w:t xml:space="preserve">https://doi.org/10.18637/jss.v033.i01</w:t>
        </w:r>
      </w:hyperlink>
    </w:p>
    <w:bookmarkEnd w:id="345"/>
    <w:bookmarkStart w:id="347"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r>
        <w:t xml:space="preserve"> </w:t>
      </w:r>
      <w:hyperlink r:id="rId346">
        <w:r>
          <w:rPr>
            <w:rStyle w:val="Hyperlink"/>
            <w:color w:val="0563C1"/>
            <w:u w:val="single"/>
          </w:rPr>
          <w:t xml:space="preserve">https://doi.org/10.18637/jss.v039.i05</w:t>
        </w:r>
      </w:hyperlink>
    </w:p>
    <w:bookmarkEnd w:id="347"/>
    <w:bookmarkStart w:id="349"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r>
        <w:t xml:space="preserve"> </w:t>
      </w:r>
      <w:hyperlink r:id="rId348">
        <w:r>
          <w:rPr>
            <w:rStyle w:val="Hyperlink"/>
            <w:color w:val="0563C1"/>
            <w:u w:val="single"/>
          </w:rPr>
          <w:t xml:space="preserve">https://doi.org/10.1093/biomet/81.3.515</w:t>
        </w:r>
      </w:hyperlink>
    </w:p>
    <w:bookmarkEnd w:id="349"/>
    <w:bookmarkStart w:id="351"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r>
        <w:t xml:space="preserve"> </w:t>
      </w:r>
      <w:hyperlink r:id="rId350">
        <w:r>
          <w:rPr>
            <w:rStyle w:val="Hyperlink"/>
            <w:color w:val="0563C1"/>
            <w:u w:val="single"/>
          </w:rPr>
          <w:t xml:space="preserve">https://doi.org/10.1007/978-1-4757-3294-8</w:t>
        </w:r>
      </w:hyperlink>
    </w:p>
    <w:bookmarkEnd w:id="351"/>
    <w:bookmarkStart w:id="353"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r>
        <w:t xml:space="preserve"> </w:t>
      </w:r>
      <w:hyperlink r:id="rId352">
        <w:r>
          <w:rPr>
            <w:rStyle w:val="Hyperlink"/>
            <w:color w:val="0563C1"/>
            <w:u w:val="single"/>
          </w:rPr>
          <w:t xml:space="preserve">https://doi.org/10.1001/jama.1982.03320430047030</w:t>
        </w:r>
      </w:hyperlink>
    </w:p>
    <w:bookmarkEnd w:id="353"/>
    <w:bookmarkStart w:id="355" w:name="ref-efron1979"/>
    <w:p>
      <w:pPr>
        <w:pStyle w:val="Bibliography"/>
      </w:pPr>
      <w:r>
        <w:t xml:space="preserve">60.</w:t>
      </w:r>
      <w:r>
        <w:t xml:space="preserve"> </w:t>
      </w:r>
      <w:r>
        <w:t xml:space="preserve">	</w:t>
      </w:r>
      <w:r>
        <w:t xml:space="preserve">Bradley Efron. Bootstrap methods: another look at the jackknife. Ann Stat. 1979;7(1):1–26.</w:t>
      </w:r>
      <w:r>
        <w:t xml:space="preserve"> </w:t>
      </w:r>
      <w:hyperlink r:id="rId354">
        <w:r>
          <w:rPr>
            <w:rStyle w:val="Hyperlink"/>
            <w:color w:val="0563C1"/>
            <w:u w:val="single"/>
          </w:rPr>
          <w:t xml:space="preserve">https://doi.org/10.1214/aos/1176344552</w:t>
        </w:r>
      </w:hyperlink>
    </w:p>
    <w:bookmarkEnd w:id="355"/>
    <w:bookmarkStart w:id="357"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r>
        <w:t xml:space="preserve"> </w:t>
      </w:r>
      <w:hyperlink r:id="rId356">
        <w:r>
          <w:rPr>
            <w:rStyle w:val="Hyperlink"/>
            <w:color w:val="0563C1"/>
            <w:u w:val="single"/>
          </w:rPr>
          <w:t xml:space="preserve">https://doi.org/10.1002/sim.4154</w:t>
        </w:r>
      </w:hyperlink>
    </w:p>
    <w:bookmarkEnd w:id="357"/>
    <w:bookmarkStart w:id="359"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r>
        <w:t xml:space="preserve"> </w:t>
      </w:r>
      <w:hyperlink r:id="rId358">
        <w:r>
          <w:rPr>
            <w:rStyle w:val="Hyperlink"/>
            <w:color w:val="0563C1"/>
            <w:u w:val="single"/>
          </w:rPr>
          <w:t xml:space="preserve">https://doi.org/10.1002/sim.5958</w:t>
        </w:r>
      </w:hyperlink>
    </w:p>
    <w:bookmarkEnd w:id="359"/>
    <w:bookmarkStart w:id="361"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r>
        <w:t xml:space="preserve"> </w:t>
      </w:r>
      <w:hyperlink r:id="rId360">
        <w:r>
          <w:rPr>
            <w:rStyle w:val="Hyperlink"/>
            <w:color w:val="0563C1"/>
            <w:u w:val="single"/>
          </w:rPr>
          <w:t xml:space="preserve">https://doi.org/10.1080/01621459.1999.10474144</w:t>
        </w:r>
      </w:hyperlink>
    </w:p>
    <w:bookmarkEnd w:id="361"/>
    <w:bookmarkStart w:id="363"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r>
        <w:t xml:space="preserve"> </w:t>
      </w:r>
      <w:hyperlink r:id="rId362">
        <w:r>
          <w:rPr>
            <w:rStyle w:val="Hyperlink"/>
            <w:color w:val="0563C1"/>
            <w:u w:val="single"/>
          </w:rPr>
          <w:t xml:space="preserve">https://doi.org/10.1016/j.jclinepi.2015.12.005</w:t>
        </w:r>
      </w:hyperlink>
    </w:p>
    <w:bookmarkEnd w:id="363"/>
    <w:bookmarkStart w:id="365"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r>
        <w:t xml:space="preserve"> </w:t>
      </w:r>
      <w:hyperlink r:id="rId364">
        <w:r>
          <w:rPr>
            <w:rStyle w:val="Hyperlink"/>
            <w:color w:val="0563C1"/>
            <w:u w:val="single"/>
          </w:rPr>
          <w:t xml:space="preserve">https://doi.org/10.1186/s12916-019-1466-7</w:t>
        </w:r>
      </w:hyperlink>
    </w:p>
    <w:bookmarkEnd w:id="365"/>
    <w:bookmarkStart w:id="367"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r>
        <w:t xml:space="preserve"> </w:t>
      </w:r>
      <w:hyperlink r:id="rId366">
        <w:r>
          <w:rPr>
            <w:rStyle w:val="Hyperlink"/>
            <w:color w:val="0563C1"/>
            <w:u w:val="single"/>
          </w:rPr>
          <w:t xml:space="preserve">https://doi.org/10.1177/0272989X06295361</w:t>
        </w:r>
      </w:hyperlink>
    </w:p>
    <w:bookmarkEnd w:id="367"/>
    <w:bookmarkStart w:id="369"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r>
        <w:t xml:space="preserve"> </w:t>
      </w:r>
      <w:hyperlink r:id="rId368">
        <w:r>
          <w:rPr>
            <w:rStyle w:val="Hyperlink"/>
            <w:color w:val="0563C1"/>
            <w:u w:val="single"/>
          </w:rPr>
          <w:t xml:space="preserve">https://doi.org/10.18637/jss.v036.i03</w:t>
        </w:r>
      </w:hyperlink>
    </w:p>
    <w:bookmarkEnd w:id="369"/>
    <w:bookmarkStart w:id="371"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r>
        <w:t xml:space="preserve"> </w:t>
      </w:r>
      <w:hyperlink r:id="rId370">
        <w:r>
          <w:rPr>
            <w:rStyle w:val="Hyperlink"/>
            <w:color w:val="0563C1"/>
            <w:u w:val="single"/>
          </w:rPr>
          <w:t xml:space="preserve">https://doi.org/10.1136/bmj.327.7414.557</w:t>
        </w:r>
      </w:hyperlink>
    </w:p>
    <w:bookmarkEnd w:id="371"/>
    <w:bookmarkStart w:id="373"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r>
        <w:t xml:space="preserve"> </w:t>
      </w:r>
      <w:hyperlink r:id="rId372">
        <w:r>
          <w:rPr>
            <w:rStyle w:val="Hyperlink"/>
            <w:color w:val="0563C1"/>
            <w:u w:val="single"/>
          </w:rPr>
          <w:t xml:space="preserve">https://doi.org/10.1002/sim.1009</w:t>
        </w:r>
      </w:hyperlink>
    </w:p>
    <w:bookmarkEnd w:id="373"/>
    <w:bookmarkStart w:id="375" w:name="ref-dersimonian1986"/>
    <w:p>
      <w:pPr>
        <w:pStyle w:val="Bibliography"/>
      </w:pPr>
      <w:r>
        <w:t xml:space="preserve">70.</w:t>
      </w:r>
      <w:r>
        <w:t xml:space="preserve"> </w:t>
      </w:r>
      <w:r>
        <w:t xml:space="preserve">	</w:t>
      </w:r>
      <w:r>
        <w:t xml:space="preserve">Rebecca DerSimonian, Nan Laird. Meta-analysis in clinical trials. Control Clin Trials. 1986;7(3):177–88.</w:t>
      </w:r>
      <w:r>
        <w:t xml:space="preserve"> </w:t>
      </w:r>
      <w:hyperlink r:id="rId374">
        <w:r>
          <w:rPr>
            <w:rStyle w:val="Hyperlink"/>
            <w:color w:val="0563C1"/>
            <w:u w:val="single"/>
          </w:rPr>
          <w:t xml:space="preserve">https://doi.org/10.1016/0197-2456(86)90046-2</w:t>
        </w:r>
      </w:hyperlink>
    </w:p>
    <w:bookmarkEnd w:id="375"/>
    <w:bookmarkStart w:id="377"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r>
        <w:t xml:space="preserve"> </w:t>
      </w:r>
      <w:hyperlink r:id="rId376">
        <w:r>
          <w:rPr>
            <w:rStyle w:val="Hyperlink"/>
            <w:color w:val="0563C1"/>
            <w:u w:val="single"/>
          </w:rPr>
          <w:t xml:space="preserve">https://doi.org/10.1093/bioinformatics/btv693</w:t>
        </w:r>
      </w:hyperlink>
    </w:p>
    <w:bookmarkEnd w:id="377"/>
    <w:bookmarkStart w:id="379"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r>
        <w:t xml:space="preserve"> </w:t>
      </w:r>
      <w:hyperlink r:id="rId378">
        <w:r>
          <w:rPr>
            <w:rStyle w:val="Hyperlink"/>
            <w:color w:val="0563C1"/>
            <w:u w:val="single"/>
          </w:rPr>
          <w:t xml:space="preserve">https://doi.org/10.1093/jnci/djp082</w:t>
        </w:r>
      </w:hyperlink>
    </w:p>
    <w:bookmarkEnd w:id="379"/>
    <w:bookmarkStart w:id="381"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r>
        <w:t xml:space="preserve"> </w:t>
      </w:r>
      <w:hyperlink r:id="rId380">
        <w:r>
          <w:rPr>
            <w:rStyle w:val="Hyperlink"/>
            <w:color w:val="0563C1"/>
            <w:u w:val="single"/>
          </w:rPr>
          <w:t xml:space="preserve">https://doi.org/10.1016/S1470-2045(17)30904-X</w:t>
        </w:r>
      </w:hyperlink>
    </w:p>
    <w:bookmarkEnd w:id="381"/>
    <w:bookmarkStart w:id="383"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r>
        <w:t xml:space="preserve"> </w:t>
      </w:r>
      <w:hyperlink r:id="rId382">
        <w:r>
          <w:rPr>
            <w:rStyle w:val="Hyperlink"/>
            <w:color w:val="0563C1"/>
            <w:u w:val="single"/>
          </w:rPr>
          <w:t xml:space="preserve">https://doi.org/10.1016/S0140-6736(13)62422-8</w:t>
        </w:r>
      </w:hyperlink>
    </w:p>
    <w:bookmarkEnd w:id="383"/>
    <w:bookmarkStart w:id="385"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r>
        <w:t xml:space="preserve"> </w:t>
      </w:r>
      <w:hyperlink r:id="rId384">
        <w:r>
          <w:rPr>
            <w:rStyle w:val="Hyperlink"/>
            <w:color w:val="0563C1"/>
            <w:u w:val="single"/>
          </w:rPr>
          <w:t xml:space="preserve">https://doi.org/10.1186/s12916-015-0540-z</w:t>
        </w:r>
      </w:hyperlink>
    </w:p>
    <w:bookmarkEnd w:id="385"/>
    <w:bookmarkStart w:id="387" w:name="ref-botan2026"/>
    <w:p>
      <w:pPr>
        <w:pStyle w:val="Bibliography"/>
      </w:pPr>
      <w:r>
        <w:t xml:space="preserve">76.</w:t>
      </w:r>
      <w:r>
        <w:t xml:space="preserve"> </w:t>
      </w:r>
      <w:r>
        <w:t xml:space="preserve">	</w:t>
      </w:r>
      <w:r>
        <w:t xml:space="preserve">Botan, RN, Sousa, JB.</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r>
        <w:t xml:space="preserve"> Publicado online em 21 de maio de 2026.</w:t>
      </w:r>
      <w:r>
        <w:t xml:space="preserve"> </w:t>
      </w:r>
      <w:hyperlink r:id="rId386">
        <w:r>
          <w:rPr>
            <w:rStyle w:val="Hyperlink"/>
            <w:color w:val="0563C1"/>
            <w:u w:val="single"/>
          </w:rPr>
          <w:t xml:space="preserve">https://doi.org/10.1186/s13058-026-02298-5</w:t>
        </w:r>
      </w:hyperlink>
    </w:p>
    <w:bookmarkEnd w:id="387"/>
    <w:bookmarkEnd w:id="388"/>
    <w:bookmarkEnd w:id="389"/>
    <w:bookmarkStart w:id="393" w:name="apêndice-a-pipeline-computacional"/>
    <w:p>
      <w:pPr>
        <w:pageBreakBefore/>
        <w:pStyle w:val="Heading1"/>
      </w:pPr>
      <w:r>
        <w:t xml:space="preserve">APÊNDICE A — Pipeline computacional</w:t>
      </w:r>
    </w:p>
    <w:p>
      <w:pPr>
        <w:pStyle w:val="FirstParagraph"/>
      </w:pPr>
      <w:r>
        <w:t xml:space="preserve">O</w:t>
      </w:r>
      <w:r>
        <w:t xml:space="preserve"> </w:t>
      </w:r>
      <w:r>
        <w:rPr>
          <w:i/>
          <w:iCs/>
        </w:rPr>
        <w:t xml:space="preserve">pipeline</w:t>
      </w:r>
      <w:r>
        <w:t xml:space="preserve"> </w:t>
      </w:r>
      <w:r>
        <w:t xml:space="preserve">analítico completo está disponível em</w:t>
      </w:r>
      <w:r>
        <w:t xml:space="preserve"> </w:t>
      </w:r>
      <w:r>
        <w:rPr>
          <w:rStyle w:val="VerbatimChar"/>
        </w:rPr>
        <w:t xml:space="preserve">https://github.com/RafaelBotan/CorePAM-Study</w:t>
      </w:r>
      <w:r>
        <w:t xml:space="preserve"> </w:t>
      </w:r>
      <w:r>
        <w:t xml:space="preserve">e compreende 69 scripts R numerados sequencialmente. A numeração é parte da rastreabilidade: scripts com prefixo baixo preparam dados e congelam parâmetros; scripts intermediários executam derivação, validação e figuras; scripts finais documentam análises de sensibilidade e respostas às revisões. A organização por blocos temáticos é apresentada na</w:t>
      </w:r>
      <w:r>
        <w:t xml:space="preserve"> </w:t>
      </w:r>
      <w:hyperlink w:anchor="tbl-pipeline-org">
        <w:r>
          <w:rPr>
            <w:rStyle w:val="Hyperlink"/>
            <w:color w:val="0563C1"/>
            <w:u w:val="single"/>
          </w:rPr>
          <w:t xml:space="preserve">Tabela 20</w:t>
        </w:r>
      </w:hyperlink>
      <w:r>
        <w:t xml:space="preserve">; a lista integral, com descrição objetiva de cada script, segue na</w:t>
      </w:r>
      <w:r>
        <w:t xml:space="preserve"> </w:t>
      </w:r>
      <w:hyperlink w:anchor="tbl-pipeline-full">
        <w:r>
          <w:rPr>
            <w:rStyle w:val="Hyperlink"/>
            <w:color w:val="0563C1"/>
            <w:u w:val="single"/>
          </w:rPr>
          <w:t xml:space="preserve">Tabela 21</w:t>
        </w:r>
      </w:hyperlink>
      <w:r>
        <w:t xml:space="preserve">.</w:t>
      </w:r>
    </w:p>
    <w:p>
      <w:pPr>
        <w:pStyle w:val="BodyText"/>
      </w:pPr>
      <w:r>
        <w:t xml:space="preserve">Para o leitor médico, um</w:t>
      </w:r>
      <w:r>
        <w:t xml:space="preserve"> </w:t>
      </w:r>
      <w:r>
        <w:rPr>
          <w:b/>
          <w:bCs/>
        </w:rPr>
        <w:t xml:space="preserve">script</w:t>
      </w:r>
      <w:r>
        <w:t xml:space="preserve"> </w:t>
      </w:r>
      <w:r>
        <w:t xml:space="preserve">pode ser entendido como uma prescrição executável da análise. Em vez de dizer</w:t>
      </w:r>
      <w:r>
        <w:t xml:space="preserve"> </w:t>
      </w:r>
      <w:r>
        <w:t xml:space="preserve">“fazer Cox, calcular</w:t>
      </w:r>
      <w:r>
        <w:t xml:space="preserve"> </w:t>
      </w:r>
      <w:r>
        <w:rPr>
          <w:i/>
          <w:iCs/>
        </w:rPr>
        <w:t xml:space="preserve">C-index</w:t>
      </w:r>
      <w:r>
        <w:t xml:space="preserve"> </w:t>
      </w:r>
      <w:r>
        <w:t xml:space="preserve">e gerar figura”</w:t>
      </w:r>
      <w:r>
        <w:t xml:space="preserve">, o script contém as instruções exatas que o computador executa para fazer isso sempre do mesmo modo. Ele é semelhante a um protocolo assistencial escrito em detalhes: define entrada, sequência, critérios de exclusão, cálculos, checagens e produto final. A diferença é que, no caso do script, a</w:t>
      </w:r>
      <w:r>
        <w:t xml:space="preserve"> </w:t>
      </w:r>
      <w:r>
        <w:t xml:space="preserve">“equipe”</w:t>
      </w:r>
      <w:r>
        <w:t xml:space="preserve"> </w:t>
      </w:r>
      <w:r>
        <w:t xml:space="preserve">que executa é o computador, sem improviso.</w:t>
      </w:r>
    </w:p>
    <w:p>
      <w:pPr>
        <w:pStyle w:val="BodyText"/>
      </w:pPr>
      <w:r>
        <w:t xml:space="preserve">Um</w:t>
      </w:r>
      <w:r>
        <w:t xml:space="preserve"> </w:t>
      </w:r>
      <w:r>
        <w:rPr>
          <w:b/>
          <w:bCs/>
        </w:rPr>
        <w:t xml:space="preserve">pipeline</w:t>
      </w:r>
      <w:r>
        <w:t xml:space="preserve"> </w:t>
      </w:r>
      <w:r>
        <w:t xml:space="preserve">é a sequência organizada desses scripts. A lógica é parecida com uma linha de cuidado: primeiro entram os dados brutos, depois vêm limpeza e harmonização, depois cálculo do escore, análise estatística, figuras, tabelas e verificações finais. Cada script deixa um produto rastreável para o próximo. Se uma tabela da tese mostra um HR, um</w:t>
      </w:r>
      <w:r>
        <w:t xml:space="preserve"> </w:t>
      </w:r>
      <w:r>
        <w:rPr>
          <w:i/>
          <w:iCs/>
        </w:rPr>
        <w:t xml:space="preserve">C-index</w:t>
      </w:r>
      <w:r>
        <w:t xml:space="preserve"> </w:t>
      </w:r>
      <w:r>
        <w:t xml:space="preserve">ou uma curva de Kaplan-Meier, deve existir um script que gerou aquele número ou aquela figura. Essa rastreabilidade é importante porque transforma o resultado em algo auditável: outro pesquisador pode baixar os dados públicos, executar os scripts e verificar se chega ao mesmo resultado.</w:t>
      </w:r>
    </w:p>
    <w:p>
      <w:pPr>
        <w:pStyle w:val="BodyText"/>
      </w:pPr>
      <w:r>
        <w:t xml:space="preserve">O</w:t>
      </w:r>
      <w:r>
        <w:t xml:space="preserve"> </w:t>
      </w:r>
      <w:r>
        <w:rPr>
          <w:b/>
          <w:bCs/>
        </w:rPr>
        <w:t xml:space="preserve">pseudocódigo</w:t>
      </w:r>
      <w:r>
        <w:t xml:space="preserve"> </w:t>
      </w:r>
      <w:r>
        <w:t xml:space="preserve">apresentado ao final deste apêndice tem outra função. Ele não é para ser executado; é uma tradução do raciocínio dos scripts para linguagem humana, independente de R, Python ou qualquer software. Serve como mapa para entender a análise sem precisar ler código. Em termos clínicos, o pseudocódigo está para o script assim como a descrição de uma técnica cirúrgica está para o ato operatório: não substitui a execução real, mas explica as etapas, a ordem e o motivo de cada passo.</w:t>
      </w:r>
    </w:p>
    <w:p>
      <w:pPr>
        <w:pStyle w:val="BodyText"/>
      </w:pPr>
      <w:r>
        <w:t xml:space="preserve">Para facilitar a leitura impressa, os nomes dos arquivos são mantidos exatamente como no repositório, mas a interpretação deve se concentrar no prefixo numérico e na função descrita na segunda coluna. O prefixo indica a ordem de execução; a descrição indica o papel científico do script.</w:t>
      </w:r>
    </w:p>
    <w:p>
      <w:pPr>
        <w:jc w:val="left"/>
        <w:spacing w:before="200"/>
        <w:pStyle w:val="ImageCaption"/>
      </w:pPr>
      <w:bookmarkStart w:id="390" w:name="tbl-pipeline-org"/>
      <w:r>
        <w:t xml:space="preserve">Tabela 20 — Organização do</w:t>
      </w:r>
      <w:r>
        <w:t xml:space="preserve"> </w:t>
      </w:r>
      <w:r>
        <w:rPr>
          <w:i/>
          <w:iCs/>
        </w:rPr>
        <w:t xml:space="preserve">pipeline</w:t>
      </w:r>
      <w:r>
        <w:t xml:space="preserve"> </w:t>
      </w:r>
      <w:r>
        <w:t xml:space="preserve">computacional por blocos</w:t>
      </w:r>
    </w:p>
    <w:tbl>
      <w:tblPr>
        <w:tblStyle w:val="Table"/>
        <w:tblW w:type="dxa" w:w="9070"/>
        <w:tblLayout w:type="fixed"/>
        <w:tblLook w:firstRow="1" w:lastRow="0" w:firstColumn="0" w:lastColumn="0" w:noHBand="0" w:noVBand="0" w:val="0020"/>
      </w:tblPr>
      <w:tblGrid>
        <w:gridCol w:w="3478"/>
        <w:gridCol w:w="1674"/>
        <w:gridCol w:w="3918"/>
      </w:tblGrid>
      <w:tr>
        <w:trPr>
          <w:tblHeader w:val="on"/>
        </w:trPr>
        <w:tc>
          <w:tcPr>
            <w:tcW w:w="3478" w:type="dxa"/>
          </w:tcPr>
          <w:p>
            <w:pPr>
              <w:pStyle w:val="Compact"/>
              <w:jc w:val="center"/>
            </w:pPr>
            <w:r>
              <w:t xml:space="preserve">Bloco</w:t>
            </w:r>
          </w:p>
        </w:tc>
        <w:tc>
          <w:tcPr>
            <w:tcW w:w="1674" w:type="dxa"/>
          </w:tcPr>
          <w:p>
            <w:pPr>
              <w:pStyle w:val="Compact"/>
              <w:jc w:val="center"/>
            </w:pPr>
            <w:r>
              <w:t xml:space="preserve">Scripts</w:t>
            </w:r>
          </w:p>
        </w:tc>
        <w:tc>
          <w:tcPr>
            <w:tcW w:w="3918" w:type="dxa"/>
          </w:tcPr>
          <w:p>
            <w:pPr>
              <w:pStyle w:val="Compact"/>
              <w:jc w:val="center"/>
            </w:pPr>
            <w:r>
              <w:t xml:space="preserve">Função</w:t>
            </w:r>
          </w:p>
        </w:tc>
      </w:tr>
      <w:tr>
        <w:tc>
          <w:tcPr>
            <w:tcW w:w="3478" w:type="dxa"/>
          </w:tcPr>
          <w:p>
            <w:pPr>
              <w:pStyle w:val="Compact"/>
              <w:jc w:val="center"/>
            </w:pPr>
            <w:r>
              <w:t xml:space="preserve">Setup</w:t>
            </w:r>
          </w:p>
        </w:tc>
        <w:tc>
          <w:tcPr>
            <w:tcW w:w="1674" w:type="dxa"/>
          </w:tcPr>
          <w:p>
            <w:pPr>
              <w:pStyle w:val="Compact"/>
              <w:jc w:val="center"/>
            </w:pPr>
            <w:r>
              <w:t xml:space="preserve">00</w:t>
            </w:r>
          </w:p>
        </w:tc>
        <w:tc>
          <w:tcPr>
            <w:tcW w:w="3918" w:type="dxa"/>
          </w:tcPr>
          <w:p>
            <w:pPr>
              <w:pStyle w:val="Compact"/>
              <w:jc w:val="center"/>
            </w:pPr>
            <w:r>
              <w:t xml:space="preserve">Configuração do ambiente, paleta de cores, validação</w:t>
            </w:r>
          </w:p>
        </w:tc>
      </w:tr>
      <w:tr>
        <w:tc>
          <w:tcPr>
            <w:tcW w:w="3478" w:type="dxa"/>
          </w:tcPr>
          <w:p>
            <w:pPr>
              <w:pStyle w:val="Compact"/>
              <w:jc w:val="center"/>
            </w:pPr>
            <w:r>
              <w:t xml:space="preserve">Dados</w:t>
            </w:r>
          </w:p>
        </w:tc>
        <w:tc>
          <w:tcPr>
            <w:tcW w:w="1674" w:type="dxa"/>
          </w:tcPr>
          <w:p>
            <w:pPr>
              <w:pStyle w:val="Compact"/>
              <w:jc w:val="center"/>
            </w:pPr>
            <w:r>
              <w:t xml:space="preserve">01-04</w:t>
            </w:r>
          </w:p>
        </w:tc>
        <w:tc>
          <w:tcPr>
            <w:tcW w:w="3918" w:type="dxa"/>
          </w:tcPr>
          <w:p>
            <w:pPr>
              <w:pStyle w:val="Compact"/>
              <w:jc w:val="center"/>
            </w:pPr>
            <w:r>
              <w:rPr>
                <w:i/>
                <w:iCs/>
              </w:rPr>
              <w:t xml:space="preserve">Download</w:t>
            </w:r>
            <w:r>
              <w:t xml:space="preserve">, harmonização clínica, pré-processamento</w:t>
            </w:r>
          </w:p>
        </w:tc>
      </w:tr>
      <w:tr>
        <w:tc>
          <w:tcPr>
            <w:tcW w:w="3478" w:type="dxa"/>
          </w:tcPr>
          <w:p>
            <w:pPr>
              <w:pStyle w:val="Compact"/>
              <w:jc w:val="center"/>
            </w:pPr>
            <w:r>
              <w:t xml:space="preserve">Derivação</w:t>
            </w:r>
          </w:p>
        </w:tc>
        <w:tc>
          <w:tcPr>
            <w:tcW w:w="1674" w:type="dxa"/>
          </w:tcPr>
          <w:p>
            <w:pPr>
              <w:pStyle w:val="Compact"/>
              <w:jc w:val="center"/>
            </w:pPr>
            <w:r>
              <w:t xml:space="preserve">05</w:t>
            </w:r>
          </w:p>
        </w:tc>
        <w:tc>
          <w:tcPr>
            <w:tcW w:w="3918" w:type="dxa"/>
          </w:tcPr>
          <w:p>
            <w:pPr>
              <w:pStyle w:val="Compact"/>
              <w:jc w:val="center"/>
            </w:pPr>
            <w:r>
              <w:t xml:space="preserve">Derivação do CorePAM (CONGELADO)</w:t>
            </w:r>
          </w:p>
        </w:tc>
      </w:tr>
      <w:tr>
        <w:tc>
          <w:tcPr>
            <w:tcW w:w="3478" w:type="dxa"/>
          </w:tcPr>
          <w:p>
            <w:pPr>
              <w:pStyle w:val="Compact"/>
              <w:jc w:val="center"/>
            </w:pPr>
            <w:r>
              <w:t xml:space="preserve">Scoring</w:t>
            </w:r>
          </w:p>
        </w:tc>
        <w:tc>
          <w:tcPr>
            <w:tcW w:w="1674" w:type="dxa"/>
          </w:tcPr>
          <w:p>
            <w:pPr>
              <w:pStyle w:val="Compact"/>
              <w:jc w:val="center"/>
            </w:pPr>
            <w:r>
              <w:t xml:space="preserve">06</w:t>
            </w:r>
          </w:p>
        </w:tc>
        <w:tc>
          <w:tcPr>
            <w:tcW w:w="3918" w:type="dxa"/>
          </w:tcPr>
          <w:p>
            <w:pPr>
              <w:pStyle w:val="Compact"/>
              <w:jc w:val="center"/>
            </w:pPr>
            <w:r>
              <w:rPr>
                <w:i/>
                <w:iCs/>
              </w:rPr>
              <w:t xml:space="preserve">Z-score</w:t>
            </w:r>
            <w:r>
              <w:t xml:space="preserve"> </w:t>
            </w:r>
            <w:r>
              <w:t xml:space="preserve">e cálculo do escore por coorte</w:t>
            </w:r>
          </w:p>
        </w:tc>
      </w:tr>
      <w:tr>
        <w:tc>
          <w:tcPr>
            <w:tcW w:w="3478" w:type="dxa"/>
          </w:tcPr>
          <w:p>
            <w:pPr>
              <w:pStyle w:val="Compact"/>
              <w:jc w:val="center"/>
            </w:pPr>
            <w:r>
              <w:t xml:space="preserve">Sobrevida</w:t>
            </w:r>
          </w:p>
        </w:tc>
        <w:tc>
          <w:tcPr>
            <w:tcW w:w="1674" w:type="dxa"/>
          </w:tcPr>
          <w:p>
            <w:pPr>
              <w:pStyle w:val="Compact"/>
              <w:jc w:val="center"/>
            </w:pPr>
            <w:r>
              <w:t xml:space="preserve">07-08</w:t>
            </w:r>
          </w:p>
        </w:tc>
        <w:tc>
          <w:tcPr>
            <w:tcW w:w="3918" w:type="dxa"/>
          </w:tcPr>
          <w:p>
            <w:pPr>
              <w:pStyle w:val="Compact"/>
              <w:jc w:val="center"/>
            </w:pPr>
            <w:r>
              <w:t xml:space="preserve">Análise de sobrevida + meta-análise</w:t>
            </w:r>
          </w:p>
        </w:tc>
      </w:tr>
      <w:tr>
        <w:tc>
          <w:tcPr>
            <w:tcW w:w="3478" w:type="dxa"/>
          </w:tcPr>
          <w:p>
            <w:pPr>
              <w:pStyle w:val="Compact"/>
              <w:jc w:val="center"/>
            </w:pPr>
            <w:r>
              <w:t xml:space="preserve">Valor incremental</w:t>
            </w:r>
          </w:p>
        </w:tc>
        <w:tc>
          <w:tcPr>
            <w:tcW w:w="1674" w:type="dxa"/>
          </w:tcPr>
          <w:p>
            <w:pPr>
              <w:pStyle w:val="Compact"/>
              <w:jc w:val="center"/>
            </w:pPr>
            <w:r>
              <w:t xml:space="preserve">11</w:t>
            </w:r>
          </w:p>
        </w:tc>
        <w:tc>
          <w:tcPr>
            <w:tcW w:w="3918" w:type="dxa"/>
          </w:tcPr>
          <w:p>
            <w:pPr>
              <w:pStyle w:val="Compact"/>
              <w:jc w:val="center"/>
            </w:pPr>
            <w:r>
              <w:t xml:space="preserve">Delta-</w:t>
            </w:r>
            <w:r>
              <w:rPr>
                <w:i/>
                <w:iCs/>
              </w:rPr>
              <w:t xml:space="preserve">C-index</w:t>
            </w:r>
            <w:r>
              <w:t xml:space="preserve"> </w:t>
            </w:r>
            <w:r>
              <w:t xml:space="preserve">e DCA</w:t>
            </w:r>
          </w:p>
        </w:tc>
      </w:tr>
      <w:tr>
        <w:tc>
          <w:tcPr>
            <w:tcW w:w="3478" w:type="dxa"/>
          </w:tcPr>
          <w:p>
            <w:pPr>
              <w:pStyle w:val="Compact"/>
              <w:jc w:val="center"/>
            </w:pPr>
            <w:r>
              <w:t xml:space="preserve">QC</w:t>
            </w:r>
          </w:p>
        </w:tc>
        <w:tc>
          <w:tcPr>
            <w:tcW w:w="1674" w:type="dxa"/>
          </w:tcPr>
          <w:p>
            <w:pPr>
              <w:pStyle w:val="Compact"/>
              <w:jc w:val="center"/>
            </w:pPr>
            <w:r>
              <w:t xml:space="preserve">13-16</w:t>
            </w:r>
          </w:p>
        </w:tc>
        <w:tc>
          <w:tcPr>
            <w:tcW w:w="3918" w:type="dxa"/>
          </w:tcPr>
          <w:p>
            <w:pPr>
              <w:pStyle w:val="Compact"/>
              <w:jc w:val="center"/>
            </w:pPr>
            <w:r>
              <w:t xml:space="preserve">Correlações, PCA,</w:t>
            </w:r>
            <w:r>
              <w:t xml:space="preserve"> </w:t>
            </w:r>
            <w:r>
              <w:rPr>
                <w:i/>
                <w:iCs/>
              </w:rPr>
              <w:t xml:space="preserve">schema</w:t>
            </w:r>
            <w:r>
              <w:t xml:space="preserve">, anti-hardcoding</w:t>
            </w:r>
          </w:p>
        </w:tc>
      </w:tr>
      <w:tr>
        <w:tc>
          <w:tcPr>
            <w:tcW w:w="3478" w:type="dxa"/>
          </w:tcPr>
          <w:p>
            <w:pPr>
              <w:pStyle w:val="Compact"/>
              <w:jc w:val="center"/>
            </w:pPr>
            <w:r>
              <w:t xml:space="preserve">Render</w:t>
            </w:r>
          </w:p>
        </w:tc>
        <w:tc>
          <w:tcPr>
            <w:tcW w:w="1674" w:type="dxa"/>
          </w:tcPr>
          <w:p>
            <w:pPr>
              <w:pStyle w:val="Compact"/>
              <w:jc w:val="center"/>
            </w:pPr>
            <w:r>
              <w:t xml:space="preserve">17-18</w:t>
            </w:r>
          </w:p>
        </w:tc>
        <w:tc>
          <w:tcPr>
            <w:tcW w:w="3918" w:type="dxa"/>
          </w:tcPr>
          <w:p>
            <w:pPr>
              <w:pStyle w:val="Compact"/>
              <w:jc w:val="center"/>
            </w:pPr>
            <w:r>
              <w:t xml:space="preserve">Renderização do manuscrito e</w:t>
            </w:r>
            <w:r>
              <w:t xml:space="preserve"> </w:t>
            </w:r>
            <w:r>
              <w:rPr>
                <w:i/>
                <w:iCs/>
              </w:rPr>
              <w:t xml:space="preserve">bundle</w:t>
            </w:r>
            <w:r>
              <w:t xml:space="preserve"> </w:t>
            </w:r>
            <w:r>
              <w:t xml:space="preserve">de submissão</w:t>
            </w:r>
          </w:p>
        </w:tc>
      </w:tr>
      <w:tr>
        <w:tc>
          <w:tcPr>
            <w:tcW w:w="3478" w:type="dxa"/>
          </w:tcPr>
          <w:p>
            <w:pPr>
              <w:pStyle w:val="Compact"/>
              <w:jc w:val="center"/>
            </w:pPr>
            <w:r>
              <w:t xml:space="preserve">pCR</w:t>
            </w:r>
          </w:p>
        </w:tc>
        <w:tc>
          <w:tcPr>
            <w:tcW w:w="1674" w:type="dxa"/>
          </w:tcPr>
          <w:p>
            <w:pPr>
              <w:pStyle w:val="Compact"/>
              <w:jc w:val="center"/>
            </w:pPr>
            <w:r>
              <w:t xml:space="preserve">19-23b</w:t>
            </w:r>
          </w:p>
        </w:tc>
        <w:tc>
          <w:tcPr>
            <w:tcW w:w="3918" w:type="dxa"/>
          </w:tcPr>
          <w:p>
            <w:pPr>
              <w:pStyle w:val="Compact"/>
              <w:jc w:val="center"/>
            </w:pPr>
            <w:r>
              <w:rPr>
                <w:i/>
                <w:iCs/>
              </w:rPr>
              <w:t xml:space="preserve">Download</w:t>
            </w:r>
            <w:r>
              <w:t xml:space="preserve">, preparação, análise e figuras de pCR</w:t>
            </w:r>
          </w:p>
        </w:tc>
      </w:tr>
      <w:tr>
        <w:tc>
          <w:tcPr>
            <w:tcW w:w="3478" w:type="dxa"/>
          </w:tcPr>
          <w:p>
            <w:pPr>
              <w:pStyle w:val="Compact"/>
              <w:jc w:val="center"/>
            </w:pPr>
            <w:r>
              <w:t xml:space="preserve">4ª coorte</w:t>
            </w:r>
          </w:p>
        </w:tc>
        <w:tc>
          <w:tcPr>
            <w:tcW w:w="1674" w:type="dxa"/>
          </w:tcPr>
          <w:p>
            <w:pPr>
              <w:pStyle w:val="Compact"/>
              <w:jc w:val="center"/>
            </w:pPr>
            <w:r>
              <w:t xml:space="preserve">24</w:t>
            </w:r>
          </w:p>
        </w:tc>
        <w:tc>
          <w:tcPr>
            <w:tcW w:w="3918" w:type="dxa"/>
          </w:tcPr>
          <w:p>
            <w:pPr>
              <w:pStyle w:val="Compact"/>
              <w:jc w:val="center"/>
            </w:pPr>
            <w:r>
              <w:t xml:space="preserve">Integração GSE1456 (Stockholm)</w:t>
            </w:r>
          </w:p>
        </w:tc>
      </w:tr>
      <w:tr>
        <w:tc>
          <w:tcPr>
            <w:tcW w:w="3478" w:type="dxa"/>
          </w:tcPr>
          <w:p>
            <w:pPr>
              <w:pStyle w:val="Compact"/>
              <w:jc w:val="center"/>
            </w:pPr>
            <w:r>
              <w:t xml:space="preserve">Sensibilidade</w:t>
            </w:r>
          </w:p>
        </w:tc>
        <w:tc>
          <w:tcPr>
            <w:tcW w:w="1674" w:type="dxa"/>
          </w:tcPr>
          <w:p>
            <w:pPr>
              <w:pStyle w:val="Compact"/>
              <w:jc w:val="center"/>
            </w:pPr>
            <w:r>
              <w:t xml:space="preserve">25-29</w:t>
            </w:r>
          </w:p>
        </w:tc>
        <w:tc>
          <w:tcPr>
            <w:tcW w:w="3918" w:type="dxa"/>
          </w:tcPr>
          <w:p>
            <w:pPr>
              <w:pStyle w:val="Compact"/>
              <w:jc w:val="center"/>
            </w:pPr>
            <w:r>
              <w:t xml:space="preserve">CORE-A expandido, genefu,</w:t>
            </w:r>
            <w:r>
              <w:t xml:space="preserve"> </w:t>
            </w:r>
            <w:r>
              <w:rPr>
                <w:i/>
                <w:iCs/>
              </w:rPr>
              <w:t xml:space="preserve">bootstrap</w:t>
            </w:r>
            <w:r>
              <w:t xml:space="preserve">,</w:t>
            </w:r>
            <w:r>
              <w:t xml:space="preserve"> </w:t>
            </w:r>
            <w:r>
              <w:rPr>
                <w:i/>
                <w:iCs/>
              </w:rPr>
              <w:t xml:space="preserve">drop-gene</w:t>
            </w:r>
          </w:p>
        </w:tc>
      </w:tr>
      <w:tr>
        <w:tc>
          <w:tcPr>
            <w:tcW w:w="3478" w:type="dxa"/>
          </w:tcPr>
          <w:p>
            <w:pPr>
              <w:pStyle w:val="Compact"/>
              <w:jc w:val="center"/>
            </w:pPr>
            <w:r>
              <w:t xml:space="preserve">Revisão major</w:t>
            </w:r>
          </w:p>
        </w:tc>
        <w:tc>
          <w:tcPr>
            <w:tcW w:w="1674" w:type="dxa"/>
          </w:tcPr>
          <w:p>
            <w:pPr>
              <w:pStyle w:val="Compact"/>
              <w:jc w:val="center"/>
            </w:pPr>
            <w:r>
              <w:t xml:space="preserve">30-36</w:t>
            </w:r>
          </w:p>
        </w:tc>
        <w:tc>
          <w:tcPr>
            <w:tcW w:w="3918" w:type="dxa"/>
          </w:tcPr>
          <w:p>
            <w:pPr>
              <w:pStyle w:val="Compact"/>
              <w:jc w:val="center"/>
            </w:pPr>
            <w:r>
              <w:rPr>
                <w:i/>
                <w:iCs/>
              </w:rPr>
              <w:t xml:space="preserve">Z-score</w:t>
            </w:r>
            <w:r>
              <w:t xml:space="preserve"> </w:t>
            </w:r>
            <w:r>
              <w:t xml:space="preserve">congelado, Uno C, calibração, ER,</w:t>
            </w:r>
            <w:r>
              <w:t xml:space="preserve"> </w:t>
            </w:r>
            <w:r>
              <w:rPr>
                <w:i/>
                <w:iCs/>
              </w:rPr>
              <w:t xml:space="preserve">baseline</w:t>
            </w:r>
          </w:p>
        </w:tc>
      </w:tr>
      <w:tr>
        <w:tc>
          <w:tcPr>
            <w:tcW w:w="3478" w:type="dxa"/>
          </w:tcPr>
          <w:p>
            <w:pPr>
              <w:pStyle w:val="Compact"/>
              <w:jc w:val="center"/>
            </w:pPr>
            <w:r>
              <w:t xml:space="preserve">R2 (revisão)</w:t>
            </w:r>
          </w:p>
        </w:tc>
        <w:tc>
          <w:tcPr>
            <w:tcW w:w="1674" w:type="dxa"/>
          </w:tcPr>
          <w:p>
            <w:pPr>
              <w:pStyle w:val="Compact"/>
              <w:jc w:val="center"/>
            </w:pPr>
            <w:r>
              <w:t xml:space="preserve">37-38</w:t>
            </w:r>
          </w:p>
        </w:tc>
        <w:tc>
          <w:tcPr>
            <w:tcW w:w="3918" w:type="dxa"/>
          </w:tcPr>
          <w:p>
            <w:pPr>
              <w:pStyle w:val="Compact"/>
              <w:jc w:val="center"/>
            </w:pPr>
            <w:r>
              <w:t xml:space="preserve">KM</w:t>
            </w:r>
            <w:r>
              <w:t xml:space="preserve"> </w:t>
            </w:r>
            <w:r>
              <w:rPr>
                <w:i/>
                <w:iCs/>
              </w:rPr>
              <w:t xml:space="preserve">multipanel</w:t>
            </w:r>
            <w:r>
              <w:t xml:space="preserve"> </w:t>
            </w:r>
            <w:r>
              <w:t xml:space="preserve">e</w:t>
            </w:r>
            <w:r>
              <w:t xml:space="preserve"> </w:t>
            </w:r>
            <w:r>
              <w:rPr>
                <w:i/>
                <w:iCs/>
              </w:rPr>
              <w:t xml:space="preserve">head-to-head</w:t>
            </w:r>
            <w:r>
              <w:t xml:space="preserve"> </w:t>
            </w:r>
            <w:r>
              <w:t xml:space="preserve">24 vs 50</w:t>
            </w:r>
          </w:p>
        </w:tc>
      </w:tr>
    </w:tbl>
    <w:bookmarkEnd w:id="390"/>
    <w:p/>
    <w:p>
      <w:pPr>
        <w:pStyle w:val="BodyText"/>
      </w:pPr>
      <w:r>
        <w:t xml:space="preserve"> </w:t>
      </w:r>
    </w:p>
    <w:p>
      <w:pPr>
        <w:jc w:val="left"/>
        <w:spacing w:before="200"/>
        <w:pStyle w:val="ImageCaption"/>
      </w:pPr>
      <w:bookmarkStart w:id="391" w:name="tbl-pipeline-full"/>
      <w:r>
        <w:t xml:space="preserve">Tabela 21 — Lista completa dos scripts do</w:t>
      </w:r>
      <w:r>
        <w:t xml:space="preserve"> </w:t>
      </w:r>
      <w:r>
        <w:rPr>
          <w:i/>
          <w:iCs/>
        </w:rPr>
        <w:t xml:space="preserve">pipeline</w:t>
      </w:r>
    </w:p>
    <w:tbl>
      <w:tblPr>
        <w:tblStyle w:val="Table"/>
        <w:tblW w:type="dxa" w:w="9070"/>
        <w:tblLayout w:type="fixed"/>
        <w:tblLook w:firstRow="1" w:lastRow="0" w:firstColumn="0" w:lastColumn="0" w:noHBand="0" w:noVBand="0" w:val="0020"/>
      </w:tblPr>
      <w:tblGrid>
        <w:gridCol w:w="5411"/>
        <w:gridCol w:w="3659"/>
      </w:tblGrid>
      <w:tr>
        <w:trPr>
          <w:tblHeader w:val="on"/>
        </w:trPr>
        <w:tc>
          <w:tcPr>
            <w:tcW w:w="5411" w:type="dxa"/>
          </w:tcPr>
          <w:p>
            <w:pPr>
              <w:pStyle w:val="Compact"/>
              <w:jc w:val="center"/>
            </w:pPr>
            <w:r>
              <w:t xml:space="preserve">Script</w:t>
            </w:r>
          </w:p>
        </w:tc>
        <w:tc>
          <w:tcPr>
            <w:tcW w:w="3659" w:type="dxa"/>
          </w:tcPr>
          <w:p>
            <w:pPr>
              <w:pStyle w:val="Compact"/>
              <w:jc w:val="center"/>
            </w:pPr>
            <w:r>
              <w:t xml:space="preserve">Descrição</w:t>
            </w:r>
          </w:p>
        </w:tc>
      </w:tr>
      <w:tr>
        <w:tc>
          <w:tcPr>
            <w:tcW w:w="5411" w:type="dxa"/>
          </w:tcPr>
          <w:p>
            <w:pPr>
              <w:pStyle w:val="Compact"/>
              <w:jc w:val="center"/>
            </w:pPr>
            <w:r>
              <w:rPr>
                <w:rStyle w:val="VerbatimChar"/>
              </w:rPr>
              <w:t xml:space="preserve">00_colors.R</w:t>
            </w:r>
          </w:p>
        </w:tc>
        <w:tc>
          <w:tcPr>
            <w:tcW w:w="3659" w:type="dxa"/>
          </w:tcPr>
          <w:p>
            <w:pPr>
              <w:pStyle w:val="Compact"/>
              <w:jc w:val="center"/>
            </w:pPr>
            <w:r>
              <w:t xml:space="preserve">Paleta de cores reprodutível para figuras</w:t>
            </w:r>
          </w:p>
        </w:tc>
      </w:tr>
      <w:tr>
        <w:tc>
          <w:tcPr>
            <w:tcW w:w="5411" w:type="dxa"/>
          </w:tcPr>
          <w:p>
            <w:pPr>
              <w:pStyle w:val="Compact"/>
              <w:jc w:val="center"/>
            </w:pPr>
            <w:r>
              <w:rPr>
                <w:rStyle w:val="VerbatimChar"/>
              </w:rPr>
              <w:t xml:space="preserve">00_setup.R</w:t>
            </w:r>
          </w:p>
        </w:tc>
        <w:tc>
          <w:tcPr>
            <w:tcW w:w="3659" w:type="dxa"/>
          </w:tcPr>
          <w:p>
            <w:pPr>
              <w:pStyle w:val="Compact"/>
              <w:jc w:val="center"/>
            </w:pPr>
            <w:r>
              <w:t xml:space="preserve">Parâmetros congelados (alpha, K, margem, lambda grid)</w:t>
            </w:r>
          </w:p>
        </w:tc>
      </w:tr>
      <w:tr>
        <w:tc>
          <w:tcPr>
            <w:tcW w:w="5411" w:type="dxa"/>
          </w:tcPr>
          <w:p>
            <w:pPr>
              <w:pStyle w:val="Compact"/>
              <w:jc w:val="center"/>
            </w:pPr>
            <w:r>
              <w:rPr>
                <w:rStyle w:val="VerbatimChar"/>
              </w:rPr>
              <w:t xml:space="preserve">00_validate_all.R</w:t>
            </w:r>
          </w:p>
        </w:tc>
        <w:tc>
          <w:tcPr>
            <w:tcW w:w="3659" w:type="dxa"/>
          </w:tcPr>
          <w:p>
            <w:pPr>
              <w:pStyle w:val="Compact"/>
              <w:jc w:val="center"/>
            </w:pPr>
            <w:r>
              <w:t xml:space="preserve">Validação estrutural de entradas e saídas</w:t>
            </w:r>
          </w:p>
        </w:tc>
      </w:tr>
      <w:tr>
        <w:tc>
          <w:tcPr>
            <w:tcW w:w="5411" w:type="dxa"/>
          </w:tcPr>
          <w:p>
            <w:pPr>
              <w:pStyle w:val="Compact"/>
              <w:jc w:val="center"/>
            </w:pPr>
            <w:r>
              <w:rPr>
                <w:rStyle w:val="VerbatimChar"/>
              </w:rPr>
              <w:t xml:space="preserve">01_download_raw_data.R</w:t>
            </w:r>
          </w:p>
        </w:tc>
        <w:tc>
          <w:tcPr>
            <w:tcW w:w="3659" w:type="dxa"/>
          </w:tcPr>
          <w:p>
            <w:pPr>
              <w:pStyle w:val="Compact"/>
              <w:jc w:val="center"/>
            </w:pPr>
            <w:r>
              <w:rPr>
                <w:i/>
                <w:iCs/>
              </w:rPr>
              <w:t xml:space="preserve">Download</w:t>
            </w:r>
            <w:r>
              <w:t xml:space="preserve"> </w:t>
            </w:r>
            <w:r>
              <w:t xml:space="preserve">das matrizes de SCAN-B, TCGA, METABRIC, GEO</w:t>
            </w:r>
          </w:p>
        </w:tc>
      </w:tr>
      <w:tr>
        <w:tc>
          <w:tcPr>
            <w:tcW w:w="5411" w:type="dxa"/>
          </w:tcPr>
          <w:p>
            <w:pPr>
              <w:pStyle w:val="Compact"/>
              <w:jc w:val="center"/>
            </w:pPr>
            <w:r>
              <w:rPr>
                <w:rStyle w:val="VerbatimChar"/>
              </w:rPr>
              <w:t xml:space="preserve">02_harmonize_clinical_GSE20685.R</w:t>
            </w:r>
          </w:p>
        </w:tc>
        <w:tc>
          <w:tcPr>
            <w:tcW w:w="3659" w:type="dxa"/>
          </w:tcPr>
          <w:p>
            <w:pPr>
              <w:pStyle w:val="Compact"/>
              <w:jc w:val="center"/>
            </w:pPr>
            <w:r>
              <w:t xml:space="preserve">Harmonização clínica GSE20685</w:t>
            </w:r>
          </w:p>
        </w:tc>
      </w:tr>
      <w:tr>
        <w:tc>
          <w:tcPr>
            <w:tcW w:w="5411" w:type="dxa"/>
          </w:tcPr>
          <w:p>
            <w:pPr>
              <w:pStyle w:val="Compact"/>
              <w:jc w:val="center"/>
            </w:pPr>
            <w:r>
              <w:rPr>
                <w:rStyle w:val="VerbatimChar"/>
              </w:rPr>
              <w:t xml:space="preserve">02_harmonize_clinical_METABRIC.R</w:t>
            </w:r>
          </w:p>
        </w:tc>
        <w:tc>
          <w:tcPr>
            <w:tcW w:w="3659" w:type="dxa"/>
          </w:tcPr>
          <w:p>
            <w:pPr>
              <w:pStyle w:val="Compact"/>
              <w:jc w:val="center"/>
            </w:pPr>
            <w:r>
              <w:t xml:space="preserve">Harmonização clínica METABRIC</w:t>
            </w:r>
          </w:p>
        </w:tc>
      </w:tr>
      <w:tr>
        <w:tc>
          <w:tcPr>
            <w:tcW w:w="5411" w:type="dxa"/>
          </w:tcPr>
          <w:p>
            <w:pPr>
              <w:pStyle w:val="Compact"/>
              <w:jc w:val="center"/>
            </w:pPr>
            <w:r>
              <w:rPr>
                <w:rStyle w:val="VerbatimChar"/>
              </w:rPr>
              <w:t xml:space="preserve">02_harmonize_clinical_SCANB.R</w:t>
            </w:r>
          </w:p>
        </w:tc>
        <w:tc>
          <w:tcPr>
            <w:tcW w:w="3659" w:type="dxa"/>
          </w:tcPr>
          <w:p>
            <w:pPr>
              <w:pStyle w:val="Compact"/>
              <w:jc w:val="center"/>
            </w:pPr>
            <w:r>
              <w:t xml:space="preserve">Harmonização clínica SCAN-B</w:t>
            </w:r>
          </w:p>
        </w:tc>
      </w:tr>
      <w:tr>
        <w:tc>
          <w:tcPr>
            <w:tcW w:w="5411" w:type="dxa"/>
          </w:tcPr>
          <w:p>
            <w:pPr>
              <w:pStyle w:val="Compact"/>
              <w:jc w:val="center"/>
            </w:pPr>
            <w:r>
              <w:rPr>
                <w:rStyle w:val="VerbatimChar"/>
              </w:rPr>
              <w:t xml:space="preserve">02_harmonize_clinical_TCGA_BRCA.R</w:t>
            </w:r>
          </w:p>
        </w:tc>
        <w:tc>
          <w:tcPr>
            <w:tcW w:w="3659" w:type="dxa"/>
          </w:tcPr>
          <w:p>
            <w:pPr>
              <w:pStyle w:val="Compact"/>
              <w:jc w:val="center"/>
            </w:pPr>
            <w:r>
              <w:t xml:space="preserve">Harmonização clínica TCGA-BRCA</w:t>
            </w:r>
          </w:p>
        </w:tc>
      </w:tr>
      <w:tr>
        <w:tc>
          <w:tcPr>
            <w:tcW w:w="5411" w:type="dxa"/>
          </w:tcPr>
          <w:p>
            <w:pPr>
              <w:pStyle w:val="Compact"/>
              <w:jc w:val="center"/>
            </w:pPr>
            <w:r>
              <w:rPr>
                <w:rStyle w:val="VerbatimChar"/>
              </w:rPr>
              <w:t xml:space="preserve">03_expression_preprocess_GSE20685.R</w:t>
            </w:r>
          </w:p>
        </w:tc>
        <w:tc>
          <w:tcPr>
            <w:tcW w:w="3659" w:type="dxa"/>
          </w:tcPr>
          <w:p>
            <w:pPr>
              <w:pStyle w:val="Compact"/>
              <w:jc w:val="center"/>
            </w:pPr>
            <w:r>
              <w:t xml:space="preserve">Pré-processamento de expressão GSE20685</w:t>
            </w:r>
          </w:p>
        </w:tc>
      </w:tr>
      <w:tr>
        <w:tc>
          <w:tcPr>
            <w:tcW w:w="5411" w:type="dxa"/>
          </w:tcPr>
          <w:p>
            <w:pPr>
              <w:pStyle w:val="Compact"/>
              <w:jc w:val="center"/>
            </w:pPr>
            <w:r>
              <w:rPr>
                <w:rStyle w:val="VerbatimChar"/>
              </w:rPr>
              <w:t xml:space="preserve">03_expression_preprocess_METABRIC.R</w:t>
            </w:r>
          </w:p>
        </w:tc>
        <w:tc>
          <w:tcPr>
            <w:tcW w:w="3659" w:type="dxa"/>
          </w:tcPr>
          <w:p>
            <w:pPr>
              <w:pStyle w:val="Compact"/>
              <w:jc w:val="center"/>
            </w:pPr>
            <w:r>
              <w:t xml:space="preserve">Pré-processamento de expressão METABRIC</w:t>
            </w:r>
          </w:p>
        </w:tc>
      </w:tr>
      <w:tr>
        <w:tc>
          <w:tcPr>
            <w:tcW w:w="5411" w:type="dxa"/>
          </w:tcPr>
          <w:p>
            <w:pPr>
              <w:pStyle w:val="Compact"/>
              <w:jc w:val="center"/>
            </w:pPr>
            <w:r>
              <w:rPr>
                <w:rStyle w:val="VerbatimChar"/>
              </w:rPr>
              <w:t xml:space="preserve">03_expression_preprocess_SCANB.R</w:t>
            </w:r>
          </w:p>
        </w:tc>
        <w:tc>
          <w:tcPr>
            <w:tcW w:w="3659" w:type="dxa"/>
          </w:tcPr>
          <w:p>
            <w:pPr>
              <w:pStyle w:val="Compact"/>
              <w:jc w:val="center"/>
            </w:pPr>
            <w:r>
              <w:t xml:space="preserve">Pré-processamento de expressão SCAN-B</w:t>
            </w:r>
          </w:p>
        </w:tc>
      </w:tr>
      <w:tr>
        <w:tc>
          <w:tcPr>
            <w:tcW w:w="5411" w:type="dxa"/>
          </w:tcPr>
          <w:p>
            <w:pPr>
              <w:pStyle w:val="Compact"/>
              <w:jc w:val="center"/>
            </w:pPr>
            <w:r>
              <w:rPr>
                <w:rStyle w:val="VerbatimChar"/>
              </w:rPr>
              <w:t xml:space="preserve">03_expression_preprocess_TCGA_BRCA.R</w:t>
            </w:r>
          </w:p>
        </w:tc>
        <w:tc>
          <w:tcPr>
            <w:tcW w:w="3659" w:type="dxa"/>
          </w:tcPr>
          <w:p>
            <w:pPr>
              <w:pStyle w:val="Compact"/>
              <w:jc w:val="center"/>
            </w:pPr>
            <w:r>
              <w:t xml:space="preserve">Pré-processamento de expressão TCGA-BRCA</w:t>
            </w:r>
          </w:p>
        </w:tc>
      </w:tr>
      <w:tr>
        <w:tc>
          <w:tcPr>
            <w:tcW w:w="5411" w:type="dxa"/>
          </w:tcPr>
          <w:p>
            <w:pPr>
              <w:pStyle w:val="Compact"/>
              <w:jc w:val="center"/>
            </w:pPr>
            <w:r>
              <w:rPr>
                <w:rStyle w:val="VerbatimChar"/>
              </w:rPr>
              <w:t xml:space="preserve">03_utils_gene_mapping.R</w:t>
            </w:r>
          </w:p>
        </w:tc>
        <w:tc>
          <w:tcPr>
            <w:tcW w:w="3659" w:type="dxa"/>
          </w:tcPr>
          <w:p>
            <w:pPr>
              <w:pStyle w:val="Compact"/>
              <w:jc w:val="center"/>
            </w:pPr>
            <w:r>
              <w:t xml:space="preserve">Utilitários de mapeamento ENSEMBL → HUGO</w:t>
            </w:r>
          </w:p>
        </w:tc>
      </w:tr>
      <w:tr>
        <w:tc>
          <w:tcPr>
            <w:tcW w:w="5411" w:type="dxa"/>
          </w:tcPr>
          <w:p>
            <w:pPr>
              <w:pStyle w:val="Compact"/>
              <w:jc w:val="center"/>
            </w:pPr>
            <w:r>
              <w:rPr>
                <w:rStyle w:val="VerbatimChar"/>
              </w:rPr>
              <w:t xml:space="preserve">04_gene_audit_freeze.R</w:t>
            </w:r>
          </w:p>
        </w:tc>
        <w:tc>
          <w:tcPr>
            <w:tcW w:w="3659" w:type="dxa"/>
          </w:tcPr>
          <w:p>
            <w:pPr>
              <w:pStyle w:val="Compact"/>
              <w:jc w:val="center"/>
            </w:pPr>
            <w:r>
              <w:t xml:space="preserve">Auditoria e congelamento dos 50 genes candidatos</w:t>
            </w:r>
          </w:p>
        </w:tc>
      </w:tr>
      <w:tr>
        <w:tc>
          <w:tcPr>
            <w:tcW w:w="5411" w:type="dxa"/>
          </w:tcPr>
          <w:p>
            <w:pPr>
              <w:pStyle w:val="Compact"/>
              <w:jc w:val="center"/>
            </w:pPr>
            <w:r>
              <w:rPr>
                <w:rStyle w:val="VerbatimChar"/>
              </w:rPr>
              <w:t xml:space="preserve">05_reduce_pam50_to_corepam_FINAL.R</w:t>
            </w:r>
          </w:p>
        </w:tc>
        <w:tc>
          <w:tcPr>
            <w:tcW w:w="3659" w:type="dxa"/>
          </w:tcPr>
          <w:p>
            <w:pPr>
              <w:pStyle w:val="Compact"/>
              <w:jc w:val="center"/>
            </w:pPr>
            <w:r>
              <w:rPr>
                <w:b/>
                <w:bCs/>
              </w:rPr>
              <w:t xml:space="preserve">Derivação final do CorePAM (</w:t>
            </w:r>
            <w:r>
              <w:rPr>
                <w:b/>
                <w:bCs/>
                <w:i/>
                <w:iCs/>
              </w:rPr>
              <w:t xml:space="preserve">elastic-net</w:t>
            </w:r>
            <w:r>
              <w:rPr>
                <w:b/>
                <w:bCs/>
              </w:rPr>
              <w:t xml:space="preserve"> </w:t>
            </w:r>
            <w:r>
              <w:rPr>
                <w:b/>
                <w:bCs/>
              </w:rPr>
              <w:t xml:space="preserve">CV)</w:t>
            </w:r>
          </w:p>
        </w:tc>
      </w:tr>
      <w:tr>
        <w:tc>
          <w:tcPr>
            <w:tcW w:w="5411" w:type="dxa"/>
          </w:tcPr>
          <w:p>
            <w:pPr>
              <w:pStyle w:val="Compact"/>
              <w:jc w:val="center"/>
            </w:pPr>
            <w:r>
              <w:rPr>
                <w:rStyle w:val="VerbatimChar"/>
              </w:rPr>
              <w:t xml:space="preserve">06_zscore_and_score_GSE20685.R</w:t>
            </w:r>
          </w:p>
        </w:tc>
        <w:tc>
          <w:tcPr>
            <w:tcW w:w="3659" w:type="dxa"/>
          </w:tcPr>
          <w:p>
            <w:pPr>
              <w:pStyle w:val="Compact"/>
              <w:jc w:val="center"/>
            </w:pPr>
            <w:r>
              <w:rPr>
                <w:i/>
                <w:iCs/>
              </w:rPr>
              <w:t xml:space="preserve">Z-score</w:t>
            </w:r>
            <w:r>
              <w:t xml:space="preserve"> </w:t>
            </w:r>
            <w:r>
              <w:t xml:space="preserve">e escore GSE20685</w:t>
            </w:r>
          </w:p>
        </w:tc>
      </w:tr>
      <w:tr>
        <w:tc>
          <w:tcPr>
            <w:tcW w:w="5411" w:type="dxa"/>
          </w:tcPr>
          <w:p>
            <w:pPr>
              <w:pStyle w:val="Compact"/>
              <w:jc w:val="center"/>
            </w:pPr>
            <w:r>
              <w:rPr>
                <w:rStyle w:val="VerbatimChar"/>
              </w:rPr>
              <w:t xml:space="preserve">06_zscore_and_score_METABRIC.R</w:t>
            </w:r>
          </w:p>
        </w:tc>
        <w:tc>
          <w:tcPr>
            <w:tcW w:w="3659" w:type="dxa"/>
          </w:tcPr>
          <w:p>
            <w:pPr>
              <w:pStyle w:val="Compact"/>
              <w:jc w:val="center"/>
            </w:pPr>
            <w:r>
              <w:rPr>
                <w:i/>
                <w:iCs/>
              </w:rPr>
              <w:t xml:space="preserve">Z-score</w:t>
            </w:r>
            <w:r>
              <w:t xml:space="preserve"> </w:t>
            </w:r>
            <w:r>
              <w:t xml:space="preserve">e escore METABRIC</w:t>
            </w:r>
          </w:p>
        </w:tc>
      </w:tr>
      <w:tr>
        <w:tc>
          <w:tcPr>
            <w:tcW w:w="5411" w:type="dxa"/>
          </w:tcPr>
          <w:p>
            <w:pPr>
              <w:pStyle w:val="Compact"/>
              <w:jc w:val="center"/>
            </w:pPr>
            <w:r>
              <w:rPr>
                <w:rStyle w:val="VerbatimChar"/>
              </w:rPr>
              <w:t xml:space="preserve">06_zscore_and_score_SCANB.R</w:t>
            </w:r>
          </w:p>
        </w:tc>
        <w:tc>
          <w:tcPr>
            <w:tcW w:w="3659" w:type="dxa"/>
          </w:tcPr>
          <w:p>
            <w:pPr>
              <w:pStyle w:val="Compact"/>
              <w:jc w:val="center"/>
            </w:pPr>
            <w:r>
              <w:rPr>
                <w:i/>
                <w:iCs/>
              </w:rPr>
              <w:t xml:space="preserve">Z-score</w:t>
            </w:r>
            <w:r>
              <w:t xml:space="preserve"> </w:t>
            </w:r>
            <w:r>
              <w:t xml:space="preserve">e escore SCAN-B</w:t>
            </w:r>
          </w:p>
        </w:tc>
      </w:tr>
      <w:tr>
        <w:tc>
          <w:tcPr>
            <w:tcW w:w="5411" w:type="dxa"/>
          </w:tcPr>
          <w:p>
            <w:pPr>
              <w:pStyle w:val="Compact"/>
              <w:jc w:val="center"/>
            </w:pPr>
            <w:r>
              <w:rPr>
                <w:rStyle w:val="VerbatimChar"/>
              </w:rPr>
              <w:t xml:space="preserve">06_zscore_and_score_TCGA_BRCA.R</w:t>
            </w:r>
          </w:p>
        </w:tc>
        <w:tc>
          <w:tcPr>
            <w:tcW w:w="3659" w:type="dxa"/>
          </w:tcPr>
          <w:p>
            <w:pPr>
              <w:pStyle w:val="Compact"/>
              <w:jc w:val="center"/>
            </w:pPr>
            <w:r>
              <w:rPr>
                <w:i/>
                <w:iCs/>
              </w:rPr>
              <w:t xml:space="preserve">Z-score</w:t>
            </w:r>
            <w:r>
              <w:t xml:space="preserve"> </w:t>
            </w:r>
            <w:r>
              <w:t xml:space="preserve">e escore TCGA-BRCA</w:t>
            </w:r>
          </w:p>
        </w:tc>
      </w:tr>
      <w:tr>
        <w:tc>
          <w:tcPr>
            <w:tcW w:w="5411" w:type="dxa"/>
          </w:tcPr>
          <w:p>
            <w:pPr>
              <w:pStyle w:val="Compact"/>
              <w:jc w:val="center"/>
            </w:pPr>
            <w:r>
              <w:rPr>
                <w:rStyle w:val="VerbatimChar"/>
              </w:rPr>
              <w:t xml:space="preserve">07A_preflight_files_strict.R</w:t>
            </w:r>
          </w:p>
        </w:tc>
        <w:tc>
          <w:tcPr>
            <w:tcW w:w="3659" w:type="dxa"/>
          </w:tcPr>
          <w:p>
            <w:pPr>
              <w:pStyle w:val="Compact"/>
              <w:jc w:val="center"/>
            </w:pPr>
            <w:r>
              <w:rPr>
                <w:i/>
                <w:iCs/>
              </w:rPr>
              <w:t xml:space="preserve">Preflight</w:t>
            </w:r>
            <w:r>
              <w:t xml:space="preserve"> </w:t>
            </w:r>
            <w:r>
              <w:t xml:space="preserve">de arquivos obrigatórios</w:t>
            </w:r>
          </w:p>
        </w:tc>
      </w:tr>
      <w:tr>
        <w:tc>
          <w:tcPr>
            <w:tcW w:w="5411" w:type="dxa"/>
          </w:tcPr>
          <w:p>
            <w:pPr>
              <w:pStyle w:val="Compact"/>
              <w:jc w:val="center"/>
            </w:pPr>
            <w:r>
              <w:rPr>
                <w:rStyle w:val="VerbatimChar"/>
              </w:rPr>
              <w:t xml:space="preserve">07D_validate_one_cohort_corepam.R</w:t>
            </w:r>
          </w:p>
        </w:tc>
        <w:tc>
          <w:tcPr>
            <w:tcW w:w="3659" w:type="dxa"/>
          </w:tcPr>
          <w:p>
            <w:pPr>
              <w:pStyle w:val="Compact"/>
              <w:jc w:val="center"/>
            </w:pPr>
            <w:r>
              <w:t xml:space="preserve">Validação unitária por coorte</w:t>
            </w:r>
          </w:p>
        </w:tc>
      </w:tr>
      <w:tr>
        <w:tc>
          <w:tcPr>
            <w:tcW w:w="5411" w:type="dxa"/>
          </w:tcPr>
          <w:p>
            <w:pPr>
              <w:pStyle w:val="Compact"/>
              <w:jc w:val="center"/>
            </w:pPr>
            <w:r>
              <w:rPr>
                <w:rStyle w:val="VerbatimChar"/>
              </w:rPr>
              <w:t xml:space="preserve">07_survival_analysis_GSE20685.R</w:t>
            </w:r>
          </w:p>
        </w:tc>
        <w:tc>
          <w:tcPr>
            <w:tcW w:w="3659" w:type="dxa"/>
          </w:tcPr>
          <w:p>
            <w:pPr>
              <w:pStyle w:val="Compact"/>
              <w:jc w:val="center"/>
            </w:pPr>
            <w:r>
              <w:t xml:space="preserve">Sobrevida GSE20685 (Cox + KM + C-index)</w:t>
            </w:r>
          </w:p>
        </w:tc>
      </w:tr>
      <w:tr>
        <w:tc>
          <w:tcPr>
            <w:tcW w:w="5411" w:type="dxa"/>
          </w:tcPr>
          <w:p>
            <w:pPr>
              <w:pStyle w:val="Compact"/>
              <w:jc w:val="center"/>
            </w:pPr>
            <w:r>
              <w:rPr>
                <w:rStyle w:val="VerbatimChar"/>
              </w:rPr>
              <w:t xml:space="preserve">07_survival_analysis_METABRIC.R</w:t>
            </w:r>
          </w:p>
        </w:tc>
        <w:tc>
          <w:tcPr>
            <w:tcW w:w="3659" w:type="dxa"/>
          </w:tcPr>
          <w:p>
            <w:pPr>
              <w:pStyle w:val="Compact"/>
              <w:jc w:val="center"/>
            </w:pPr>
            <w:r>
              <w:t xml:space="preserve">Sobrevida METABRIC (DSS + Fine-Gray)</w:t>
            </w:r>
          </w:p>
        </w:tc>
      </w:tr>
      <w:tr>
        <w:tc>
          <w:tcPr>
            <w:tcW w:w="5411" w:type="dxa"/>
          </w:tcPr>
          <w:p>
            <w:pPr>
              <w:pStyle w:val="Compact"/>
              <w:jc w:val="center"/>
            </w:pPr>
            <w:r>
              <w:rPr>
                <w:rStyle w:val="VerbatimChar"/>
              </w:rPr>
              <w:t xml:space="preserve">07_survival_analysis_SCANB.R</w:t>
            </w:r>
          </w:p>
        </w:tc>
        <w:tc>
          <w:tcPr>
            <w:tcW w:w="3659" w:type="dxa"/>
          </w:tcPr>
          <w:p>
            <w:pPr>
              <w:pStyle w:val="Compact"/>
              <w:jc w:val="center"/>
            </w:pPr>
            <w:r>
              <w:t xml:space="preserve">Sobrevida SCAN-B (coorte de treinamento)</w:t>
            </w:r>
          </w:p>
        </w:tc>
      </w:tr>
      <w:tr>
        <w:tc>
          <w:tcPr>
            <w:tcW w:w="5411" w:type="dxa"/>
          </w:tcPr>
          <w:p>
            <w:pPr>
              <w:pStyle w:val="Compact"/>
              <w:jc w:val="center"/>
            </w:pPr>
            <w:r>
              <w:rPr>
                <w:rStyle w:val="VerbatimChar"/>
              </w:rPr>
              <w:t xml:space="preserve">07_survival_analysis_TCGA_BRCA.R</w:t>
            </w:r>
          </w:p>
        </w:tc>
        <w:tc>
          <w:tcPr>
            <w:tcW w:w="3659" w:type="dxa"/>
          </w:tcPr>
          <w:p>
            <w:pPr>
              <w:pStyle w:val="Compact"/>
              <w:jc w:val="center"/>
            </w:pPr>
            <w:r>
              <w:t xml:space="preserve">Sobrevida TCGA-BRCA</w:t>
            </w:r>
          </w:p>
        </w:tc>
      </w:tr>
      <w:tr>
        <w:tc>
          <w:tcPr>
            <w:tcW w:w="5411" w:type="dxa"/>
          </w:tcPr>
          <w:p>
            <w:pPr>
              <w:pStyle w:val="Compact"/>
              <w:jc w:val="center"/>
            </w:pPr>
            <w:r>
              <w:rPr>
                <w:rStyle w:val="VerbatimChar"/>
              </w:rPr>
              <w:t xml:space="preserve">07x_extra_figures.R</w:t>
            </w:r>
          </w:p>
        </w:tc>
        <w:tc>
          <w:tcPr>
            <w:tcW w:w="3659" w:type="dxa"/>
          </w:tcPr>
          <w:p>
            <w:pPr>
              <w:pStyle w:val="Compact"/>
              <w:jc w:val="center"/>
            </w:pPr>
            <w:r>
              <w:t xml:space="preserve">Figuras suplementares: Pareto,</w:t>
            </w:r>
            <w:r>
              <w:t xml:space="preserve"> </w:t>
            </w:r>
            <w:r>
              <w:rPr>
                <w:i/>
                <w:iCs/>
              </w:rPr>
              <w:t xml:space="preserve">lollipop</w:t>
            </w:r>
            <w:r>
              <w:t xml:space="preserve">,</w:t>
            </w:r>
            <w:r>
              <w:t xml:space="preserve"> </w:t>
            </w:r>
            <w:r>
              <w:rPr>
                <w:i/>
                <w:iCs/>
              </w:rPr>
              <w:t xml:space="preserve">C-index</w:t>
            </w:r>
            <w:r>
              <w:t xml:space="preserve"> </w:t>
            </w:r>
            <w:r>
              <w:t xml:space="preserve">por coorte</w:t>
            </w:r>
          </w:p>
        </w:tc>
      </w:tr>
      <w:tr>
        <w:tc>
          <w:tcPr>
            <w:tcW w:w="5411" w:type="dxa"/>
          </w:tcPr>
          <w:p>
            <w:pPr>
              <w:pStyle w:val="Compact"/>
              <w:jc w:val="center"/>
            </w:pPr>
            <w:r>
              <w:rPr>
                <w:rStyle w:val="VerbatimChar"/>
              </w:rPr>
              <w:t xml:space="preserve">07x_pcr_os_extra_figures.R</w:t>
            </w:r>
          </w:p>
        </w:tc>
        <w:tc>
          <w:tcPr>
            <w:tcW w:w="3659" w:type="dxa"/>
          </w:tcPr>
          <w:p>
            <w:pPr>
              <w:pStyle w:val="Compact"/>
              <w:jc w:val="center"/>
            </w:pPr>
            <w:r>
              <w:t xml:space="preserve">Figuras suplementares pCR × OS</w:t>
            </w:r>
          </w:p>
        </w:tc>
      </w:tr>
      <w:tr>
        <w:tc>
          <w:tcPr>
            <w:tcW w:w="5411" w:type="dxa"/>
          </w:tcPr>
          <w:p>
            <w:pPr>
              <w:pStyle w:val="Compact"/>
              <w:jc w:val="center"/>
            </w:pPr>
            <w:r>
              <w:rPr>
                <w:rStyle w:val="VerbatimChar"/>
              </w:rPr>
              <w:t xml:space="preserve">07y_pam50full_comparison.R</w:t>
            </w:r>
          </w:p>
        </w:tc>
        <w:tc>
          <w:tcPr>
            <w:tcW w:w="3659" w:type="dxa"/>
          </w:tcPr>
          <w:p>
            <w:pPr>
              <w:pStyle w:val="Compact"/>
              <w:jc w:val="center"/>
            </w:pPr>
            <w:r>
              <w:t xml:space="preserve">Comparação PAM50-full vs CorePAM</w:t>
            </w:r>
          </w:p>
        </w:tc>
      </w:tr>
      <w:tr>
        <w:tc>
          <w:tcPr>
            <w:tcW w:w="5411" w:type="dxa"/>
          </w:tcPr>
          <w:p>
            <w:pPr>
              <w:pStyle w:val="Compact"/>
              <w:jc w:val="center"/>
            </w:pPr>
            <w:r>
              <w:rPr>
                <w:rStyle w:val="VerbatimChar"/>
              </w:rPr>
              <w:t xml:space="preserve">07z_fig1_study_design.R</w:t>
            </w:r>
          </w:p>
        </w:tc>
        <w:tc>
          <w:tcPr>
            <w:tcW w:w="3659" w:type="dxa"/>
          </w:tcPr>
          <w:p>
            <w:pPr>
              <w:pStyle w:val="Compact"/>
              <w:jc w:val="center"/>
            </w:pPr>
            <w:r>
              <w:t xml:space="preserve">Figura 1 — desenho do estudo</w:t>
            </w:r>
          </w:p>
        </w:tc>
      </w:tr>
      <w:tr>
        <w:tc>
          <w:tcPr>
            <w:tcW w:w="5411" w:type="dxa"/>
          </w:tcPr>
          <w:p>
            <w:pPr>
              <w:pStyle w:val="Compact"/>
              <w:jc w:val="center"/>
            </w:pPr>
            <w:r>
              <w:rPr>
                <w:rStyle w:val="VerbatimChar"/>
              </w:rPr>
              <w:t xml:space="preserve">07z_table_figures_survival.R</w:t>
            </w:r>
          </w:p>
        </w:tc>
        <w:tc>
          <w:tcPr>
            <w:tcW w:w="3659" w:type="dxa"/>
          </w:tcPr>
          <w:p>
            <w:pPr>
              <w:pStyle w:val="Compact"/>
              <w:jc w:val="center"/>
            </w:pPr>
            <w:r>
              <w:t xml:space="preserve">Tabelas e figuras consolidadas de sobrevida</w:t>
            </w:r>
          </w:p>
        </w:tc>
      </w:tr>
      <w:tr>
        <w:tc>
          <w:tcPr>
            <w:tcW w:w="5411" w:type="dxa"/>
          </w:tcPr>
          <w:p>
            <w:pPr>
              <w:pStyle w:val="Compact"/>
              <w:jc w:val="center"/>
            </w:pPr>
            <w:r>
              <w:rPr>
                <w:rStyle w:val="VerbatimChar"/>
              </w:rPr>
              <w:t xml:space="preserve">08_meta_survival.R</w:t>
            </w:r>
          </w:p>
        </w:tc>
        <w:tc>
          <w:tcPr>
            <w:tcW w:w="3659" w:type="dxa"/>
          </w:tcPr>
          <w:p>
            <w:pPr>
              <w:pStyle w:val="Compact"/>
              <w:jc w:val="center"/>
            </w:pPr>
            <w:r>
              <w:t xml:space="preserve">Meta-análise de sobrevida (REML + Hartung-Knapp)</w:t>
            </w:r>
          </w:p>
        </w:tc>
      </w:tr>
      <w:tr>
        <w:tc>
          <w:tcPr>
            <w:tcW w:w="5411" w:type="dxa"/>
          </w:tcPr>
          <w:p>
            <w:pPr>
              <w:pStyle w:val="Compact"/>
              <w:jc w:val="center"/>
            </w:pPr>
            <w:r>
              <w:rPr>
                <w:rStyle w:val="VerbatimChar"/>
              </w:rPr>
              <w:t xml:space="preserve">11_incremental_value_and_dca.R</w:t>
            </w:r>
          </w:p>
        </w:tc>
        <w:tc>
          <w:tcPr>
            <w:tcW w:w="3659" w:type="dxa"/>
          </w:tcPr>
          <w:p>
            <w:pPr>
              <w:pStyle w:val="Compact"/>
              <w:jc w:val="center"/>
            </w:pPr>
            <w:r>
              <w:t xml:space="preserve">Delta-</w:t>
            </w:r>
            <w:r>
              <w:rPr>
                <w:i/>
                <w:iCs/>
              </w:rPr>
              <w:t xml:space="preserve">C-index</w:t>
            </w:r>
            <w:r>
              <w:t xml:space="preserve"> </w:t>
            </w:r>
            <w:r>
              <w:t xml:space="preserve">e DCA (curva de decisão)</w:t>
            </w:r>
          </w:p>
        </w:tc>
      </w:tr>
      <w:tr>
        <w:tc>
          <w:tcPr>
            <w:tcW w:w="5411" w:type="dxa"/>
          </w:tcPr>
          <w:p>
            <w:pPr>
              <w:pStyle w:val="Compact"/>
              <w:jc w:val="center"/>
            </w:pPr>
            <w:r>
              <w:rPr>
                <w:rStyle w:val="VerbatimChar"/>
              </w:rPr>
              <w:t xml:space="preserve">11b_dca_corepam.R</w:t>
            </w:r>
          </w:p>
        </w:tc>
        <w:tc>
          <w:tcPr>
            <w:tcW w:w="3659" w:type="dxa"/>
          </w:tcPr>
          <w:p>
            <w:pPr>
              <w:pStyle w:val="Compact"/>
              <w:jc w:val="center"/>
            </w:pPr>
            <w:r>
              <w:t xml:space="preserve">DCA auxiliar do CorePAM</w:t>
            </w:r>
          </w:p>
        </w:tc>
      </w:tr>
      <w:tr>
        <w:tc>
          <w:tcPr>
            <w:tcW w:w="5411" w:type="dxa"/>
          </w:tcPr>
          <w:p>
            <w:pPr>
              <w:pStyle w:val="Compact"/>
              <w:jc w:val="center"/>
            </w:pPr>
            <w:r>
              <w:rPr>
                <w:rStyle w:val="VerbatimChar"/>
              </w:rPr>
              <w:t xml:space="preserve">13_qc_correlations_offdiag.R</w:t>
            </w:r>
          </w:p>
        </w:tc>
        <w:tc>
          <w:tcPr>
            <w:tcW w:w="3659" w:type="dxa"/>
          </w:tcPr>
          <w:p>
            <w:pPr>
              <w:pStyle w:val="Compact"/>
              <w:jc w:val="center"/>
            </w:pPr>
            <w:r>
              <w:t xml:space="preserve">QC — correlações inter-coortes</w:t>
            </w:r>
          </w:p>
        </w:tc>
      </w:tr>
      <w:tr>
        <w:tc>
          <w:tcPr>
            <w:tcW w:w="5411" w:type="dxa"/>
          </w:tcPr>
          <w:p>
            <w:pPr>
              <w:pStyle w:val="Compact"/>
              <w:jc w:val="center"/>
            </w:pPr>
            <w:r>
              <w:rPr>
                <w:rStyle w:val="VerbatimChar"/>
              </w:rPr>
              <w:t xml:space="preserve">14_qc_metabric_pca_forensics.R</w:t>
            </w:r>
          </w:p>
        </w:tc>
        <w:tc>
          <w:tcPr>
            <w:tcW w:w="3659" w:type="dxa"/>
          </w:tcPr>
          <w:p>
            <w:pPr>
              <w:pStyle w:val="Compact"/>
              <w:jc w:val="center"/>
            </w:pPr>
            <w:r>
              <w:t xml:space="preserve">QC — PCA forensics METABRIC</w:t>
            </w:r>
          </w:p>
        </w:tc>
      </w:tr>
      <w:tr>
        <w:tc>
          <w:tcPr>
            <w:tcW w:w="5411" w:type="dxa"/>
          </w:tcPr>
          <w:p>
            <w:pPr>
              <w:pStyle w:val="Compact"/>
              <w:jc w:val="center"/>
            </w:pPr>
            <w:r>
              <w:rPr>
                <w:rStyle w:val="VerbatimChar"/>
              </w:rPr>
              <w:t xml:space="preserve">15_qc_schema_range_checks.R</w:t>
            </w:r>
          </w:p>
        </w:tc>
        <w:tc>
          <w:tcPr>
            <w:tcW w:w="3659" w:type="dxa"/>
          </w:tcPr>
          <w:p>
            <w:pPr>
              <w:pStyle w:val="Compact"/>
              <w:jc w:val="center"/>
            </w:pPr>
            <w:r>
              <w:t xml:space="preserve">QC — consistência de</w:t>
            </w:r>
            <w:r>
              <w:t xml:space="preserve"> </w:t>
            </w:r>
            <w:r>
              <w:rPr>
                <w:i/>
                <w:iCs/>
              </w:rPr>
              <w:t xml:space="preserve">schema</w:t>
            </w:r>
            <w:r>
              <w:t xml:space="preserve"> </w:t>
            </w:r>
            <w:r>
              <w:t xml:space="preserve">e faixas</w:t>
            </w:r>
          </w:p>
        </w:tc>
      </w:tr>
      <w:tr>
        <w:tc>
          <w:tcPr>
            <w:tcW w:w="5411" w:type="dxa"/>
          </w:tcPr>
          <w:p>
            <w:pPr>
              <w:pStyle w:val="Compact"/>
              <w:jc w:val="center"/>
            </w:pPr>
            <w:r>
              <w:rPr>
                <w:rStyle w:val="VerbatimChar"/>
              </w:rPr>
              <w:t xml:space="preserve">16_qc_text_vs_results_assert.R</w:t>
            </w:r>
          </w:p>
        </w:tc>
        <w:tc>
          <w:tcPr>
            <w:tcW w:w="3659" w:type="dxa"/>
          </w:tcPr>
          <w:p>
            <w:pPr>
              <w:pStyle w:val="Compact"/>
              <w:jc w:val="center"/>
            </w:pPr>
            <w:r>
              <w:t xml:space="preserve">QC anti-hardcoding (números do texto vs saída)</w:t>
            </w:r>
          </w:p>
        </w:tc>
      </w:tr>
      <w:tr>
        <w:tc>
          <w:tcPr>
            <w:tcW w:w="5411" w:type="dxa"/>
          </w:tcPr>
          <w:p>
            <w:pPr>
              <w:pStyle w:val="Compact"/>
              <w:jc w:val="center"/>
            </w:pPr>
            <w:r>
              <w:rPr>
                <w:rStyle w:val="VerbatimChar"/>
              </w:rPr>
              <w:t xml:space="preserve">17_render_manuscript_quarto.R</w:t>
            </w:r>
          </w:p>
        </w:tc>
        <w:tc>
          <w:tcPr>
            <w:tcW w:w="3659" w:type="dxa"/>
          </w:tcPr>
          <w:p>
            <w:pPr>
              <w:pStyle w:val="Compact"/>
              <w:jc w:val="center"/>
            </w:pPr>
            <w:r>
              <w:t xml:space="preserve">Renderização do manuscrito (Quarto)</w:t>
            </w:r>
          </w:p>
        </w:tc>
      </w:tr>
      <w:tr>
        <w:tc>
          <w:tcPr>
            <w:tcW w:w="5411" w:type="dxa"/>
          </w:tcPr>
          <w:p>
            <w:pPr>
              <w:pStyle w:val="Compact"/>
              <w:jc w:val="center"/>
            </w:pPr>
            <w:r>
              <w:rPr>
                <w:rStyle w:val="VerbatimChar"/>
              </w:rPr>
              <w:t xml:space="preserve">18_make_submission_bundle.R</w:t>
            </w:r>
          </w:p>
        </w:tc>
        <w:tc>
          <w:tcPr>
            <w:tcW w:w="3659" w:type="dxa"/>
          </w:tcPr>
          <w:p>
            <w:pPr>
              <w:pStyle w:val="Compact"/>
              <w:jc w:val="center"/>
            </w:pPr>
            <w:r>
              <w:rPr>
                <w:i/>
                <w:iCs/>
              </w:rPr>
              <w:t xml:space="preserve">Bundle</w:t>
            </w:r>
            <w:r>
              <w:t xml:space="preserve"> </w:t>
            </w:r>
            <w:r>
              <w:t xml:space="preserve">de submissão (arquivos + hashes)</w:t>
            </w:r>
          </w:p>
        </w:tc>
      </w:tr>
      <w:tr>
        <w:tc>
          <w:tcPr>
            <w:tcW w:w="5411" w:type="dxa"/>
          </w:tcPr>
          <w:p>
            <w:pPr>
              <w:pStyle w:val="Compact"/>
              <w:jc w:val="center"/>
            </w:pPr>
            <w:r>
              <w:rPr>
                <w:rStyle w:val="VerbatimChar"/>
              </w:rPr>
              <w:t xml:space="preserve">19_download_pCR_raw_data.R</w:t>
            </w:r>
          </w:p>
        </w:tc>
        <w:tc>
          <w:tcPr>
            <w:tcW w:w="3659" w:type="dxa"/>
          </w:tcPr>
          <w:p>
            <w:pPr>
              <w:pStyle w:val="Compact"/>
              <w:jc w:val="center"/>
            </w:pPr>
            <w:r>
              <w:rPr>
                <w:i/>
                <w:iCs/>
              </w:rPr>
              <w:t xml:space="preserve">Download</w:t>
            </w:r>
            <w:r>
              <w:t xml:space="preserve"> </w:t>
            </w:r>
            <w:r>
              <w:t xml:space="preserve">das coortes neoadjuvantes (pCR)</w:t>
            </w:r>
          </w:p>
        </w:tc>
      </w:tr>
      <w:tr>
        <w:tc>
          <w:tcPr>
            <w:tcW w:w="5411" w:type="dxa"/>
          </w:tcPr>
          <w:p>
            <w:pPr>
              <w:pStyle w:val="Compact"/>
              <w:jc w:val="center"/>
            </w:pPr>
            <w:r>
              <w:rPr>
                <w:rStyle w:val="VerbatimChar"/>
              </w:rPr>
              <w:t xml:space="preserve">20_prepare_pCR_GSE20194.R</w:t>
            </w:r>
          </w:p>
        </w:tc>
        <w:tc>
          <w:tcPr>
            <w:tcW w:w="3659" w:type="dxa"/>
          </w:tcPr>
          <w:p>
            <w:pPr>
              <w:pStyle w:val="Compact"/>
              <w:jc w:val="center"/>
            </w:pPr>
            <w:r>
              <w:t xml:space="preserve">Preparação GSE20194</w:t>
            </w:r>
          </w:p>
        </w:tc>
      </w:tr>
      <w:tr>
        <w:tc>
          <w:tcPr>
            <w:tcW w:w="5411" w:type="dxa"/>
          </w:tcPr>
          <w:p>
            <w:pPr>
              <w:pStyle w:val="Compact"/>
              <w:jc w:val="center"/>
            </w:pPr>
            <w:r>
              <w:rPr>
                <w:rStyle w:val="VerbatimChar"/>
              </w:rPr>
              <w:t xml:space="preserve">20_prepare_pCR_GSE25066.R</w:t>
            </w:r>
          </w:p>
        </w:tc>
        <w:tc>
          <w:tcPr>
            <w:tcW w:w="3659" w:type="dxa"/>
          </w:tcPr>
          <w:p>
            <w:pPr>
              <w:pStyle w:val="Compact"/>
              <w:jc w:val="center"/>
            </w:pPr>
            <w:r>
              <w:t xml:space="preserve">Preparação GSE25066</w:t>
            </w:r>
          </w:p>
        </w:tc>
      </w:tr>
      <w:tr>
        <w:tc>
          <w:tcPr>
            <w:tcW w:w="5411" w:type="dxa"/>
          </w:tcPr>
          <w:p>
            <w:pPr>
              <w:pStyle w:val="Compact"/>
              <w:jc w:val="center"/>
            </w:pPr>
            <w:r>
              <w:rPr>
                <w:rStyle w:val="VerbatimChar"/>
              </w:rPr>
              <w:t xml:space="preserve">20_prepare_pCR_GSE32646.R</w:t>
            </w:r>
          </w:p>
        </w:tc>
        <w:tc>
          <w:tcPr>
            <w:tcW w:w="3659" w:type="dxa"/>
          </w:tcPr>
          <w:p>
            <w:pPr>
              <w:pStyle w:val="Compact"/>
              <w:jc w:val="center"/>
            </w:pPr>
            <w:r>
              <w:t xml:space="preserve">Preparação GSE32646</w:t>
            </w:r>
          </w:p>
        </w:tc>
      </w:tr>
      <w:tr>
        <w:tc>
          <w:tcPr>
            <w:tcW w:w="5411" w:type="dxa"/>
          </w:tcPr>
          <w:p>
            <w:pPr>
              <w:pStyle w:val="Compact"/>
              <w:jc w:val="center"/>
            </w:pPr>
            <w:r>
              <w:rPr>
                <w:rStyle w:val="VerbatimChar"/>
              </w:rPr>
              <w:t xml:space="preserve">20_prepare_pCR_ISPY1.R</w:t>
            </w:r>
          </w:p>
        </w:tc>
        <w:tc>
          <w:tcPr>
            <w:tcW w:w="3659" w:type="dxa"/>
          </w:tcPr>
          <w:p>
            <w:pPr>
              <w:pStyle w:val="Compact"/>
              <w:jc w:val="center"/>
            </w:pPr>
            <w:r>
              <w:t xml:space="preserve">Preparação I-SPY1</w:t>
            </w:r>
          </w:p>
        </w:tc>
      </w:tr>
      <w:tr>
        <w:tc>
          <w:tcPr>
            <w:tcW w:w="5411" w:type="dxa"/>
          </w:tcPr>
          <w:p>
            <w:pPr>
              <w:pStyle w:val="Compact"/>
              <w:jc w:val="center"/>
            </w:pPr>
            <w:r>
              <w:rPr>
                <w:rStyle w:val="VerbatimChar"/>
              </w:rPr>
              <w:t xml:space="preserve">20_prepare_pCR_ISPY2.R</w:t>
            </w:r>
          </w:p>
        </w:tc>
        <w:tc>
          <w:tcPr>
            <w:tcW w:w="3659" w:type="dxa"/>
          </w:tcPr>
          <w:p>
            <w:pPr>
              <w:pStyle w:val="Compact"/>
              <w:jc w:val="center"/>
            </w:pPr>
            <w:r>
              <w:t xml:space="preserve">Preparação I-SPY2</w:t>
            </w:r>
          </w:p>
        </w:tc>
      </w:tr>
      <w:tr>
        <w:tc>
          <w:tcPr>
            <w:tcW w:w="5411" w:type="dxa"/>
          </w:tcPr>
          <w:p>
            <w:pPr>
              <w:pStyle w:val="Compact"/>
              <w:jc w:val="center"/>
            </w:pPr>
            <w:r>
              <w:rPr>
                <w:rStyle w:val="VerbatimChar"/>
              </w:rPr>
              <w:t xml:space="preserve">20_utils_pcr_extract.R</w:t>
            </w:r>
          </w:p>
        </w:tc>
        <w:tc>
          <w:tcPr>
            <w:tcW w:w="3659" w:type="dxa"/>
          </w:tcPr>
          <w:p>
            <w:pPr>
              <w:pStyle w:val="Compact"/>
              <w:jc w:val="center"/>
            </w:pPr>
            <w:r>
              <w:t xml:space="preserve">Utilitários de extração de pCR</w:t>
            </w:r>
          </w:p>
        </w:tc>
      </w:tr>
      <w:tr>
        <w:tc>
          <w:tcPr>
            <w:tcW w:w="5411" w:type="dxa"/>
          </w:tcPr>
          <w:p>
            <w:pPr>
              <w:pStyle w:val="Compact"/>
              <w:jc w:val="center"/>
            </w:pPr>
            <w:r>
              <w:rPr>
                <w:rStyle w:val="VerbatimChar"/>
              </w:rPr>
              <w:t xml:space="preserve">21_ispy2_analysis.R</w:t>
            </w:r>
          </w:p>
        </w:tc>
        <w:tc>
          <w:tcPr>
            <w:tcW w:w="3659" w:type="dxa"/>
          </w:tcPr>
          <w:p>
            <w:pPr>
              <w:pStyle w:val="Compact"/>
              <w:jc w:val="center"/>
            </w:pPr>
            <w:r>
              <w:t xml:space="preserve">Análise exploratória I-SPY2</w:t>
            </w:r>
          </w:p>
        </w:tc>
      </w:tr>
      <w:tr>
        <w:tc>
          <w:tcPr>
            <w:tcW w:w="5411" w:type="dxa"/>
          </w:tcPr>
          <w:p>
            <w:pPr>
              <w:pStyle w:val="Compact"/>
              <w:jc w:val="center"/>
            </w:pPr>
            <w:r>
              <w:rPr>
                <w:rStyle w:val="VerbatimChar"/>
              </w:rPr>
              <w:t xml:space="preserve">21_pCR_logistic_analysis.R</w:t>
            </w:r>
          </w:p>
        </w:tc>
        <w:tc>
          <w:tcPr>
            <w:tcW w:w="3659" w:type="dxa"/>
          </w:tcPr>
          <w:p>
            <w:pPr>
              <w:pStyle w:val="Compact"/>
              <w:jc w:val="center"/>
            </w:pPr>
            <w:r>
              <w:t xml:space="preserve">Regressão logística de pCR por coorte</w:t>
            </w:r>
          </w:p>
        </w:tc>
      </w:tr>
      <w:tr>
        <w:tc>
          <w:tcPr>
            <w:tcW w:w="5411" w:type="dxa"/>
          </w:tcPr>
          <w:p>
            <w:pPr>
              <w:pStyle w:val="Compact"/>
              <w:jc w:val="center"/>
            </w:pPr>
            <w:r>
              <w:rPr>
                <w:rStyle w:val="VerbatimChar"/>
              </w:rPr>
              <w:t xml:space="preserve">21b_sensitivity_intersection.R</w:t>
            </w:r>
          </w:p>
        </w:tc>
        <w:tc>
          <w:tcPr>
            <w:tcW w:w="3659" w:type="dxa"/>
          </w:tcPr>
          <w:p>
            <w:pPr>
              <w:pStyle w:val="Compact"/>
              <w:jc w:val="center"/>
            </w:pPr>
            <w:r>
              <w:t xml:space="preserve">Sensibilidade sobre interseção de genes</w:t>
            </w:r>
          </w:p>
        </w:tc>
      </w:tr>
      <w:tr>
        <w:tc>
          <w:tcPr>
            <w:tcW w:w="5411" w:type="dxa"/>
          </w:tcPr>
          <w:p>
            <w:pPr>
              <w:pStyle w:val="Compact"/>
              <w:jc w:val="center"/>
            </w:pPr>
            <w:r>
              <w:rPr>
                <w:rStyle w:val="VerbatimChar"/>
              </w:rPr>
              <w:t xml:space="preserve">21c_pcr_er_interaction.R</w:t>
            </w:r>
          </w:p>
        </w:tc>
        <w:tc>
          <w:tcPr>
            <w:tcW w:w="3659" w:type="dxa"/>
          </w:tcPr>
          <w:p>
            <w:pPr>
              <w:pStyle w:val="Compact"/>
              <w:jc w:val="center"/>
            </w:pPr>
            <w:r>
              <w:t xml:space="preserve">Interação pCR × ER</w:t>
            </w:r>
          </w:p>
        </w:tc>
      </w:tr>
      <w:tr>
        <w:tc>
          <w:tcPr>
            <w:tcW w:w="5411" w:type="dxa"/>
          </w:tcPr>
          <w:p>
            <w:pPr>
              <w:pStyle w:val="Compact"/>
              <w:jc w:val="center"/>
            </w:pPr>
            <w:r>
              <w:rPr>
                <w:rStyle w:val="VerbatimChar"/>
              </w:rPr>
              <w:t xml:space="preserve">22_meta_pCR.R</w:t>
            </w:r>
          </w:p>
        </w:tc>
        <w:tc>
          <w:tcPr>
            <w:tcW w:w="3659" w:type="dxa"/>
          </w:tcPr>
          <w:p>
            <w:pPr>
              <w:pStyle w:val="Compact"/>
              <w:jc w:val="center"/>
            </w:pPr>
            <w:r>
              <w:t xml:space="preserve">Meta-análise de pCR (DerSimonian-Laird)</w:t>
            </w:r>
          </w:p>
        </w:tc>
      </w:tr>
      <w:tr>
        <w:tc>
          <w:tcPr>
            <w:tcW w:w="5411" w:type="dxa"/>
          </w:tcPr>
          <w:p>
            <w:pPr>
              <w:pStyle w:val="Compact"/>
              <w:jc w:val="center"/>
            </w:pPr>
            <w:r>
              <w:rPr>
                <w:rStyle w:val="VerbatimChar"/>
              </w:rPr>
              <w:t xml:space="preserve">22b_meta_pCR_with_ispy2.R</w:t>
            </w:r>
          </w:p>
        </w:tc>
        <w:tc>
          <w:tcPr>
            <w:tcW w:w="3659" w:type="dxa"/>
          </w:tcPr>
          <w:p>
            <w:pPr>
              <w:pStyle w:val="Compact"/>
              <w:jc w:val="center"/>
            </w:pPr>
            <w:r>
              <w:t xml:space="preserve">Meta-análise de pCR incluindo I-SPY2</w:t>
            </w:r>
          </w:p>
        </w:tc>
      </w:tr>
      <w:tr>
        <w:tc>
          <w:tcPr>
            <w:tcW w:w="5411" w:type="dxa"/>
          </w:tcPr>
          <w:p>
            <w:pPr>
              <w:pStyle w:val="Compact"/>
              <w:jc w:val="center"/>
            </w:pPr>
            <w:r>
              <w:rPr>
                <w:rStyle w:val="VerbatimChar"/>
              </w:rPr>
              <w:t xml:space="preserve">23_pCR_figures.R</w:t>
            </w:r>
          </w:p>
        </w:tc>
        <w:tc>
          <w:tcPr>
            <w:tcW w:w="3659" w:type="dxa"/>
          </w:tcPr>
          <w:p>
            <w:pPr>
              <w:pStyle w:val="Compact"/>
              <w:jc w:val="center"/>
            </w:pPr>
            <w:r>
              <w:t xml:space="preserve">Figuras de pCR (forest, painéis)</w:t>
            </w:r>
          </w:p>
        </w:tc>
      </w:tr>
      <w:tr>
        <w:tc>
          <w:tcPr>
            <w:tcW w:w="5411" w:type="dxa"/>
          </w:tcPr>
          <w:p>
            <w:pPr>
              <w:pStyle w:val="Compact"/>
              <w:jc w:val="center"/>
            </w:pPr>
            <w:r>
              <w:rPr>
                <w:rStyle w:val="VerbatimChar"/>
              </w:rPr>
              <w:t xml:space="preserve">23b_pCR_ispy2_figures.R</w:t>
            </w:r>
          </w:p>
        </w:tc>
        <w:tc>
          <w:tcPr>
            <w:tcW w:w="3659" w:type="dxa"/>
          </w:tcPr>
          <w:p>
            <w:pPr>
              <w:pStyle w:val="Compact"/>
              <w:jc w:val="center"/>
            </w:pPr>
            <w:r>
              <w:t xml:space="preserve">Figuras de I-SPY2</w:t>
            </w:r>
          </w:p>
        </w:tc>
      </w:tr>
      <w:tr>
        <w:tc>
          <w:tcPr>
            <w:tcW w:w="5411" w:type="dxa"/>
          </w:tcPr>
          <w:p>
            <w:pPr>
              <w:pStyle w:val="Compact"/>
              <w:jc w:val="center"/>
            </w:pPr>
            <w:r>
              <w:rPr>
                <w:rStyle w:val="VerbatimChar"/>
              </w:rPr>
              <w:t xml:space="preserve">24_integrate_GSE1456_stockholm.R</w:t>
            </w:r>
          </w:p>
        </w:tc>
        <w:tc>
          <w:tcPr>
            <w:tcW w:w="3659" w:type="dxa"/>
          </w:tcPr>
          <w:p>
            <w:pPr>
              <w:pStyle w:val="Compact"/>
              <w:jc w:val="center"/>
            </w:pPr>
            <w:r>
              <w:t xml:space="preserve">Integração da 4ª coorte (Stockholm)</w:t>
            </w:r>
          </w:p>
        </w:tc>
      </w:tr>
      <w:tr>
        <w:tc>
          <w:tcPr>
            <w:tcW w:w="5411" w:type="dxa"/>
          </w:tcPr>
          <w:p>
            <w:pPr>
              <w:pStyle w:val="Compact"/>
              <w:jc w:val="center"/>
            </w:pPr>
            <w:r>
              <w:rPr>
                <w:rStyle w:val="VerbatimChar"/>
              </w:rPr>
              <w:t xml:space="preserve">25_sensitivity_corea_expanded.R</w:t>
            </w:r>
          </w:p>
        </w:tc>
        <w:tc>
          <w:tcPr>
            <w:tcW w:w="3659" w:type="dxa"/>
          </w:tcPr>
          <w:p>
            <w:pPr>
              <w:pStyle w:val="Compact"/>
              <w:jc w:val="center"/>
            </w:pPr>
            <w:r>
              <w:t xml:space="preserve">CORE-A expandido (+ T, N, grau, HER2)</w:t>
            </w:r>
          </w:p>
        </w:tc>
      </w:tr>
      <w:tr>
        <w:tc>
          <w:tcPr>
            <w:tcW w:w="5411" w:type="dxa"/>
          </w:tcPr>
          <w:p>
            <w:pPr>
              <w:pStyle w:val="Compact"/>
              <w:jc w:val="center"/>
            </w:pPr>
            <w:r>
              <w:rPr>
                <w:rStyle w:val="VerbatimChar"/>
              </w:rPr>
              <w:t xml:space="preserve">26_sensitivity_genefu_comparison.R</w:t>
            </w:r>
          </w:p>
        </w:tc>
        <w:tc>
          <w:tcPr>
            <w:tcW w:w="3659" w:type="dxa"/>
          </w:tcPr>
          <w:p>
            <w:pPr>
              <w:pStyle w:val="Compact"/>
              <w:jc w:val="center"/>
            </w:pPr>
            <w:r>
              <w:t xml:space="preserve">Comparação com ROR-S e OncotypeDX (</w:t>
            </w:r>
            <w:r>
              <w:rPr>
                <w:i/>
                <w:iCs/>
              </w:rPr>
              <w:t xml:space="preserve">genefu</w:t>
            </w:r>
            <w:r>
              <w:t xml:space="preserve">)</w:t>
            </w:r>
          </w:p>
        </w:tc>
      </w:tr>
      <w:tr>
        <w:tc>
          <w:tcPr>
            <w:tcW w:w="5411" w:type="dxa"/>
          </w:tcPr>
          <w:p>
            <w:pPr>
              <w:pStyle w:val="Compact"/>
              <w:jc w:val="center"/>
            </w:pPr>
            <w:r>
              <w:rPr>
                <w:rStyle w:val="VerbatimChar"/>
              </w:rPr>
              <w:t xml:space="preserve">27_bootstrap_gene_stability.R</w:t>
            </w:r>
          </w:p>
        </w:tc>
        <w:tc>
          <w:tcPr>
            <w:tcW w:w="3659" w:type="dxa"/>
          </w:tcPr>
          <w:p>
            <w:pPr>
              <w:pStyle w:val="Compact"/>
              <w:jc w:val="center"/>
            </w:pPr>
            <w:r>
              <w:rPr>
                <w:i/>
                <w:iCs/>
              </w:rPr>
              <w:t xml:space="preserve">Bootstrap</w:t>
            </w:r>
            <w:r>
              <w:t xml:space="preserve"> </w:t>
            </w:r>
            <w:r>
              <w:t xml:space="preserve">B = 200 (estabilidade de seleção)</w:t>
            </w:r>
          </w:p>
        </w:tc>
      </w:tr>
      <w:tr>
        <w:tc>
          <w:tcPr>
            <w:tcW w:w="5411" w:type="dxa"/>
          </w:tcPr>
          <w:p>
            <w:pPr>
              <w:pStyle w:val="Compact"/>
              <w:jc w:val="center"/>
            </w:pPr>
            <w:r>
              <w:rPr>
                <w:rStyle w:val="VerbatimChar"/>
              </w:rPr>
              <w:t xml:space="preserve">28_dropgene_sensitivity.R</w:t>
            </w:r>
          </w:p>
        </w:tc>
        <w:tc>
          <w:tcPr>
            <w:tcW w:w="3659" w:type="dxa"/>
          </w:tcPr>
          <w:p>
            <w:pPr>
              <w:pStyle w:val="Compact"/>
              <w:jc w:val="center"/>
            </w:pPr>
            <w:r>
              <w:rPr>
                <w:i/>
                <w:iCs/>
              </w:rPr>
              <w:t xml:space="preserve">Leave-one-gene-out</w:t>
            </w:r>
            <w:r>
              <w:t xml:space="preserve"> </w:t>
            </w:r>
            <w:r>
              <w:t xml:space="preserve">(</w:t>
            </w:r>
          </w:p>
        </w:tc>
      </w:tr>
      <w:tr>
        <w:tc>
          <w:tcPr>
            <w:tcW w:w="5411" w:type="dxa"/>
          </w:tcPr>
          <w:p>
            <w:pPr>
              <w:pStyle w:val="Compact"/>
              <w:jc w:val="center"/>
            </w:pPr>
            <w:r>
              <w:rPr>
                <w:rStyle w:val="VerbatimChar"/>
              </w:rPr>
              <w:t xml:space="preserve">29_corea_sensitivity_forest.R</w:t>
            </w:r>
          </w:p>
        </w:tc>
        <w:tc>
          <w:tcPr>
            <w:tcW w:w="3659" w:type="dxa"/>
          </w:tcPr>
          <w:p>
            <w:pPr>
              <w:pStyle w:val="Compact"/>
              <w:jc w:val="center"/>
            </w:pPr>
            <w:r>
              <w:rPr>
                <w:i/>
                <w:iCs/>
              </w:rPr>
              <w:t xml:space="preserve">Forest plot</w:t>
            </w:r>
            <w:r>
              <w:t xml:space="preserve"> </w:t>
            </w:r>
            <w:r>
              <w:t xml:space="preserve">de sensibilidade CORE-A</w:t>
            </w:r>
          </w:p>
        </w:tc>
      </w:tr>
      <w:tr>
        <w:tc>
          <w:tcPr>
            <w:tcW w:w="5411" w:type="dxa"/>
          </w:tcPr>
          <w:p>
            <w:pPr>
              <w:pStyle w:val="Compact"/>
              <w:jc w:val="center"/>
            </w:pPr>
            <w:r>
              <w:rPr>
                <w:rStyle w:val="VerbatimChar"/>
              </w:rPr>
              <w:t xml:space="preserve">30_frozen_zscore_sensitivity.R</w:t>
            </w:r>
          </w:p>
        </w:tc>
        <w:tc>
          <w:tcPr>
            <w:tcW w:w="3659" w:type="dxa"/>
          </w:tcPr>
          <w:p>
            <w:pPr>
              <w:pStyle w:val="Compact"/>
              <w:jc w:val="center"/>
            </w:pPr>
            <w:r>
              <w:rPr>
                <w:i/>
                <w:iCs/>
              </w:rPr>
              <w:t xml:space="preserve">Single-sample scoring</w:t>
            </w:r>
            <w:r>
              <w:t xml:space="preserve"> </w:t>
            </w:r>
            <w:r>
              <w:t xml:space="preserve">com parâmetros congelados</w:t>
            </w:r>
          </w:p>
        </w:tc>
      </w:tr>
      <w:tr>
        <w:tc>
          <w:tcPr>
            <w:tcW w:w="5411" w:type="dxa"/>
          </w:tcPr>
          <w:p>
            <w:pPr>
              <w:pStyle w:val="Compact"/>
              <w:jc w:val="center"/>
            </w:pPr>
            <w:r>
              <w:rPr>
                <w:rStyle w:val="VerbatimChar"/>
              </w:rPr>
              <w:t xml:space="preserve">30b_add_GSE1456_frozen.R</w:t>
            </w:r>
          </w:p>
        </w:tc>
        <w:tc>
          <w:tcPr>
            <w:tcW w:w="3659" w:type="dxa"/>
          </w:tcPr>
          <w:p>
            <w:pPr>
              <w:pStyle w:val="Compact"/>
              <w:jc w:val="center"/>
            </w:pPr>
            <w:r>
              <w:t xml:space="preserve">Extensão congelada para GSE1456</w:t>
            </w:r>
          </w:p>
        </w:tc>
      </w:tr>
      <w:tr>
        <w:tc>
          <w:tcPr>
            <w:tcW w:w="5411" w:type="dxa"/>
          </w:tcPr>
          <w:p>
            <w:pPr>
              <w:pStyle w:val="Compact"/>
              <w:jc w:val="center"/>
            </w:pPr>
            <w:r>
              <w:rPr>
                <w:rStyle w:val="VerbatimChar"/>
              </w:rPr>
              <w:t xml:space="preserve">31_uno_c_and_tdauc.R</w:t>
            </w:r>
          </w:p>
        </w:tc>
        <w:tc>
          <w:tcPr>
            <w:tcW w:w="3659" w:type="dxa"/>
          </w:tcPr>
          <w:p>
            <w:pPr>
              <w:pStyle w:val="Compact"/>
              <w:jc w:val="center"/>
            </w:pPr>
            <w:r>
              <w:rPr>
                <w:i/>
                <w:iCs/>
              </w:rPr>
              <w:t xml:space="preserve">C</w:t>
            </w:r>
            <w:r>
              <w:t xml:space="preserve"> </w:t>
            </w:r>
            <w:r>
              <w:t xml:space="preserve">de Uno e AUC tempo-dependente (Blanche)</w:t>
            </w:r>
          </w:p>
        </w:tc>
      </w:tr>
      <w:tr>
        <w:tc>
          <w:tcPr>
            <w:tcW w:w="5411" w:type="dxa"/>
          </w:tcPr>
          <w:p>
            <w:pPr>
              <w:pStyle w:val="Compact"/>
              <w:jc w:val="center"/>
            </w:pPr>
            <w:r>
              <w:rPr>
                <w:rStyle w:val="VerbatimChar"/>
              </w:rPr>
              <w:t xml:space="preserve">32_calibration_formal.R</w:t>
            </w:r>
          </w:p>
        </w:tc>
        <w:tc>
          <w:tcPr>
            <w:tcW w:w="3659" w:type="dxa"/>
          </w:tcPr>
          <w:p>
            <w:pPr>
              <w:pStyle w:val="Compact"/>
              <w:jc w:val="center"/>
            </w:pPr>
            <w:r>
              <w:t xml:space="preserve">Calibração formal (</w:t>
            </w:r>
            <w:r>
              <w:rPr>
                <w:i/>
                <w:iCs/>
              </w:rPr>
              <w:t xml:space="preserve">slope</w:t>
            </w:r>
            <w:r>
              <w:t xml:space="preserve">/</w:t>
            </w:r>
            <w:r>
              <w:rPr>
                <w:i/>
                <w:iCs/>
              </w:rPr>
              <w:t xml:space="preserve">intercept</w:t>
            </w:r>
            <w:r>
              <w:t xml:space="preserve"> </w:t>
            </w:r>
            <w:r>
              <w:t xml:space="preserve">60 m)</w:t>
            </w:r>
          </w:p>
        </w:tc>
      </w:tr>
      <w:tr>
        <w:tc>
          <w:tcPr>
            <w:tcW w:w="5411" w:type="dxa"/>
          </w:tcPr>
          <w:p>
            <w:pPr>
              <w:pStyle w:val="Compact"/>
              <w:jc w:val="center"/>
            </w:pPr>
            <w:r>
              <w:rPr>
                <w:rStyle w:val="VerbatimChar"/>
              </w:rPr>
              <w:t xml:space="preserve">34_subgroup_er_stratified.R</w:t>
            </w:r>
          </w:p>
        </w:tc>
        <w:tc>
          <w:tcPr>
            <w:tcW w:w="3659" w:type="dxa"/>
          </w:tcPr>
          <w:p>
            <w:pPr>
              <w:pStyle w:val="Compact"/>
              <w:jc w:val="center"/>
            </w:pPr>
            <w:r>
              <w:t xml:space="preserve">Subgrupos estratificados por ER</w:t>
            </w:r>
          </w:p>
        </w:tc>
      </w:tr>
      <w:tr>
        <w:tc>
          <w:tcPr>
            <w:tcW w:w="5411" w:type="dxa"/>
          </w:tcPr>
          <w:p>
            <w:pPr>
              <w:pStyle w:val="Compact"/>
              <w:jc w:val="center"/>
            </w:pPr>
            <w:r>
              <w:rPr>
                <w:rStyle w:val="VerbatimChar"/>
              </w:rPr>
              <w:t xml:space="preserve">35_er_neg_bootstrap_stability.R</w:t>
            </w:r>
          </w:p>
        </w:tc>
        <w:tc>
          <w:tcPr>
            <w:tcW w:w="3659" w:type="dxa"/>
          </w:tcPr>
          <w:p>
            <w:pPr>
              <w:pStyle w:val="Compact"/>
              <w:jc w:val="center"/>
            </w:pPr>
            <w:r>
              <w:t xml:space="preserve">Estabilidade</w:t>
            </w:r>
            <w:r>
              <w:t xml:space="preserve"> </w:t>
            </w:r>
            <w:r>
              <w:rPr>
                <w:i/>
                <w:iCs/>
              </w:rPr>
              <w:t xml:space="preserve">bootstrap</w:t>
            </w:r>
            <w:r>
              <w:t xml:space="preserve"> </w:t>
            </w:r>
            <w:r>
              <w:t xml:space="preserve">em ER-negativo</w:t>
            </w:r>
          </w:p>
        </w:tc>
      </w:tr>
      <w:tr>
        <w:tc>
          <w:tcPr>
            <w:tcW w:w="5411" w:type="dxa"/>
          </w:tcPr>
          <w:p>
            <w:pPr>
              <w:pStyle w:val="Compact"/>
              <w:jc w:val="center"/>
            </w:pPr>
            <w:r>
              <w:rPr>
                <w:rStyle w:val="VerbatimChar"/>
              </w:rPr>
              <w:t xml:space="preserve">36_full_clinical_baseline.R</w:t>
            </w:r>
          </w:p>
        </w:tc>
        <w:tc>
          <w:tcPr>
            <w:tcW w:w="3659" w:type="dxa"/>
          </w:tcPr>
          <w:p>
            <w:pPr>
              <w:pStyle w:val="Compact"/>
              <w:jc w:val="center"/>
            </w:pPr>
            <w:r>
              <w:rPr>
                <w:i/>
                <w:iCs/>
              </w:rPr>
              <w:t xml:space="preserve">Baseline</w:t>
            </w:r>
            <w:r>
              <w:t xml:space="preserve"> </w:t>
            </w:r>
            <w:r>
              <w:t xml:space="preserve">clínico completo (36 variáveis)</w:t>
            </w:r>
          </w:p>
        </w:tc>
      </w:tr>
      <w:tr>
        <w:tc>
          <w:tcPr>
            <w:tcW w:w="5411" w:type="dxa"/>
          </w:tcPr>
          <w:p>
            <w:pPr>
              <w:pStyle w:val="Compact"/>
              <w:jc w:val="center"/>
            </w:pPr>
            <w:r>
              <w:rPr>
                <w:rStyle w:val="VerbatimChar"/>
              </w:rPr>
              <w:t xml:space="preserve">37_R2_km_multipanel.R</w:t>
            </w:r>
          </w:p>
        </w:tc>
        <w:tc>
          <w:tcPr>
            <w:tcW w:w="3659" w:type="dxa"/>
          </w:tcPr>
          <w:p>
            <w:pPr>
              <w:pStyle w:val="Compact"/>
              <w:jc w:val="center"/>
            </w:pPr>
            <w:r>
              <w:t xml:space="preserve">KM</w:t>
            </w:r>
            <w:r>
              <w:t xml:space="preserve"> </w:t>
            </w:r>
            <w:r>
              <w:rPr>
                <w:i/>
                <w:iCs/>
              </w:rPr>
              <w:t xml:space="preserve">multipanel</w:t>
            </w:r>
            <w:r>
              <w:t xml:space="preserve"> </w:t>
            </w:r>
            <w:r>
              <w:t xml:space="preserve">(resposta à R2)</w:t>
            </w:r>
          </w:p>
        </w:tc>
      </w:tr>
      <w:tr>
        <w:tc>
          <w:tcPr>
            <w:tcW w:w="5411" w:type="dxa"/>
          </w:tcPr>
          <w:p>
            <w:pPr>
              <w:pStyle w:val="Compact"/>
              <w:jc w:val="center"/>
            </w:pPr>
            <w:r>
              <w:rPr>
                <w:rStyle w:val="VerbatimChar"/>
              </w:rPr>
              <w:t xml:space="preserve">38_R2_headtohead_24vs50.R</w:t>
            </w:r>
          </w:p>
        </w:tc>
        <w:tc>
          <w:tcPr>
            <w:tcW w:w="3659" w:type="dxa"/>
          </w:tcPr>
          <w:p>
            <w:pPr>
              <w:pStyle w:val="Compact"/>
              <w:jc w:val="center"/>
            </w:pPr>
            <w:r>
              <w:rPr>
                <w:i/>
                <w:iCs/>
              </w:rPr>
              <w:t xml:space="preserve">Head-to-head</w:t>
            </w:r>
            <w:r>
              <w:t xml:space="preserve"> </w:t>
            </w:r>
            <w:r>
              <w:t xml:space="preserve">24 vs 50 genes (resposta à R2)</w:t>
            </w:r>
          </w:p>
        </w:tc>
      </w:tr>
    </w:tbl>
    <w:bookmarkEnd w:id="391"/>
    <w:p/>
    <w:bookmarkStart w:id="392" w:name="X61d0b877d426969a2d235b9284e16cc0e06a24d"/>
    <w:p>
      <w:pPr>
        <w:pageBreakBefore/>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 A leitura recomendada não é tentar memorizar símbolos, mas seguir a pergunta clínica de cada algoritmo: como o escore foi criado, como ele é aplicado a uma nova coorte, como se garantiu reprodutibilidade e como os resultados foram combinados.</w:t>
      </w:r>
    </w:p>
    <w:p>
      <w:r>
        <w:br w:type="page"/>
      </w:r>
    </w:p>
    <w:p>
      <w:pPr>
        <w:pStyle w:val="BodyText"/>
      </w:pPr>
      <w:r>
        <w:rPr>
          <w:b/>
          <w:bCs/>
        </w:rPr>
        <w:t xml:space="preserve">Algoritmo 1 — Derivação do CorePAM</w:t>
      </w:r>
      <w:r>
        <w:t xml:space="preserve"> </w:t>
      </w:r>
      <w:r>
        <w:rPr>
          <w:i/>
          <w:iCs/>
        </w:rPr>
        <w:t xml:space="preserve">(script 05_derivation.R)</w:t>
      </w:r>
    </w:p>
    <w:p>
      <w:pPr>
        <w:pStyle w:val="BodyText"/>
      </w:pPr>
      <w:r>
        <w:t xml:space="preserve">Este algoritmo é a etapa em que o CorePAM nasce. Ele parte da SCAN-B, que é a coorte de treinamento, e pergunta quais genes do PAM50 realmente ajudam a ordenar risco de sobrevida. A validação cruzada funciona como um ensaio interno de honestidade: cada paciente é predita por um modelo que não a viu. A seleção final não escolhe o modelo</w:t>
      </w:r>
      <w:r>
        <w:t xml:space="preserve"> </w:t>
      </w:r>
      <w:r>
        <w:t xml:space="preserve">“mais bonito”</w:t>
      </w:r>
      <w:r>
        <w:t xml:space="preserve">, mas o menor conjunto que fica dentro da margem de desempenho aceitável.</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r>
        <w:br w:type="page"/>
      </w:r>
    </w:p>
    <w:p>
      <w:pPr>
        <w:pStyle w:val="FirstParagraph"/>
      </w:pPr>
      <w:r>
        <w:rPr>
          <w:b/>
          <w:bCs/>
        </w:rPr>
        <w:t xml:space="preserve">Algoritmo 2 — Cálculo do escore em coorte de validação</w:t>
      </w:r>
      <w:r>
        <w:t xml:space="preserve"> </w:t>
      </w:r>
      <w:r>
        <w:rPr>
          <w:i/>
          <w:iCs/>
        </w:rPr>
        <w:t xml:space="preserve">(script 06_scoring.R)</w:t>
      </w:r>
    </w:p>
    <w:p>
      <w:pPr>
        <w:pStyle w:val="BodyText"/>
      </w:pPr>
      <w:r>
        <w:t xml:space="preserve">Este algoritmo descreve como o CorePAM é aplicado depois de pronto. A coorte externa não escolhe novos genes e não muda os pesos; ela apenas recebe o escore congelado. O ponto mais importante é o</w:t>
      </w:r>
      <w:r>
        <w:t xml:space="preserve"> </w:t>
      </w:r>
      <w:r>
        <w:rPr>
          <w:i/>
          <w:iCs/>
        </w:rPr>
        <w:t xml:space="preserve">z-score</w:t>
      </w:r>
      <w:r>
        <w:t xml:space="preserve">: cada gene é colocado em escala relativa dentro da própria coorte, permitindo comparar plataformas que medem expressão em unidades diferentes. Quando algum gene não está presente, o denominador é recalculado com os pesos disponíveis, evitando imputação artificial.</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r>
        <w:br w:type="page"/>
      </w:r>
    </w:p>
    <w:p>
      <w:pPr>
        <w:pStyle w:val="FirstParagraph"/>
      </w:pPr>
      <w:r>
        <w:rPr>
          <w:b/>
          <w:bCs/>
        </w:rPr>
        <w:t xml:space="preserve">Algoritmo 3 — Validação cruzada determinística com SHA-256</w:t>
      </w:r>
    </w:p>
    <w:p>
      <w:pPr>
        <w:pStyle w:val="BodyText"/>
      </w:pPr>
      <w:r>
        <w:t xml:space="preserve">Este algoritmo explica como as pacientes foram divididas nos 10 grupos da validação cruzada. Em muitos estudos, essa divisão depende de uma semente aleatória; mudar a semente pode mudar discretamente o resultado. Aqui, a divisão depende de uma transformação fixa do identificador da paciente. Isso torna a análise reprodutível: a mesma paciente sempre cai no mesmo grupo, em qualquer computador, desde que os mesmos dados sejam usados.</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pPr>
        <w:pStyle w:val="BodyText"/>
      </w:pPr>
      <w:r>
        <w:rPr>
          <w:b/>
          <w:bCs/>
        </w:rPr>
        <w:t xml:space="preserve">Algoritmo 4 — Meta-análise de efeitos aleatórios (REML)</w:t>
      </w:r>
      <w:r>
        <w:t xml:space="preserve"> </w:t>
      </w:r>
      <w:r>
        <w:rPr>
          <w:i/>
          <w:iCs/>
        </w:rPr>
        <w:t xml:space="preserve">(script 08_meta_analysis.R)</w:t>
      </w:r>
    </w:p>
    <w:p>
      <w:pPr>
        <w:pStyle w:val="BodyText"/>
      </w:pPr>
      <w:r>
        <w:t xml:space="preserve">Este algoritmo explica como os resultados das coortes externas foram combinados. Ele não assume que todas as coortes são iguais. Pelo contrário: reconhece que TCGA-BRCA, METABRIC, GSE20685 e GSE1456 diferem em população, plataforma, seguimento e desfecho. O modelo de efeitos aleatórios calcula uma estimativa média levando em conta tanto a incerteza dentro de cada coorte quanto a variação real entre coortes. Essa é a forma estatística de dizer:</w:t>
      </w:r>
      <w:r>
        <w:t xml:space="preserve"> </w:t>
      </w:r>
      <w:r>
        <w:t xml:space="preserve">“o efeito é consistente o bastante para ser resumido, mas as coortes não são cópias umas das outras”</w:t>
      </w:r>
      <w:r>
        <w:t xml:space="preserve">.</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bookmarkEnd w:id="392"/>
    <w:bookmarkEnd w:id="393"/>
    <w:bookmarkStart w:id="394" w:name="X2b28e8d3f18a3535f21e5bd06b2e9a09efb4f0f"/>
    <w:p>
      <w:pPr>
        <w:pageBreakBefore/>
        <w:pStyle w:val="Heading1"/>
      </w:pPr>
      <w:r>
        <w:t xml:space="preserve">APÊNDICE B — Artigo publicado no</w:t>
      </w:r>
      <w:r>
        <w:t xml:space="preserve"> </w:t>
      </w:r>
      <w:r>
        <w:rPr>
          <w:i/>
          <w:iCs/>
        </w:rPr>
        <w:t xml:space="preserve">Breast Cancer Research</w:t>
      </w:r>
    </w:p>
    <w:p>
      <w:pPr>
        <w:pStyle w:val="FirstParagraph"/>
      </w:pPr>
      <w:r>
        <w:t xml:space="preserve">O artigo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cancer prognosis”</w:t>
      </w:r>
      <w:r>
        <w:rPr>
          <w:vertAlign w:val="superscript"/>
        </w:rPr>
        <w:t xml:space="preserve">76</w:t>
      </w:r>
      <w:r>
        <w:t xml:space="preserve"> </w:t>
      </w:r>
      <w:r>
        <w:t xml:space="preserve">é reproduzido integralmente nas páginas seguintes, em versão</w:t>
      </w:r>
      <w:r>
        <w:t xml:space="preserve"> </w:t>
      </w:r>
      <w:r>
        <w:rPr>
          <w:i/>
          <w:iCs/>
        </w:rPr>
        <w:t xml:space="preserve">Article in Press</w:t>
      </w:r>
      <w:r>
        <w:t xml:space="preserve"> </w:t>
      </w:r>
      <w:r>
        <w:t xml:space="preserve">disponibilizada pela revista.</w:t>
      </w:r>
    </w:p>
    <w:bookmarkEnd w:id="394"/>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cs="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cs="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cs="Times New Roman" w:hAnsi="Times New Roman"/>
      <w:b/>
      <w:bCs/>
      <w:color w:val="000000"/>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200"/>
      <w:ind w:firstLine="0"/>
      <w:jc w:val="left"/>
      <w:outlineLvl w:val="3"/>
    </w:pPr>
    <w:rPr>
      <w:rFonts w:ascii="Times New Roman" w:cs="Times New Roman" w:hAnsi="Times New Roman"/>
      <w:b/>
      <w:bCs/>
      <w:i/>
      <w:iCs/>
      <w:color w:val="000000"/>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1 Char"/>
    <w:basedOn w:val="DefaultParagraphFont"/>
    <w:link w:val="Heading1"/>
    <w:uiPriority w:val="9"/>
    <w:rsid w:val="00FC693F"/>
    <w:rPr>
      <w:rFonts w:ascii="Times New Roman" w:cs="Times New Roman" w:hAnsi="Times New Roman"/>
      <w:b/>
      <w:bCs/>
      <w:color w:val="000000"/>
      <w:sz w:val="28"/>
      <w:szCs w:val="28"/>
    </w:rPr>
  </w:style>
  <w:style w:customStyle="1" w:styleId="Heading2Char" w:type="character">
    <w:name w:val="Heading2 Char"/>
    <w:basedOn w:val="DefaultParagraphFont"/>
    <w:link w:val="Heading2"/>
    <w:uiPriority w:val="9"/>
    <w:rsid w:val="00FC693F"/>
    <w:rPr>
      <w:rFonts w:ascii="Times New Roman" w:cs="Times New Roman" w:hAnsi="Times New Roman"/>
      <w:b/>
      <w:bCs/>
      <w:color w:val="000000"/>
      <w:sz w:val="24"/>
      <w:szCs w:val="24"/>
    </w:rPr>
  </w:style>
  <w:style w:customStyle="1" w:styleId="Heading3Char" w:type="character">
    <w:name w:val="Heading3 Char"/>
    <w:basedOn w:val="DefaultParagraphFont"/>
    <w:link w:val="Heading3"/>
    <w:uiPriority w:val="9"/>
    <w:rsid w:val="00FC693F"/>
    <w:rPr>
      <w:rFonts w:ascii="Times New Roman" w:cs="Times New Roman" w:hAnsi="Times New Roman"/>
      <w:b/>
      <w:bCs/>
      <w:color w:val="000000"/>
      <w:sz w:val="24"/>
      <w:szCs w:val="24"/>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4 Char"/>
    <w:basedOn w:val="DefaultParagraphFont"/>
    <w:link w:val="Heading4"/>
    <w:uiPriority w:val="9"/>
    <w:rsid w:val="00FC693F"/>
    <w:rPr>
      <w:rFonts w:ascii="Times New Roman" w:cs="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both"/>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563C1"/>
      <w:u w:val="single"/>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32" Target="media/rId32.png" /><Relationship Type="http://schemas.openxmlformats.org/officeDocument/2006/relationships/image" Id="rId67" Target="media/rId67.png" /><Relationship Type="http://schemas.openxmlformats.org/officeDocument/2006/relationships/image" Id="rId81" Target="media/rId81.png" /><Relationship Type="http://schemas.openxmlformats.org/officeDocument/2006/relationships/image" Id="rId55" Target="media/rId55.png" /><Relationship Type="http://schemas.openxmlformats.org/officeDocument/2006/relationships/image" Id="rId138" Target="media/rId138.png" /><Relationship Type="http://schemas.openxmlformats.org/officeDocument/2006/relationships/image" Id="rId134" Target="media/rId134.png" /><Relationship Type="http://schemas.openxmlformats.org/officeDocument/2006/relationships/image" Id="rId122" Target="media/rId122.png" /><Relationship Type="http://schemas.openxmlformats.org/officeDocument/2006/relationships/image" Id="rId130" Target="media/rId130.png" /><Relationship Type="http://schemas.openxmlformats.org/officeDocument/2006/relationships/image" Id="rId126" Target="media/rId126.png" /><Relationship Type="http://schemas.openxmlformats.org/officeDocument/2006/relationships/image" Id="rId144" Target="media/rId144.png" /><Relationship Type="http://schemas.openxmlformats.org/officeDocument/2006/relationships/image" Id="rId154" Target="media/rId154.png" /><Relationship Type="http://schemas.openxmlformats.org/officeDocument/2006/relationships/image" Id="rId150" Target="media/rId150.png" /><Relationship Type="http://schemas.openxmlformats.org/officeDocument/2006/relationships/image" Id="rId187" Target="media/rId187.png" /><Relationship Type="http://schemas.openxmlformats.org/officeDocument/2006/relationships/image" Id="rId191" Target="media/rId191.png" /><Relationship Type="http://schemas.openxmlformats.org/officeDocument/2006/relationships/image" Id="rId199" Target="media/rId199.png" /><Relationship Type="http://schemas.openxmlformats.org/officeDocument/2006/relationships/image" Id="rId195" Target="media/rId195.png" /><Relationship Type="http://schemas.openxmlformats.org/officeDocument/2006/relationships/image" Id="rId163" Target="media/rId163.png" /><Relationship Type="http://schemas.openxmlformats.org/officeDocument/2006/relationships/image" Id="rId173" Target="media/rId173.png" /><Relationship Type="http://schemas.openxmlformats.org/officeDocument/2006/relationships/image" Id="rId112" Target="media/rId112.png" /><Relationship Type="http://schemas.openxmlformats.org/officeDocument/2006/relationships/image" Id="rId215" Target="media/rId215.png" /><Relationship Type="http://schemas.openxmlformats.org/officeDocument/2006/relationships/image" Id="rId169" Target="media/rId169.png" /><Relationship Type="http://schemas.openxmlformats.org/officeDocument/2006/relationships/image" Id="rId203" Target="media/rId203.png" /><Relationship Type="http://schemas.openxmlformats.org/officeDocument/2006/relationships/image" Id="rId116" Target="media/rId116.png" /><Relationship Type="http://schemas.openxmlformats.org/officeDocument/2006/relationships/image" Id="rId180" Target="media/rId180.png" /><Relationship Type="http://schemas.openxmlformats.org/officeDocument/2006/relationships/image" Id="rId209" Target="media/rId209.png" /><Relationship Type="http://schemas.openxmlformats.org/officeDocument/2006/relationships/image" Id="rId103" Target="media/rId103.png" /><Relationship Type="http://schemas.openxmlformats.org/officeDocument/2006/relationships/image" Id="rId108" Target="media/rId108.png" /><Relationship Type="http://schemas.openxmlformats.org/officeDocument/2006/relationships/hyperlink" Id="rId352" Target="https://doi.org/10.1001/jama.1982.03320430047030" TargetMode="External" /><Relationship Type="http://schemas.openxmlformats.org/officeDocument/2006/relationships/hyperlink" Id="rId318" Target="https://doi.org/10.1001/jama.2011.593" TargetMode="External" /><Relationship Type="http://schemas.openxmlformats.org/officeDocument/2006/relationships/hyperlink" Id="rId296" Target="https://doi.org/10.1001/jamaoncol.2017.5524" TargetMode="External" /><Relationship Type="http://schemas.openxmlformats.org/officeDocument/2006/relationships/hyperlink" Id="rId342" Target="https://doi.org/10.1002/(SICI)1097-0258(19970228)16:4&lt;385::AID-SIM380&gt;3.0.CO;2-3" TargetMode="External" /><Relationship Type="http://schemas.openxmlformats.org/officeDocument/2006/relationships/hyperlink" Id="rId372" Target="https://doi.org/10.1002/sim.1009" TargetMode="External" /><Relationship Type="http://schemas.openxmlformats.org/officeDocument/2006/relationships/hyperlink" Id="rId356" Target="https://doi.org/10.1002/sim.4154" TargetMode="External" /><Relationship Type="http://schemas.openxmlformats.org/officeDocument/2006/relationships/hyperlink" Id="rId358" Target="https://doi.org/10.1002/sim.5958" TargetMode="External" /><Relationship Type="http://schemas.openxmlformats.org/officeDocument/2006/relationships/hyperlink" Id="rId350" Target="https://doi.org/10.1007/978-1-4757-3294-8" TargetMode="External" /><Relationship Type="http://schemas.openxmlformats.org/officeDocument/2006/relationships/hyperlink" Id="rId322" Target="https://doi.org/10.1007/s10549-011-1895-2" TargetMode="External" /><Relationship Type="http://schemas.openxmlformats.org/officeDocument/2006/relationships/hyperlink" Id="rId374" Target="https://doi.org/10.1016/0197-2456(86)90046-2" TargetMode="External" /><Relationship Type="http://schemas.openxmlformats.org/officeDocument/2006/relationships/hyperlink" Id="rId243" Target="https://doi.org/10.1016/S0140-6736(11)60993-8" TargetMode="External" /><Relationship Type="http://schemas.openxmlformats.org/officeDocument/2006/relationships/hyperlink" Id="rId241" Target="https://doi.org/10.1016/S0140-6736(11)61625-5" TargetMode="External" /><Relationship Type="http://schemas.openxmlformats.org/officeDocument/2006/relationships/hyperlink" Id="rId382" Target="https://doi.org/10.1016/S0140-6736(13)62422-8" TargetMode="External" /><Relationship Type="http://schemas.openxmlformats.org/officeDocument/2006/relationships/hyperlink" Id="rId380" Target="https://doi.org/10.1016/S1470-2045(17)30904-X" TargetMode="External" /><Relationship Type="http://schemas.openxmlformats.org/officeDocument/2006/relationships/hyperlink" Id="rId290" Target="https://doi.org/10.1016/S1470-2045(21)00007-3" TargetMode="External" /><Relationship Type="http://schemas.openxmlformats.org/officeDocument/2006/relationships/hyperlink" Id="rId324" Target="https://doi.org/10.1016/j.ccell.2022.05.005" TargetMode="External" /><Relationship Type="http://schemas.openxmlformats.org/officeDocument/2006/relationships/hyperlink" Id="rId332" Target="https://doi.org/10.1016/j.jclinepi.2015.04.005" TargetMode="External" /><Relationship Type="http://schemas.openxmlformats.org/officeDocument/2006/relationships/hyperlink" Id="rId362" Target="https://doi.org/10.1016/j.jclinepi.2015.12.005" TargetMode="External" /><Relationship Type="http://schemas.openxmlformats.org/officeDocument/2006/relationships/hyperlink" Id="rId254" Target="https://doi.org/10.1016/j.molonc.2010.11.003" TargetMode="External" /><Relationship Type="http://schemas.openxmlformats.org/officeDocument/2006/relationships/hyperlink" Id="rId250" Target="https://doi.org/10.1038/35021093" TargetMode="External" /><Relationship Type="http://schemas.openxmlformats.org/officeDocument/2006/relationships/hyperlink" Id="rId286" Target="https://doi.org/10.1038/415530a" TargetMode="External" /><Relationship Type="http://schemas.openxmlformats.org/officeDocument/2006/relationships/hyperlink" Id="rId256" Target="https://doi.org/10.1038/nature10983" TargetMode="External" /><Relationship Type="http://schemas.openxmlformats.org/officeDocument/2006/relationships/hyperlink" Id="rId312" Target="https://doi.org/10.1038/nature11412" TargetMode="External" /><Relationship Type="http://schemas.openxmlformats.org/officeDocument/2006/relationships/hyperlink" Id="rId302" Target="https://doi.org/10.1038/nbt.1665" TargetMode="External" /><Relationship Type="http://schemas.openxmlformats.org/officeDocument/2006/relationships/hyperlink" Id="rId258" Target="https://doi.org/10.1038/ncomms11479" TargetMode="External" /><Relationship Type="http://schemas.openxmlformats.org/officeDocument/2006/relationships/hyperlink" Id="rId306" Target="https://doi.org/10.1038/nrg2825" TargetMode="External" /><Relationship Type="http://schemas.openxmlformats.org/officeDocument/2006/relationships/hyperlink" Id="rId248" Target="https://doi.org/10.1038/s41572-019-0111-2" TargetMode="External" /><Relationship Type="http://schemas.openxmlformats.org/officeDocument/2006/relationships/hyperlink" Id="rId278" Target="https://doi.org/10.1056/NEJMoa041588" TargetMode="External" /><Relationship Type="http://schemas.openxmlformats.org/officeDocument/2006/relationships/hyperlink" Id="rId288" Target="https://doi.org/10.1056/NEJMoa1602253" TargetMode="External" /><Relationship Type="http://schemas.openxmlformats.org/officeDocument/2006/relationships/hyperlink" Id="rId280" Target="https://doi.org/10.1056/NEJMoa1804710" TargetMode="External" /><Relationship Type="http://schemas.openxmlformats.org/officeDocument/2006/relationships/hyperlink" Id="rId282" Target="https://doi.org/10.1056/NEJMoa1904819" TargetMode="External" /><Relationship Type="http://schemas.openxmlformats.org/officeDocument/2006/relationships/hyperlink" Id="rId284" Target="https://doi.org/10.1056/NEJMoa2108873" TargetMode="External" /><Relationship Type="http://schemas.openxmlformats.org/officeDocument/2006/relationships/hyperlink" Id="rId252" Target="https://doi.org/10.1073/pnas.191367098" TargetMode="External" /><Relationship Type="http://schemas.openxmlformats.org/officeDocument/2006/relationships/hyperlink" Id="rId360" Target="https://doi.org/10.1080/01621459.1999.10474144" TargetMode="External" /><Relationship Type="http://schemas.openxmlformats.org/officeDocument/2006/relationships/hyperlink" Id="rId270" Target="https://doi.org/10.1093/annonc/mdt494" TargetMode="External" /><Relationship Type="http://schemas.openxmlformats.org/officeDocument/2006/relationships/hyperlink" Id="rId272" Target="https://doi.org/10.1093/annonc/mdv221" TargetMode="External" /><Relationship Type="http://schemas.openxmlformats.org/officeDocument/2006/relationships/hyperlink" Id="rId274" Target="https://doi.org/10.1093/annonc/mdz235" TargetMode="External" /><Relationship Type="http://schemas.openxmlformats.org/officeDocument/2006/relationships/hyperlink" Id="rId334" Target="https://doi.org/10.1093/bioinformatics/btp616" TargetMode="External" /><Relationship Type="http://schemas.openxmlformats.org/officeDocument/2006/relationships/hyperlink" Id="rId376" Target="https://doi.org/10.1093/bioinformatics/btv693" TargetMode="External" /><Relationship Type="http://schemas.openxmlformats.org/officeDocument/2006/relationships/hyperlink" Id="rId348" Target="https://doi.org/10.1093/biomet/81.3.515" TargetMode="External" /><Relationship Type="http://schemas.openxmlformats.org/officeDocument/2006/relationships/hyperlink" Id="rId304" Target="https://doi.org/10.1093/biostatistics/kxj037" TargetMode="External" /><Relationship Type="http://schemas.openxmlformats.org/officeDocument/2006/relationships/hyperlink" Id="rId378" Target="https://doi.org/10.1093/jnci/djp082" TargetMode="External" /><Relationship Type="http://schemas.openxmlformats.org/officeDocument/2006/relationships/hyperlink" Id="rId300" Target="https://doi.org/10.1093/nar/gkv007" TargetMode="External" /><Relationship Type="http://schemas.openxmlformats.org/officeDocument/2006/relationships/hyperlink" Id="rId320" Target="https://doi.org/10.1111/j.1349-7006.2012.02241.x" TargetMode="External" /><Relationship Type="http://schemas.openxmlformats.org/officeDocument/2006/relationships/hyperlink" Id="rId338" Target="https://doi.org/10.1111/j.1467-9868.2005.00503.x" TargetMode="External" /><Relationship Type="http://schemas.openxmlformats.org/officeDocument/2006/relationships/hyperlink" Id="rId340" Target="https://doi.org/10.1111/j.2517-6161.1996.tb02080.x" TargetMode="External" /><Relationship Type="http://schemas.openxmlformats.org/officeDocument/2006/relationships/hyperlink" Id="rId370" Target="https://doi.org/10.1136/bmj.327.7414.557" TargetMode="External" /><Relationship Type="http://schemas.openxmlformats.org/officeDocument/2006/relationships/hyperlink" Id="rId328" Target="https://doi.org/10.1136/bmj.g7594" TargetMode="External" /><Relationship Type="http://schemas.openxmlformats.org/officeDocument/2006/relationships/hyperlink" Id="rId262" Target="https://doi.org/10.1158/1078-0432.CCR-10-1282" TargetMode="External" /><Relationship Type="http://schemas.openxmlformats.org/officeDocument/2006/relationships/hyperlink" Id="rId292" Target="https://doi.org/10.1158/1078-0432.CCR-11-0926" TargetMode="External" /><Relationship Type="http://schemas.openxmlformats.org/officeDocument/2006/relationships/hyperlink" Id="rId264" Target="https://doi.org/10.1158/1078-0432.CCR-12-0286" TargetMode="External" /><Relationship Type="http://schemas.openxmlformats.org/officeDocument/2006/relationships/hyperlink" Id="rId294" Target="https://doi.org/10.1158/1078-0432.CCR-13-0804" TargetMode="External" /><Relationship Type="http://schemas.openxmlformats.org/officeDocument/2006/relationships/hyperlink" Id="rId366" Target="https://doi.org/10.1177/0272989X06295361" TargetMode="External" /><Relationship Type="http://schemas.openxmlformats.org/officeDocument/2006/relationships/hyperlink" Id="rId330" Target="https://doi.org/10.1186/1471-2288-13-33" TargetMode="External" /><Relationship Type="http://schemas.openxmlformats.org/officeDocument/2006/relationships/hyperlink" Id="rId314" Target="https://doi.org/10.1186/1471-2407-11-143" TargetMode="External" /><Relationship Type="http://schemas.openxmlformats.org/officeDocument/2006/relationships/hyperlink" Id="rId316" Target="https://doi.org/10.1186/bcr1325" TargetMode="External" /><Relationship Type="http://schemas.openxmlformats.org/officeDocument/2006/relationships/hyperlink" Id="rId336" Target="https://doi.org/10.1186/gb-2010-11-3-r25" TargetMode="External" /><Relationship Type="http://schemas.openxmlformats.org/officeDocument/2006/relationships/hyperlink" Id="rId384" Target="https://doi.org/10.1186/s12916-015-0540-z" TargetMode="External" /><Relationship Type="http://schemas.openxmlformats.org/officeDocument/2006/relationships/hyperlink" Id="rId364" Target="https://doi.org/10.1186/s12916-019-1466-7" TargetMode="External" /><Relationship Type="http://schemas.openxmlformats.org/officeDocument/2006/relationships/hyperlink" Id="rId266" Target="https://doi.org/10.1186/s12920-015-0129-6" TargetMode="External" /><Relationship Type="http://schemas.openxmlformats.org/officeDocument/2006/relationships/hyperlink" Id="rId386" Target="https://doi.org/10.1186/s13058-026-02298-5" TargetMode="External" /><Relationship Type="http://schemas.openxmlformats.org/officeDocument/2006/relationships/hyperlink" Id="rId298" Target="https://doi.org/10.1186/s13059-014-0550-8" TargetMode="External" /><Relationship Type="http://schemas.openxmlformats.org/officeDocument/2006/relationships/hyperlink" Id="rId308" Target="https://doi.org/10.1186/s13073-015-0131-9" TargetMode="External" /><Relationship Type="http://schemas.openxmlformats.org/officeDocument/2006/relationships/hyperlink" Id="rId260" Target="https://doi.org/10.1200/JCO.2008.18.1370" TargetMode="External" /><Relationship Type="http://schemas.openxmlformats.org/officeDocument/2006/relationships/hyperlink" Id="rId268" Target="https://doi.org/10.1200/JCO.2009.24.4798" TargetMode="External" /><Relationship Type="http://schemas.openxmlformats.org/officeDocument/2006/relationships/hyperlink" Id="rId276" Target="https://doi.org/10.1200/JCO.22.00069" TargetMode="External" /><Relationship Type="http://schemas.openxmlformats.org/officeDocument/2006/relationships/hyperlink" Id="rId310" Target="https://doi.org/10.1200/PO.17.00135" TargetMode="External" /><Relationship Type="http://schemas.openxmlformats.org/officeDocument/2006/relationships/hyperlink" Id="rId354" Target="https://doi.org/10.1214/aos/1176344552" TargetMode="External" /><Relationship Type="http://schemas.openxmlformats.org/officeDocument/2006/relationships/hyperlink" Id="rId246" Target="https://doi.org/10.1590/0102-311X00074817" TargetMode="External" /><Relationship Type="http://schemas.openxmlformats.org/officeDocument/2006/relationships/hyperlink" Id="rId344" Target="https://doi.org/10.18637/jss.v033.i01" TargetMode="External" /><Relationship Type="http://schemas.openxmlformats.org/officeDocument/2006/relationships/hyperlink" Id="rId368" Target="https://doi.org/10.18637/jss.v036.i03" TargetMode="External" /><Relationship Type="http://schemas.openxmlformats.org/officeDocument/2006/relationships/hyperlink" Id="rId346" Target="https://doi.org/10.18637/jss.v039.i05" TargetMode="External" /><Relationship Type="http://schemas.openxmlformats.org/officeDocument/2006/relationships/hyperlink" Id="rId237" Target="https://doi.org/10.3322/caac.21660" TargetMode="External" /><Relationship Type="http://schemas.openxmlformats.org/officeDocument/2006/relationships/hyperlink" Id="rId239" Target="https://doi.org/10.3322/caac.21834" TargetMode="External" /><Relationship Type="http://schemas.openxmlformats.org/officeDocument/2006/relationships/hyperlink" Id="rId326"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52" Target="https://doi.org/10.1001/jama.1982.03320430047030" TargetMode="External" /><Relationship Type="http://schemas.openxmlformats.org/officeDocument/2006/relationships/hyperlink" Id="rId318" Target="https://doi.org/10.1001/jama.2011.593" TargetMode="External" /><Relationship Type="http://schemas.openxmlformats.org/officeDocument/2006/relationships/hyperlink" Id="rId296" Target="https://doi.org/10.1001/jamaoncol.2017.5524" TargetMode="External" /><Relationship Type="http://schemas.openxmlformats.org/officeDocument/2006/relationships/hyperlink" Id="rId342" Target="https://doi.org/10.1002/(SICI)1097-0258(19970228)16:4&lt;385::AID-SIM380&gt;3.0.CO;2-3" TargetMode="External" /><Relationship Type="http://schemas.openxmlformats.org/officeDocument/2006/relationships/hyperlink" Id="rId372" Target="https://doi.org/10.1002/sim.1009" TargetMode="External" /><Relationship Type="http://schemas.openxmlformats.org/officeDocument/2006/relationships/hyperlink" Id="rId356" Target="https://doi.org/10.1002/sim.4154" TargetMode="External" /><Relationship Type="http://schemas.openxmlformats.org/officeDocument/2006/relationships/hyperlink" Id="rId358" Target="https://doi.org/10.1002/sim.5958" TargetMode="External" /><Relationship Type="http://schemas.openxmlformats.org/officeDocument/2006/relationships/hyperlink" Id="rId350" Target="https://doi.org/10.1007/978-1-4757-3294-8" TargetMode="External" /><Relationship Type="http://schemas.openxmlformats.org/officeDocument/2006/relationships/hyperlink" Id="rId322" Target="https://doi.org/10.1007/s10549-011-1895-2" TargetMode="External" /><Relationship Type="http://schemas.openxmlformats.org/officeDocument/2006/relationships/hyperlink" Id="rId374" Target="https://doi.org/10.1016/0197-2456(86)90046-2" TargetMode="External" /><Relationship Type="http://schemas.openxmlformats.org/officeDocument/2006/relationships/hyperlink" Id="rId243" Target="https://doi.org/10.1016/S0140-6736(11)60993-8" TargetMode="External" /><Relationship Type="http://schemas.openxmlformats.org/officeDocument/2006/relationships/hyperlink" Id="rId241" Target="https://doi.org/10.1016/S0140-6736(11)61625-5" TargetMode="External" /><Relationship Type="http://schemas.openxmlformats.org/officeDocument/2006/relationships/hyperlink" Id="rId382" Target="https://doi.org/10.1016/S0140-6736(13)62422-8" TargetMode="External" /><Relationship Type="http://schemas.openxmlformats.org/officeDocument/2006/relationships/hyperlink" Id="rId380" Target="https://doi.org/10.1016/S1470-2045(17)30904-X" TargetMode="External" /><Relationship Type="http://schemas.openxmlformats.org/officeDocument/2006/relationships/hyperlink" Id="rId290" Target="https://doi.org/10.1016/S1470-2045(21)00007-3" TargetMode="External" /><Relationship Type="http://schemas.openxmlformats.org/officeDocument/2006/relationships/hyperlink" Id="rId324" Target="https://doi.org/10.1016/j.ccell.2022.05.005" TargetMode="External" /><Relationship Type="http://schemas.openxmlformats.org/officeDocument/2006/relationships/hyperlink" Id="rId332" Target="https://doi.org/10.1016/j.jclinepi.2015.04.005" TargetMode="External" /><Relationship Type="http://schemas.openxmlformats.org/officeDocument/2006/relationships/hyperlink" Id="rId362" Target="https://doi.org/10.1016/j.jclinepi.2015.12.005" TargetMode="External" /><Relationship Type="http://schemas.openxmlformats.org/officeDocument/2006/relationships/hyperlink" Id="rId254" Target="https://doi.org/10.1016/j.molonc.2010.11.003" TargetMode="External" /><Relationship Type="http://schemas.openxmlformats.org/officeDocument/2006/relationships/hyperlink" Id="rId250" Target="https://doi.org/10.1038/35021093" TargetMode="External" /><Relationship Type="http://schemas.openxmlformats.org/officeDocument/2006/relationships/hyperlink" Id="rId286" Target="https://doi.org/10.1038/415530a" TargetMode="External" /><Relationship Type="http://schemas.openxmlformats.org/officeDocument/2006/relationships/hyperlink" Id="rId256" Target="https://doi.org/10.1038/nature10983" TargetMode="External" /><Relationship Type="http://schemas.openxmlformats.org/officeDocument/2006/relationships/hyperlink" Id="rId312" Target="https://doi.org/10.1038/nature11412" TargetMode="External" /><Relationship Type="http://schemas.openxmlformats.org/officeDocument/2006/relationships/hyperlink" Id="rId302" Target="https://doi.org/10.1038/nbt.1665" TargetMode="External" /><Relationship Type="http://schemas.openxmlformats.org/officeDocument/2006/relationships/hyperlink" Id="rId258" Target="https://doi.org/10.1038/ncomms11479" TargetMode="External" /><Relationship Type="http://schemas.openxmlformats.org/officeDocument/2006/relationships/hyperlink" Id="rId306" Target="https://doi.org/10.1038/nrg2825" TargetMode="External" /><Relationship Type="http://schemas.openxmlformats.org/officeDocument/2006/relationships/hyperlink" Id="rId248" Target="https://doi.org/10.1038/s41572-019-0111-2" TargetMode="External" /><Relationship Type="http://schemas.openxmlformats.org/officeDocument/2006/relationships/hyperlink" Id="rId278" Target="https://doi.org/10.1056/NEJMoa041588" TargetMode="External" /><Relationship Type="http://schemas.openxmlformats.org/officeDocument/2006/relationships/hyperlink" Id="rId288" Target="https://doi.org/10.1056/NEJMoa1602253" TargetMode="External" /><Relationship Type="http://schemas.openxmlformats.org/officeDocument/2006/relationships/hyperlink" Id="rId280" Target="https://doi.org/10.1056/NEJMoa1804710" TargetMode="External" /><Relationship Type="http://schemas.openxmlformats.org/officeDocument/2006/relationships/hyperlink" Id="rId282" Target="https://doi.org/10.1056/NEJMoa1904819" TargetMode="External" /><Relationship Type="http://schemas.openxmlformats.org/officeDocument/2006/relationships/hyperlink" Id="rId284" Target="https://doi.org/10.1056/NEJMoa2108873" TargetMode="External" /><Relationship Type="http://schemas.openxmlformats.org/officeDocument/2006/relationships/hyperlink" Id="rId252" Target="https://doi.org/10.1073/pnas.191367098" TargetMode="External" /><Relationship Type="http://schemas.openxmlformats.org/officeDocument/2006/relationships/hyperlink" Id="rId360" Target="https://doi.org/10.1080/01621459.1999.10474144" TargetMode="External" /><Relationship Type="http://schemas.openxmlformats.org/officeDocument/2006/relationships/hyperlink" Id="rId270" Target="https://doi.org/10.1093/annonc/mdt494" TargetMode="External" /><Relationship Type="http://schemas.openxmlformats.org/officeDocument/2006/relationships/hyperlink" Id="rId272" Target="https://doi.org/10.1093/annonc/mdv221" TargetMode="External" /><Relationship Type="http://schemas.openxmlformats.org/officeDocument/2006/relationships/hyperlink" Id="rId274" Target="https://doi.org/10.1093/annonc/mdz235" TargetMode="External" /><Relationship Type="http://schemas.openxmlformats.org/officeDocument/2006/relationships/hyperlink" Id="rId334" Target="https://doi.org/10.1093/bioinformatics/btp616" TargetMode="External" /><Relationship Type="http://schemas.openxmlformats.org/officeDocument/2006/relationships/hyperlink" Id="rId376" Target="https://doi.org/10.1093/bioinformatics/btv693" TargetMode="External" /><Relationship Type="http://schemas.openxmlformats.org/officeDocument/2006/relationships/hyperlink" Id="rId348" Target="https://doi.org/10.1093/biomet/81.3.515" TargetMode="External" /><Relationship Type="http://schemas.openxmlformats.org/officeDocument/2006/relationships/hyperlink" Id="rId304" Target="https://doi.org/10.1093/biostatistics/kxj037" TargetMode="External" /><Relationship Type="http://schemas.openxmlformats.org/officeDocument/2006/relationships/hyperlink" Id="rId378" Target="https://doi.org/10.1093/jnci/djp082" TargetMode="External" /><Relationship Type="http://schemas.openxmlformats.org/officeDocument/2006/relationships/hyperlink" Id="rId300" Target="https://doi.org/10.1093/nar/gkv007" TargetMode="External" /><Relationship Type="http://schemas.openxmlformats.org/officeDocument/2006/relationships/hyperlink" Id="rId320" Target="https://doi.org/10.1111/j.1349-7006.2012.02241.x" TargetMode="External" /><Relationship Type="http://schemas.openxmlformats.org/officeDocument/2006/relationships/hyperlink" Id="rId338" Target="https://doi.org/10.1111/j.1467-9868.2005.00503.x" TargetMode="External" /><Relationship Type="http://schemas.openxmlformats.org/officeDocument/2006/relationships/hyperlink" Id="rId340" Target="https://doi.org/10.1111/j.2517-6161.1996.tb02080.x" TargetMode="External" /><Relationship Type="http://schemas.openxmlformats.org/officeDocument/2006/relationships/hyperlink" Id="rId370" Target="https://doi.org/10.1136/bmj.327.7414.557" TargetMode="External" /><Relationship Type="http://schemas.openxmlformats.org/officeDocument/2006/relationships/hyperlink" Id="rId328" Target="https://doi.org/10.1136/bmj.g7594" TargetMode="External" /><Relationship Type="http://schemas.openxmlformats.org/officeDocument/2006/relationships/hyperlink" Id="rId262" Target="https://doi.org/10.1158/1078-0432.CCR-10-1282" TargetMode="External" /><Relationship Type="http://schemas.openxmlformats.org/officeDocument/2006/relationships/hyperlink" Id="rId292" Target="https://doi.org/10.1158/1078-0432.CCR-11-0926" TargetMode="External" /><Relationship Type="http://schemas.openxmlformats.org/officeDocument/2006/relationships/hyperlink" Id="rId264" Target="https://doi.org/10.1158/1078-0432.CCR-12-0286" TargetMode="External" /><Relationship Type="http://schemas.openxmlformats.org/officeDocument/2006/relationships/hyperlink" Id="rId294" Target="https://doi.org/10.1158/1078-0432.CCR-13-0804" TargetMode="External" /><Relationship Type="http://schemas.openxmlformats.org/officeDocument/2006/relationships/hyperlink" Id="rId366" Target="https://doi.org/10.1177/0272989X06295361" TargetMode="External" /><Relationship Type="http://schemas.openxmlformats.org/officeDocument/2006/relationships/hyperlink" Id="rId330" Target="https://doi.org/10.1186/1471-2288-13-33" TargetMode="External" /><Relationship Type="http://schemas.openxmlformats.org/officeDocument/2006/relationships/hyperlink" Id="rId314" Target="https://doi.org/10.1186/1471-2407-11-143" TargetMode="External" /><Relationship Type="http://schemas.openxmlformats.org/officeDocument/2006/relationships/hyperlink" Id="rId316" Target="https://doi.org/10.1186/bcr1325" TargetMode="External" /><Relationship Type="http://schemas.openxmlformats.org/officeDocument/2006/relationships/hyperlink" Id="rId336" Target="https://doi.org/10.1186/gb-2010-11-3-r25" TargetMode="External" /><Relationship Type="http://schemas.openxmlformats.org/officeDocument/2006/relationships/hyperlink" Id="rId384" Target="https://doi.org/10.1186/s12916-015-0540-z" TargetMode="External" /><Relationship Type="http://schemas.openxmlformats.org/officeDocument/2006/relationships/hyperlink" Id="rId364" Target="https://doi.org/10.1186/s12916-019-1466-7" TargetMode="External" /><Relationship Type="http://schemas.openxmlformats.org/officeDocument/2006/relationships/hyperlink" Id="rId266" Target="https://doi.org/10.1186/s12920-015-0129-6" TargetMode="External" /><Relationship Type="http://schemas.openxmlformats.org/officeDocument/2006/relationships/hyperlink" Id="rId386" Target="https://doi.org/10.1186/s13058-026-02298-5" TargetMode="External" /><Relationship Type="http://schemas.openxmlformats.org/officeDocument/2006/relationships/hyperlink" Id="rId298" Target="https://doi.org/10.1186/s13059-014-0550-8" TargetMode="External" /><Relationship Type="http://schemas.openxmlformats.org/officeDocument/2006/relationships/hyperlink" Id="rId308" Target="https://doi.org/10.1186/s13073-015-0131-9" TargetMode="External" /><Relationship Type="http://schemas.openxmlformats.org/officeDocument/2006/relationships/hyperlink" Id="rId260" Target="https://doi.org/10.1200/JCO.2008.18.1370" TargetMode="External" /><Relationship Type="http://schemas.openxmlformats.org/officeDocument/2006/relationships/hyperlink" Id="rId268" Target="https://doi.org/10.1200/JCO.2009.24.4798" TargetMode="External" /><Relationship Type="http://schemas.openxmlformats.org/officeDocument/2006/relationships/hyperlink" Id="rId276" Target="https://doi.org/10.1200/JCO.22.00069" TargetMode="External" /><Relationship Type="http://schemas.openxmlformats.org/officeDocument/2006/relationships/hyperlink" Id="rId310" Target="https://doi.org/10.1200/PO.17.00135" TargetMode="External" /><Relationship Type="http://schemas.openxmlformats.org/officeDocument/2006/relationships/hyperlink" Id="rId354" Target="https://doi.org/10.1214/aos/1176344552" TargetMode="External" /><Relationship Type="http://schemas.openxmlformats.org/officeDocument/2006/relationships/hyperlink" Id="rId246" Target="https://doi.org/10.1590/0102-311X00074817" TargetMode="External" /><Relationship Type="http://schemas.openxmlformats.org/officeDocument/2006/relationships/hyperlink" Id="rId344" Target="https://doi.org/10.18637/jss.v033.i01" TargetMode="External" /><Relationship Type="http://schemas.openxmlformats.org/officeDocument/2006/relationships/hyperlink" Id="rId368" Target="https://doi.org/10.18637/jss.v036.i03" TargetMode="External" /><Relationship Type="http://schemas.openxmlformats.org/officeDocument/2006/relationships/hyperlink" Id="rId346" Target="https://doi.org/10.18637/jss.v039.i05" TargetMode="External" /><Relationship Type="http://schemas.openxmlformats.org/officeDocument/2006/relationships/hyperlink" Id="rId237" Target="https://doi.org/10.3322/caac.21660" TargetMode="External" /><Relationship Type="http://schemas.openxmlformats.org/officeDocument/2006/relationships/hyperlink" Id="rId239" Target="https://doi.org/10.3322/caac.21834" TargetMode="External" /><Relationship Type="http://schemas.openxmlformats.org/officeDocument/2006/relationships/hyperlink" Id="rId326"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2026-05-22T20:56:07Z</dcterms:created>
  <dcterms:modified xsi:type="dcterms:W3CDTF">2026-05-22T20:56:07Z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tese_references_FINAL_envio_Dr_Joao.bib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