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5.png" ContentType="image/png"/>
  <Override PartName="/word/media/rId40.png" ContentType="image/png"/>
  <Override PartName="/word/media/rId31.png" ContentType="image/png"/>
  <Override PartName="/word/media/rId66.png" ContentType="image/png"/>
  <Override PartName="/word/media/rId80.png" ContentType="image/png"/>
  <Override PartName="/word/media/rId54.png" ContentType="image/png"/>
  <Override PartName="/word/media/rId137.png" ContentType="image/png"/>
  <Override PartName="/word/media/rId133.png" ContentType="image/png"/>
  <Override PartName="/word/media/rId121.png" ContentType="image/png"/>
  <Override PartName="/word/media/rId129.png" ContentType="image/png"/>
  <Override PartName="/word/media/rId125.png" ContentType="image/png"/>
  <Override PartName="/word/media/rId143.png" ContentType="image/png"/>
  <Override PartName="/word/media/rId153.png" ContentType="image/png"/>
  <Override PartName="/word/media/rId149.png" ContentType="image/png"/>
  <Override PartName="/word/media/rId186.png" ContentType="image/png"/>
  <Override PartName="/word/media/rId190.png" ContentType="image/png"/>
  <Override PartName="/word/media/rId198.png" ContentType="image/png"/>
  <Override PartName="/word/media/rId194.png" ContentType="image/png"/>
  <Override PartName="/word/media/rId162.png" ContentType="image/png"/>
  <Override PartName="/word/media/rId172.png" ContentType="image/png"/>
  <Override PartName="/word/media/rId111.png" ContentType="image/png"/>
  <Override PartName="/word/media/rId214.png" ContentType="image/png"/>
  <Override PartName="/word/media/rId168.png" ContentType="image/png"/>
  <Override PartName="/word/media/rId202.png" ContentType="image/png"/>
  <Override PartName="/word/media/rId115.png" ContentType="image/png"/>
  <Override PartName="/word/media/rId179.png" ContentType="image/png"/>
  <Override PartName="/word/media/rId208.png" ContentType="image/png"/>
  <Override PartName="/word/media/rId102.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PAM50, centroides moleculares e a pergunta do CorePAM</w:t>
      </w:r>
      <w:r>
        <w:tab/>
        <w:t xml:space="preserve">21</w:t>
      </w:r>
    </w:p>
    <w:p>
      <w:pPr>
        <w:tabs>
          <w:tab w:val="right" w:leader="dot" w:pos="8640"/>
        </w:tabs>
        <w:spacing w:after="0" w:line="360" w:lineRule="auto"/>
        <w:ind w:left="0" w:right="0"/>
      </w:pPr>
      <w:r>
        <w:t xml:space="preserve">Figura 2 – Subtipos intrínsecos e correlatos clínicos do câncer de mama</w:t>
      </w:r>
      <w:r>
        <w:tab/>
        <w:t xml:space="preserve">23</w:t>
      </w:r>
    </w:p>
    <w:p>
      <w:pPr>
        <w:tabs>
          <w:tab w:val="right" w:leader="dot" w:pos="8640"/>
        </w:tabs>
        <w:spacing w:after="0" w:line="360" w:lineRule="auto"/>
        <w:ind w:left="0" w:right="0"/>
      </w:pPr>
      <w:r>
        <w:t xml:space="preserve">Figura 3 – Linha do tempo das assinaturas gênicas em câncer de mama</w:t>
      </w:r>
      <w:r>
        <w:tab/>
        <w:t xml:space="preserve">25</w:t>
      </w:r>
    </w:p>
    <w:p>
      <w:pPr>
        <w:tabs>
          <w:tab w:val="right" w:leader="dot" w:pos="8640"/>
        </w:tabs>
        <w:spacing w:after="0" w:line="360" w:lineRule="auto"/>
        <w:ind w:left="0" w:right="0"/>
      </w:pPr>
      <w:r>
        <w:t xml:space="preserve">Figura 4 – Desenho do estudo CorePAM</w:t>
      </w:r>
      <w:r>
        <w:tab/>
        <w:t xml:space="preserve">34</w:t>
      </w:r>
    </w:p>
    <w:p>
      <w:pPr>
        <w:tabs>
          <w:tab w:val="right" w:leader="dot" w:pos="8640"/>
        </w:tabs>
        <w:spacing w:after="0" w:line="360" w:lineRule="auto"/>
        <w:ind w:left="0" w:right="0"/>
      </w:pPr>
      <w:r>
        <w:t xml:space="preserve">Figura 5 – Fluxograma das coortes do estudo</w:t>
      </w:r>
      <w:r>
        <w:tab/>
        <w:t xml:space="preserve">39</w:t>
      </w:r>
    </w:p>
    <w:p>
      <w:pPr>
        <w:tabs>
          <w:tab w:val="right" w:leader="dot" w:pos="8640"/>
        </w:tabs>
        <w:spacing w:after="0" w:line="360" w:lineRule="auto"/>
        <w:ind w:left="0" w:right="0"/>
      </w:pPr>
      <w:r>
        <w:t xml:space="preserve">Figura 6 – Esquema de derivação do CorePAM</w:t>
      </w:r>
      <w:r>
        <w:tab/>
        <w:t xml:space="preserve">43</w:t>
      </w:r>
    </w:p>
    <w:p>
      <w:pPr>
        <w:tabs>
          <w:tab w:val="right" w:leader="dot" w:pos="8640"/>
        </w:tabs>
        <w:spacing w:after="0" w:line="360" w:lineRule="auto"/>
        <w:ind w:left="0" w:right="0"/>
      </w:pPr>
      <w:r>
        <w:t xml:space="preserve">Figura 7 – Fronteira de Pareto: C-index out-of-fold em função do número de genes ao longo do caminho de regularização elastic-net</w:t>
      </w:r>
      <w:r>
        <w:tab/>
        <w:t xml:space="preserve">51</w:t>
      </w:r>
    </w:p>
    <w:p>
      <w:pPr>
        <w:tabs>
          <w:tab w:val="right" w:leader="dot" w:pos="8640"/>
        </w:tabs>
        <w:spacing w:after="0" w:line="360" w:lineRule="auto"/>
        <w:ind w:left="0" w:right="0"/>
      </w:pPr>
      <w:r>
        <w:t xml:space="preserve">Figura 8 – Pesos dos 24 genes CorePAM (gráfico lollipop)</w:t>
      </w:r>
      <w:r>
        <w:tab/>
        <w:t xml:space="preserve">54</w:t>
      </w:r>
    </w:p>
    <w:p>
      <w:pPr>
        <w:tabs>
          <w:tab w:val="right" w:leader="dot" w:pos="8640"/>
        </w:tabs>
        <w:spacing w:after="0" w:line="360" w:lineRule="auto"/>
        <w:ind w:left="0" w:right="0"/>
      </w:pPr>
      <w:r>
        <w:t xml:space="preserve">Figura 9 – Estabilidade bootstrap da seleção de genes</w:t>
      </w:r>
      <w:r>
        <w:tab/>
        <w:t xml:space="preserve">56</w:t>
      </w:r>
    </w:p>
    <w:p>
      <w:pPr>
        <w:tabs>
          <w:tab w:val="right" w:leader="dot" w:pos="8640"/>
        </w:tabs>
        <w:spacing w:after="0" w:line="360" w:lineRule="auto"/>
        <w:ind w:left="0" w:right="0"/>
      </w:pPr>
      <w:r>
        <w:t xml:space="preserve">Figura 10 – Análise de sensibilidade leave-one-gene-out</w:t>
      </w:r>
      <w:r>
        <w:tab/>
        <w:t xml:space="preserve">58</w:t>
      </w:r>
    </w:p>
    <w:p>
      <w:pPr>
        <w:tabs>
          <w:tab w:val="right" w:leader="dot" w:pos="8640"/>
        </w:tabs>
        <w:spacing w:after="0" w:line="360" w:lineRule="auto"/>
        <w:ind w:left="0" w:right="0"/>
      </w:pPr>
      <w:r>
        <w:t xml:space="preserve">Figura 11 – Curvas de Kaplan-Meier nas cinco coortes (painel múltiplo)</w:t>
      </w:r>
      <w:r>
        <w:tab/>
        <w:t xml:space="preserve">61</w:t>
      </w:r>
    </w:p>
    <w:p>
      <w:pPr>
        <w:tabs>
          <w:tab w:val="right" w:leader="dot" w:pos="8640"/>
        </w:tabs>
        <w:spacing w:after="0" w:line="360" w:lineRule="auto"/>
        <w:ind w:left="0" w:right="0"/>
      </w:pPr>
      <w:r>
        <w:t xml:space="preserve">Figura 12 – Curva de Kaplan-Meier na coorte de treinamento SCAN-B</w:t>
      </w:r>
      <w:r>
        <w:tab/>
        <w:t xml:space="preserve">63</w:t>
      </w:r>
    </w:p>
    <w:p>
      <w:pPr>
        <w:tabs>
          <w:tab w:val="right" w:leader="dot" w:pos="8640"/>
        </w:tabs>
        <w:spacing w:after="0" w:line="360" w:lineRule="auto"/>
        <w:ind w:left="0" w:right="0"/>
      </w:pPr>
      <w:r>
        <w:t xml:space="preserve">Figura 13 – Curva de Kaplan-Meier na coorte TCGA-BRCA</w:t>
      </w:r>
      <w:r>
        <w:tab/>
        <w:t xml:space="preserve">64</w:t>
      </w:r>
    </w:p>
    <w:p>
      <w:pPr>
        <w:tabs>
          <w:tab w:val="right" w:leader="dot" w:pos="8640"/>
        </w:tabs>
        <w:spacing w:after="0" w:line="360" w:lineRule="auto"/>
        <w:ind w:left="0" w:right="0"/>
      </w:pPr>
      <w:r>
        <w:t xml:space="preserve">Figura 14 – Curva de Kaplan-Meier na coorte METABRIC</w:t>
      </w:r>
      <w:r>
        <w:tab/>
        <w:t xml:space="preserve">65</w:t>
      </w:r>
    </w:p>
    <w:p>
      <w:pPr>
        <w:tabs>
          <w:tab w:val="right" w:leader="dot" w:pos="8640"/>
        </w:tabs>
        <w:spacing w:after="0" w:line="360" w:lineRule="auto"/>
        <w:ind w:left="0" w:right="0"/>
      </w:pPr>
      <w:r>
        <w:t xml:space="preserve">Figura 15 – Curva de Kaplan-Meier na coorte GSE20685</w:t>
      </w:r>
      <w:r>
        <w:tab/>
        <w:t xml:space="preserve">66</w:t>
      </w:r>
    </w:p>
    <w:p>
      <w:pPr>
        <w:tabs>
          <w:tab w:val="right" w:leader="dot" w:pos="8640"/>
        </w:tabs>
        <w:spacing w:after="0" w:line="360" w:lineRule="auto"/>
        <w:ind w:left="0" w:right="0"/>
      </w:pPr>
      <w:r>
        <w:t xml:space="preserve">Figura 16 – Forest plot da meta-análise de sobrevida</w:t>
      </w:r>
      <w:r>
        <w:tab/>
        <w:t xml:space="preserve">67</w:t>
      </w:r>
    </w:p>
    <w:p>
      <w:pPr>
        <w:tabs>
          <w:tab w:val="right" w:leader="dot" w:pos="8640"/>
        </w:tabs>
        <w:spacing w:after="0" w:line="360" w:lineRule="auto"/>
        <w:ind w:left="0" w:right="0"/>
      </w:pPr>
      <w:r>
        <w:t xml:space="preserve">Figura 17 – Delta-C-index incremental do CorePAM sobre o modelo clínico CORE-A</w:t>
      </w:r>
      <w:r>
        <w:tab/>
        <w:t xml:space="preserve">70</w:t>
      </w:r>
    </w:p>
    <w:p>
      <w:pPr>
        <w:tabs>
          <w:tab w:val="right" w:leader="dot" w:pos="8640"/>
        </w:tabs>
        <w:spacing w:after="0" w:line="360" w:lineRule="auto"/>
        <w:ind w:left="0" w:right="0"/>
      </w:pPr>
      <w:r>
        <w:t xml:space="preserve">Figura 18 – Curvas de calibração em quatro coortes</w:t>
      </w:r>
      <w:r>
        <w:tab/>
        <w:t xml:space="preserve">72</w:t>
      </w:r>
    </w:p>
    <w:p>
      <w:pPr>
        <w:tabs>
          <w:tab w:val="right" w:leader="dot" w:pos="8640"/>
        </w:tabs>
        <w:spacing w:after="0" w:line="360" w:lineRule="auto"/>
        <w:ind w:left="0" w:right="0"/>
      </w:pPr>
      <w:r>
        <w:t xml:space="preserve">Figura 19 – Correlação entre escores por coorte</w:t>
      </w:r>
      <w:r>
        <w:tab/>
        <w:t xml:space="preserve">74</w:t>
      </w:r>
    </w:p>
    <w:p>
      <w:pPr>
        <w:tabs>
          <w:tab w:val="right" w:leader="dot" w:pos="8640"/>
        </w:tabs>
        <w:spacing w:after="0" w:line="360" w:lineRule="auto"/>
        <w:ind w:left="0" w:right="0"/>
      </w:pPr>
      <w:r>
        <w:t xml:space="preserve">Figura 20 – Análise de curva de decisão (DCA) — quatro coortes de sobrevida</w:t>
      </w:r>
      <w:r>
        <w:tab/>
        <w:t xml:space="preserve">77</w:t>
      </w:r>
    </w:p>
    <w:p>
      <w:pPr>
        <w:tabs>
          <w:tab w:val="right" w:leader="dot" w:pos="8640"/>
        </w:tabs>
        <w:spacing w:after="0" w:line="360" w:lineRule="auto"/>
        <w:ind w:left="0" w:right="0"/>
      </w:pPr>
      <w:r>
        <w:t xml:space="preserve">Figura 21 – PCA forense da matriz de expressão METABRIC</w:t>
      </w:r>
      <w:r>
        <w:tab/>
        <w:t xml:space="preserve">79</w:t>
      </w:r>
    </w:p>
    <w:p>
      <w:pPr>
        <w:tabs>
          <w:tab w:val="right" w:leader="dot" w:pos="8640"/>
        </w:tabs>
        <w:spacing w:after="0" w:line="360" w:lineRule="auto"/>
        <w:ind w:left="0" w:right="0"/>
      </w:pPr>
      <w:r>
        <w:t xml:space="preserve">Figura 22 – Forest plot de subgrupos por status de receptor de estrogênio</w:t>
      </w:r>
      <w:r>
        <w:tab/>
        <w:t xml:space="preserve">81</w:t>
      </w:r>
    </w:p>
    <w:p>
      <w:pPr>
        <w:tabs>
          <w:tab w:val="right" w:leader="dot" w:pos="8640"/>
        </w:tabs>
        <w:spacing w:after="0" w:line="360" w:lineRule="auto"/>
        <w:ind w:left="0" w:right="0"/>
      </w:pPr>
      <w:r>
        <w:t xml:space="preserve">Figura 23 – Forest plot de pCR</w:t>
      </w:r>
      <w:r>
        <w:tab/>
        <w:t xml:space="preserve">83</w:t>
      </w:r>
    </w:p>
    <w:p>
      <w:pPr>
        <w:tabs>
          <w:tab w:val="right" w:leader="dot" w:pos="8640"/>
        </w:tabs>
        <w:spacing w:after="0" w:line="360" w:lineRule="auto"/>
        <w:ind w:left="0" w:right="0"/>
      </w:pPr>
      <w:r>
        <w:t xml:space="preserve">Figura 24 – Curvas ROC para predição de pCR em cada coorte neoadjuvante</w:t>
      </w:r>
      <w:r>
        <w:tab/>
        <w:t xml:space="preserve">84</w:t>
      </w:r>
    </w:p>
    <w:p>
      <w:pPr>
        <w:tabs>
          <w:tab w:val="right" w:leader="dot" w:pos="8640"/>
        </w:tabs>
        <w:spacing w:after="0" w:line="360" w:lineRule="auto"/>
        <w:ind w:left="0" w:right="0"/>
      </w:pPr>
      <w:r>
        <w:t xml:space="preserve">Figura 25 – Distribuição do escore CorePAM por status de pCR em cada coorte neoadjuvante</w:t>
      </w:r>
      <w:r>
        <w:tab/>
        <w:t xml:space="preserve">85</w:t>
      </w:r>
    </w:p>
    <w:p>
      <w:pPr>
        <w:tabs>
          <w:tab w:val="right" w:leader="dot" w:pos="8640"/>
        </w:tabs>
        <w:spacing w:after="0" w:line="360" w:lineRule="auto"/>
        <w:ind w:left="0" w:right="0"/>
      </w:pPr>
      <w:r>
        <w:t xml:space="preserve">Figura 26 – Taxa de pCR por quartil do escore CorePAM em cada coorte neoadjuvante</w:t>
      </w:r>
      <w:r>
        <w:tab/>
        <w:t xml:space="preserve">86</w:t>
      </w:r>
    </w:p>
    <w:p>
      <w:pPr>
        <w:tabs>
          <w:tab w:val="right" w:leader="dot" w:pos="8640"/>
        </w:tabs>
        <w:spacing w:after="0" w:line="360" w:lineRule="auto"/>
        <w:ind w:left="0" w:right="0"/>
      </w:pPr>
      <w:r>
        <w:t xml:space="preserve">Figura 27 – Análise de curva de decisão para predição de pCR nas quatro coortes neoadjuvantes primárias</w:t>
      </w:r>
      <w:r>
        <w:tab/>
        <w:t xml:space="preserve">87</w:t>
      </w:r>
    </w:p>
    <w:p>
      <w:pPr>
        <w:tabs>
          <w:tab w:val="right" w:leader="dot" w:pos="8640"/>
        </w:tabs>
        <w:spacing w:after="0" w:line="360" w:lineRule="auto"/>
        <w:ind w:left="0" w:right="0"/>
      </w:pPr>
      <w:r>
        <w:t xml:space="preserve">Figura 28 – Comparação head-to-head CorePAM vs PAM50-full penalizado por coorte e modo de pontuação</w:t>
      </w:r>
      <w:r>
        <w:tab/>
        <w:t xml:space="preserve">89</w:t>
      </w:r>
    </w:p>
    <w:p>
      <w:pPr>
        <w:tabs>
          <w:tab w:val="right" w:leader="dot" w:pos="8640"/>
        </w:tabs>
        <w:spacing w:after="0" w:line="360" w:lineRule="auto"/>
        <w:ind w:left="0" w:right="0"/>
      </w:pPr>
      <w:r>
        <w:t xml:space="preserve">Figura 29 – Comparação de C-index: CorePAM vs ROR-S vs OncotypeDX-RS por coorte</w:t>
      </w:r>
      <w:r>
        <w:tab/>
        <w:t xml:space="preserve">91</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Mapa dos blocos de coortes e das perguntas metodológicas do estudo</w:t>
      </w:r>
      <w:r>
        <w:tab/>
        <w:t xml:space="preserve">28</w:t>
      </w:r>
    </w:p>
    <w:p>
      <w:pPr>
        <w:tabs>
          <w:tab w:val="right" w:leader="dot" w:pos="8640"/>
        </w:tabs>
        <w:spacing w:after="0" w:line="360" w:lineRule="auto"/>
        <w:ind w:left="0" w:right="0"/>
      </w:pPr>
      <w:r>
        <w:t xml:space="preserve">Tabela 2 – Papel de cada coorte na construção e validação do CorePAM</w:t>
      </w:r>
      <w:r>
        <w:tab/>
        <w:t xml:space="preserve">29</w:t>
      </w:r>
    </w:p>
    <w:p>
      <w:pPr>
        <w:tabs>
          <w:tab w:val="right" w:leader="dot" w:pos="8640"/>
        </w:tabs>
        <w:spacing w:after="0" w:line="360" w:lineRule="auto"/>
        <w:ind w:left="0" w:right="0"/>
      </w:pPr>
      <w:r>
        <w:t xml:space="preserve">Tabela 3 – Características das coortes de sobrevida</w:t>
      </w:r>
      <w:r>
        <w:tab/>
        <w:t xml:space="preserve">38</w:t>
      </w:r>
    </w:p>
    <w:p>
      <w:pPr>
        <w:tabs>
          <w:tab w:val="right" w:leader="dot" w:pos="8640"/>
        </w:tabs>
        <w:spacing w:after="0" w:line="360" w:lineRule="auto"/>
        <w:ind w:left="0" w:right="0"/>
      </w:pPr>
      <w:r>
        <w:t xml:space="preserve">Tabela 4 – Características das coortes neoadjuvantes (pCR)</w:t>
      </w:r>
      <w:r>
        <w:tab/>
        <w:t xml:space="preserve">39</w:t>
      </w:r>
    </w:p>
    <w:p>
      <w:pPr>
        <w:tabs>
          <w:tab w:val="right" w:leader="dot" w:pos="8640"/>
        </w:tabs>
        <w:spacing w:after="0" w:line="360" w:lineRule="auto"/>
        <w:ind w:left="0" w:right="0"/>
      </w:pPr>
      <w:r>
        <w:t xml:space="preserve">Tabela 5 – Parâmetros analíticos congelados antes da análise</w:t>
      </w:r>
      <w:r>
        <w:tab/>
        <w:t xml:space="preserve">40</w:t>
      </w:r>
    </w:p>
    <w:p>
      <w:pPr>
        <w:tabs>
          <w:tab w:val="right" w:leader="dot" w:pos="8640"/>
        </w:tabs>
        <w:spacing w:after="0" w:line="360" w:lineRule="auto"/>
        <w:ind w:left="0" w:right="0"/>
      </w:pPr>
      <w:r>
        <w:t xml:space="preserve">Tabela 6 – Cobertura de genes CorePAM por coorte de validação</w:t>
      </w:r>
      <w:r>
        <w:tab/>
        <w:t xml:space="preserve">42</w:t>
      </w:r>
    </w:p>
    <w:p>
      <w:pPr>
        <w:tabs>
          <w:tab w:val="right" w:leader="dot" w:pos="8640"/>
        </w:tabs>
        <w:spacing w:after="0" w:line="360" w:lineRule="auto"/>
        <w:ind w:left="0" w:right="0"/>
      </w:pPr>
      <w:r>
        <w:t xml:space="preserve">Tabela 7 – Lista completa dos 24 genes CorePAM com pesos elastic-net</w:t>
      </w:r>
      <w:r>
        <w:tab/>
        <w:t xml:space="preserve">53</w:t>
      </w:r>
    </w:p>
    <w:p>
      <w:pPr>
        <w:tabs>
          <w:tab w:val="right" w:leader="dot" w:pos="8640"/>
        </w:tabs>
        <w:spacing w:after="0" w:line="360" w:lineRule="auto"/>
        <w:ind w:left="0" w:right="0"/>
      </w:pPr>
      <w:r>
        <w:t xml:space="preserve">Tabela 8 – Desempenho prognóstico do CorePAM por coorte</w:t>
      </w:r>
      <w:r>
        <w:tab/>
        <w:t xml:space="preserve">59</w:t>
      </w:r>
    </w:p>
    <w:p>
      <w:pPr>
        <w:tabs>
          <w:tab w:val="right" w:leader="dot" w:pos="8640"/>
        </w:tabs>
        <w:spacing w:after="0" w:line="360" w:lineRule="auto"/>
        <w:ind w:left="0" w:right="0"/>
      </w:pPr>
      <w:r>
        <w:t xml:space="preserve">Tabela 9 – Meta-análise de efeitos aleatórios — sobrevida (K = 4)</w:t>
      </w:r>
      <w:r>
        <w:tab/>
        <w:t xml:space="preserve">67</w:t>
      </w:r>
    </w:p>
    <w:p>
      <w:pPr>
        <w:tabs>
          <w:tab w:val="right" w:leader="dot" w:pos="8640"/>
        </w:tabs>
        <w:spacing w:after="0" w:line="360" w:lineRule="auto"/>
        <w:ind w:left="0" w:right="0"/>
      </w:pPr>
      <w:r>
        <w:t xml:space="preserve">Tabela 10 – C-index incremental do CorePAM sobre o modelo CORE-A</w:t>
      </w:r>
      <w:r>
        <w:tab/>
        <w:t xml:space="preserve">69</w:t>
      </w:r>
    </w:p>
    <w:p>
      <w:pPr>
        <w:tabs>
          <w:tab w:val="right" w:leader="dot" w:pos="8640"/>
        </w:tabs>
        <w:spacing w:after="0" w:line="360" w:lineRule="auto"/>
        <w:ind w:left="0" w:right="0"/>
      </w:pPr>
      <w:r>
        <w:t xml:space="preserve">Tabela 11 – Modelo clínico expandido com estadiamento anatômico</w:t>
      </w:r>
      <w:r>
        <w:tab/>
        <w:t xml:space="preserve">73</w:t>
      </w:r>
    </w:p>
    <w:p>
      <w:pPr>
        <w:tabs>
          <w:tab w:val="right" w:leader="dot" w:pos="8640"/>
        </w:tabs>
        <w:spacing w:after="0" w:line="360" w:lineRule="auto"/>
        <w:ind w:left="0" w:right="0"/>
      </w:pPr>
      <w:r>
        <w:t xml:space="preserve">Tabela 12 – Modelo clínico completo (6 variáveis) com e sem CorePAM</w:t>
      </w:r>
      <w:r>
        <w:tab/>
        <w:t xml:space="preserve">73</w:t>
      </w:r>
    </w:p>
    <w:p>
      <w:pPr>
        <w:tabs>
          <w:tab w:val="right" w:leader="dot" w:pos="8640"/>
        </w:tabs>
        <w:spacing w:after="0" w:line="360" w:lineRule="auto"/>
        <w:ind w:left="0" w:right="0"/>
      </w:pPr>
      <w:r>
        <w:t xml:space="preserve">Tabela 13 – Análise de sensibilidade do z-score congelado</w:t>
      </w:r>
      <w:r>
        <w:tab/>
        <w:t xml:space="preserve">73</w:t>
      </w:r>
    </w:p>
    <w:p>
      <w:pPr>
        <w:tabs>
          <w:tab w:val="right" w:leader="dot" w:pos="8640"/>
        </w:tabs>
        <w:spacing w:after="0" w:line="360" w:lineRule="auto"/>
        <w:ind w:left="0" w:right="0"/>
      </w:pPr>
      <w:r>
        <w:t xml:space="preserve">Tabela 14 – Estatística C de Uno e AUC tempo-dependente</w:t>
      </w:r>
      <w:r>
        <w:tab/>
        <w:t xml:space="preserve">76</w:t>
      </w:r>
    </w:p>
    <w:p>
      <w:pPr>
        <w:tabs>
          <w:tab w:val="right" w:leader="dot" w:pos="8640"/>
        </w:tabs>
        <w:spacing w:after="0" w:line="360" w:lineRule="auto"/>
        <w:ind w:left="0" w:right="0"/>
      </w:pPr>
      <w:r>
        <w:t xml:space="preserve">Tabela 15 – Calibração formal por coorte</w:t>
      </w:r>
      <w:r>
        <w:tab/>
        <w:t xml:space="preserve">76</w:t>
      </w:r>
    </w:p>
    <w:p>
      <w:pPr>
        <w:tabs>
          <w:tab w:val="right" w:leader="dot" w:pos="8640"/>
        </w:tabs>
        <w:spacing w:after="0" w:line="360" w:lineRule="auto"/>
        <w:ind w:left="0" w:right="0"/>
      </w:pPr>
      <w:r>
        <w:t xml:space="preserve">Tabela 16 – Análise de subgrupo por status de RE</w:t>
      </w:r>
      <w:r>
        <w:tab/>
        <w:t xml:space="preserve">80</w:t>
      </w:r>
    </w:p>
    <w:p>
      <w:pPr>
        <w:tabs>
          <w:tab w:val="right" w:leader="dot" w:pos="8640"/>
        </w:tabs>
        <w:spacing w:after="0" w:line="360" w:lineRule="auto"/>
        <w:ind w:left="0" w:right="0"/>
      </w:pPr>
      <w:r>
        <w:t xml:space="preserve">Tabela 17 – Predição de pCR por coorte neoadjuvante</w:t>
      </w:r>
      <w:r>
        <w:tab/>
        <w:t xml:space="preserve">82</w:t>
      </w:r>
    </w:p>
    <w:p>
      <w:pPr>
        <w:tabs>
          <w:tab w:val="right" w:leader="dot" w:pos="8640"/>
        </w:tabs>
        <w:spacing w:after="0" w:line="360" w:lineRule="auto"/>
        <w:ind w:left="0" w:right="0"/>
      </w:pPr>
      <w:r>
        <w:t xml:space="preserve">Tabela 18 – Comparação head-to-head: CorePAM vs comparador PAM50-full elastic-net com 49 coeficientes não-zero</w:t>
      </w:r>
      <w:r>
        <w:tab/>
        <w:t xml:space="preserve">88</w:t>
      </w:r>
    </w:p>
    <w:p>
      <w:pPr>
        <w:tabs>
          <w:tab w:val="right" w:leader="dot" w:pos="8640"/>
        </w:tabs>
        <w:spacing w:after="0" w:line="360" w:lineRule="auto"/>
        <w:ind w:left="0" w:right="0"/>
      </w:pPr>
      <w:r>
        <w:t xml:space="preserve">Tabela 19 – Comparação com ROR-S e OncotypeDX-RS</w:t>
      </w:r>
      <w:r>
        <w:tab/>
        <w:t xml:space="preserve">90</w:t>
      </w:r>
    </w:p>
    <w:p>
      <w:pPr>
        <w:tabs>
          <w:tab w:val="right" w:leader="dot" w:pos="8640"/>
        </w:tabs>
        <w:spacing w:after="0" w:line="360" w:lineRule="auto"/>
        <w:ind w:left="0" w:right="0"/>
      </w:pPr>
      <w:r>
        <w:t xml:space="preserve">Tabela 20 – Organização do pipeline computacional por blocos</w:t>
      </w:r>
      <w:r>
        <w:tab/>
        <w:t xml:space="preserve">115</w:t>
      </w:r>
    </w:p>
    <w:p>
      <w:pPr>
        <w:tabs>
          <w:tab w:val="right" w:leader="dot" w:pos="8640"/>
        </w:tabs>
        <w:spacing w:after="0" w:line="360" w:lineRule="auto"/>
        <w:ind w:left="0" w:right="0"/>
      </w:pPr>
      <w:r>
        <w:t xml:space="preserve">Tabela 21 – Lista completa dos scripts do pipeline</w:t>
      </w:r>
      <w:r>
        <w:tab/>
        <w:t xml:space="preserve">115</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19</w:t>
      </w:r>
    </w:p>
    <w:p>
      <w:pPr>
        <w:tabs>
          <w:tab w:val="right" w:leader="dot" w:pos="8640"/>
        </w:tabs>
        <w:spacing w:after="0" w:line="360" w:lineRule="auto"/>
        <w:ind w:left="360" w:right="0"/>
      </w:pPr>
      <w:r>
        <w:t xml:space="preserve">1.1 Epidemiologia e carga global da doença</w:t>
      </w:r>
      <w:r>
        <w:tab/>
        <w:t xml:space="preserve">19</w:t>
      </w:r>
    </w:p>
    <w:p>
      <w:pPr>
        <w:tabs>
          <w:tab w:val="right" w:leader="dot" w:pos="8640"/>
        </w:tabs>
        <w:spacing w:after="0" w:line="360" w:lineRule="auto"/>
        <w:ind w:left="360" w:right="0"/>
      </w:pPr>
      <w:r>
        <w:t xml:space="preserve">1.2 Heterogeneidade tumoral e justificativa da estratificação molecular</w:t>
      </w:r>
      <w:r>
        <w:tab/>
        <w:t xml:space="preserve">19</w:t>
      </w:r>
    </w:p>
    <w:p>
      <w:pPr>
        <w:tabs>
          <w:tab w:val="right" w:leader="dot" w:pos="8640"/>
        </w:tabs>
        <w:spacing w:after="0" w:line="360" w:lineRule="auto"/>
        <w:ind w:left="360" w:right="0"/>
      </w:pPr>
      <w:r>
        <w:t xml:space="preserve">1.3 Subtipos moleculares intrínsecos e o PAM50</w:t>
      </w:r>
      <w:r>
        <w:tab/>
        <w:t xml:space="preserve">20</w:t>
      </w:r>
    </w:p>
    <w:p>
      <w:pPr>
        <w:tabs>
          <w:tab w:val="right" w:leader="dot" w:pos="8640"/>
        </w:tabs>
        <w:spacing w:after="0" w:line="360" w:lineRule="auto"/>
        <w:ind w:left="360" w:right="0"/>
      </w:pPr>
      <w:r>
        <w:t xml:space="preserve">1.4 Assinaturas gênicas: panorama atual e evidência clínica</w:t>
      </w:r>
      <w:r>
        <w:tab/>
        <w:t xml:space="preserve">24</w:t>
      </w:r>
    </w:p>
    <w:p>
      <w:pPr>
        <w:tabs>
          <w:tab w:val="right" w:leader="dot" w:pos="8640"/>
        </w:tabs>
        <w:spacing w:after="0" w:line="360" w:lineRule="auto"/>
        <w:ind w:left="360" w:right="0"/>
      </w:pPr>
      <w:r>
        <w:t xml:space="preserve">1.5 Assinaturas gênicas, plataformas e transportabilidade</w:t>
      </w:r>
      <w:r>
        <w:tab/>
        <w:t xml:space="preserve">25</w:t>
      </w:r>
    </w:p>
    <w:p>
      <w:pPr>
        <w:tabs>
          <w:tab w:val="right" w:leader="dot" w:pos="8640"/>
        </w:tabs>
        <w:spacing w:after="0" w:line="360" w:lineRule="auto"/>
        <w:ind w:left="360" w:right="0"/>
      </w:pPr>
      <w:r>
        <w:t xml:space="preserve">1.6 Coortes públicas de câncer de mama</w:t>
      </w:r>
      <w:r>
        <w:tab/>
        <w:t xml:space="preserve">28</w:t>
      </w:r>
    </w:p>
    <w:p>
      <w:pPr>
        <w:tabs>
          <w:tab w:val="right" w:leader="dot" w:pos="8640"/>
        </w:tabs>
        <w:spacing w:after="0" w:line="360" w:lineRule="auto"/>
        <w:ind w:left="360" w:right="0"/>
      </w:pPr>
      <w:r>
        <w:t xml:space="preserve">1.7 A pergunta central</w:t>
      </w:r>
      <w:r>
        <w:tab/>
        <w:t xml:space="preserve">30</w:t>
      </w:r>
    </w:p>
    <w:p>
      <w:pPr>
        <w:tabs>
          <w:tab w:val="right" w:leader="dot" w:pos="8640"/>
        </w:tabs>
        <w:spacing w:after="0" w:line="360" w:lineRule="auto"/>
        <w:ind w:left="0" w:right="0"/>
      </w:pPr>
      <w:r>
        <w:t xml:space="preserve">2. OBJETIVOS</w:t>
      </w:r>
      <w:r>
        <w:tab/>
        <w:t xml:space="preserve">32</w:t>
      </w:r>
    </w:p>
    <w:p>
      <w:pPr>
        <w:tabs>
          <w:tab w:val="right" w:leader="dot" w:pos="8640"/>
        </w:tabs>
        <w:spacing w:after="0" w:line="360" w:lineRule="auto"/>
        <w:ind w:left="360" w:right="0"/>
      </w:pPr>
      <w:r>
        <w:t xml:space="preserve">2.1 Objetivo geral</w:t>
      </w:r>
      <w:r>
        <w:tab/>
        <w:t xml:space="preserve">32</w:t>
      </w:r>
    </w:p>
    <w:p>
      <w:pPr>
        <w:tabs>
          <w:tab w:val="right" w:leader="dot" w:pos="8640"/>
        </w:tabs>
        <w:spacing w:after="0" w:line="360" w:lineRule="auto"/>
        <w:ind w:left="360" w:right="0"/>
      </w:pPr>
      <w:r>
        <w:t xml:space="preserve">2.2 Objetivos específicos</w:t>
      </w:r>
      <w:r>
        <w:tab/>
        <w:t xml:space="preserve">32</w:t>
      </w:r>
    </w:p>
    <w:p>
      <w:pPr>
        <w:tabs>
          <w:tab w:val="right" w:leader="dot" w:pos="8640"/>
        </w:tabs>
        <w:spacing w:after="0" w:line="360" w:lineRule="auto"/>
        <w:ind w:left="0" w:right="0"/>
      </w:pPr>
      <w:r>
        <w:t xml:space="preserve">3. MÉTODO</w:t>
      </w:r>
      <w:r>
        <w:tab/>
        <w:t xml:space="preserve">33</w:t>
      </w:r>
    </w:p>
    <w:p>
      <w:pPr>
        <w:tabs>
          <w:tab w:val="right" w:leader="dot" w:pos="8640"/>
        </w:tabs>
        <w:spacing w:after="0" w:line="360" w:lineRule="auto"/>
        <w:ind w:left="360" w:right="0"/>
      </w:pPr>
      <w:r>
        <w:t xml:space="preserve">3.1 Delineamento do estudo e aspectos éticos</w:t>
      </w:r>
      <w:r>
        <w:tab/>
        <w:t xml:space="preserve">33</w:t>
      </w:r>
    </w:p>
    <w:p>
      <w:pPr>
        <w:tabs>
          <w:tab w:val="right" w:leader="dot" w:pos="8640"/>
        </w:tabs>
        <w:spacing w:after="0" w:line="360" w:lineRule="auto"/>
        <w:ind w:left="720" w:right="0"/>
      </w:pPr>
      <w:r>
        <w:t xml:space="preserve">3.1.1 Tipo de estudo</w:t>
      </w:r>
      <w:r>
        <w:tab/>
        <w:t xml:space="preserve">33</w:t>
      </w:r>
    </w:p>
    <w:p>
      <w:pPr>
        <w:tabs>
          <w:tab w:val="right" w:leader="dot" w:pos="8640"/>
        </w:tabs>
        <w:spacing w:after="0" w:line="360" w:lineRule="auto"/>
        <w:ind w:left="720" w:right="0"/>
      </w:pPr>
      <w:r>
        <w:t xml:space="preserve">3.1.2 Aspectos éticos</w:t>
      </w:r>
      <w:r>
        <w:tab/>
        <w:t xml:space="preserve">36</w:t>
      </w:r>
    </w:p>
    <w:p>
      <w:pPr>
        <w:tabs>
          <w:tab w:val="right" w:leader="dot" w:pos="8640"/>
        </w:tabs>
        <w:spacing w:after="0" w:line="360" w:lineRule="auto"/>
        <w:ind w:left="720" w:right="0"/>
      </w:pPr>
      <w:r>
        <w:t xml:space="preserve">3.1.3 Princípios de validação externa</w:t>
      </w:r>
      <w:r>
        <w:tab/>
        <w:t xml:space="preserve">36</w:t>
      </w:r>
    </w:p>
    <w:p>
      <w:pPr>
        <w:tabs>
          <w:tab w:val="right" w:leader="dot" w:pos="8640"/>
        </w:tabs>
        <w:spacing w:after="0" w:line="360" w:lineRule="auto"/>
        <w:ind w:left="720" w:right="0"/>
      </w:pPr>
      <w:r>
        <w:t xml:space="preserve">3.1.4 Disponibilidade de dados e código</w:t>
      </w:r>
      <w:r>
        <w:tab/>
        <w:t xml:space="preserve">36</w:t>
      </w:r>
    </w:p>
    <w:p>
      <w:pPr>
        <w:tabs>
          <w:tab w:val="right" w:leader="dot" w:pos="8640"/>
        </w:tabs>
        <w:spacing w:after="0" w:line="360" w:lineRule="auto"/>
        <w:ind w:left="720" w:right="0"/>
      </w:pPr>
      <w:r>
        <w:t xml:space="preserve">3.1.5 Uso de modelos de linguagem de grande escala</w:t>
      </w:r>
      <w:r>
        <w:tab/>
        <w:t xml:space="preserve">37</w:t>
      </w:r>
    </w:p>
    <w:p>
      <w:pPr>
        <w:tabs>
          <w:tab w:val="right" w:leader="dot" w:pos="8640"/>
        </w:tabs>
        <w:spacing w:after="0" w:line="360" w:lineRule="auto"/>
        <w:ind w:left="360" w:right="0"/>
      </w:pPr>
      <w:r>
        <w:t xml:space="preserve">3.2 Coortes do estudo</w:t>
      </w:r>
      <w:r>
        <w:tab/>
        <w:t xml:space="preserve">37</w:t>
      </w:r>
    </w:p>
    <w:p>
      <w:pPr>
        <w:tabs>
          <w:tab w:val="right" w:leader="dot" w:pos="8640"/>
        </w:tabs>
        <w:spacing w:after="0" w:line="360" w:lineRule="auto"/>
        <w:ind w:left="360" w:right="0"/>
      </w:pPr>
      <w:r>
        <w:t xml:space="preserve">3.3 Congelamento analítico (analytical freeze)</w:t>
      </w:r>
      <w:r>
        <w:tab/>
        <w:t xml:space="preserve">40</w:t>
      </w:r>
    </w:p>
    <w:p>
      <w:pPr>
        <w:tabs>
          <w:tab w:val="right" w:leader="dot" w:pos="8640"/>
        </w:tabs>
        <w:spacing w:after="0" w:line="360" w:lineRule="auto"/>
        <w:ind w:left="720" w:right="0"/>
      </w:pPr>
      <w:r>
        <w:t xml:space="preserve">3.3.1 Margem de não inferioridade (Delta-C-index = 0,010)</w:t>
      </w:r>
      <w:r>
        <w:tab/>
        <w:t xml:space="preserve">40</w:t>
      </w:r>
    </w:p>
    <w:p>
      <w:pPr>
        <w:tabs>
          <w:tab w:val="right" w:leader="dot" w:pos="8640"/>
        </w:tabs>
        <w:spacing w:after="0" w:line="360" w:lineRule="auto"/>
        <w:ind w:left="720" w:right="0"/>
      </w:pPr>
      <w:r>
        <w:t xml:space="preserve">3.3.2 Atribuição determinística de folds (SHA-256)</w:t>
      </w:r>
      <w:r>
        <w:tab/>
        <w:t xml:space="preserve">41</w:t>
      </w:r>
    </w:p>
    <w:p>
      <w:pPr>
        <w:tabs>
          <w:tab w:val="right" w:leader="dot" w:pos="8640"/>
        </w:tabs>
        <w:spacing w:after="0" w:line="360" w:lineRule="auto"/>
        <w:ind w:left="720" w:right="0"/>
      </w:pPr>
      <w:r>
        <w:t xml:space="preserve">3.3.3 Estratificação por evento</w:t>
      </w:r>
      <w:r>
        <w:tab/>
        <w:t xml:space="preserve">41</w:t>
      </w:r>
    </w:p>
    <w:p>
      <w:pPr>
        <w:tabs>
          <w:tab w:val="right" w:leader="dot" w:pos="8640"/>
        </w:tabs>
        <w:spacing w:after="0" w:line="360" w:lineRule="auto"/>
        <w:ind w:left="360" w:right="0"/>
      </w:pPr>
      <w:r>
        <w:t xml:space="preserve">3.4 Pré-processamento de expressão gênica</w:t>
      </w:r>
      <w:r>
        <w:tab/>
        <w:t xml:space="preserve">42</w:t>
      </w:r>
    </w:p>
    <w:p>
      <w:pPr>
        <w:tabs>
          <w:tab w:val="right" w:leader="dot" w:pos="8640"/>
        </w:tabs>
        <w:spacing w:after="0" w:line="360" w:lineRule="auto"/>
        <w:ind w:left="720" w:right="0"/>
      </w:pPr>
      <w:r>
        <w:t xml:space="preserve">3.4.1 Coortes RNA-seq (SCAN-B, TCGA-BRCA)</w:t>
      </w:r>
      <w:r>
        <w:tab/>
        <w:t xml:space="preserve">42</w:t>
      </w:r>
    </w:p>
    <w:p>
      <w:pPr>
        <w:tabs>
          <w:tab w:val="right" w:leader="dot" w:pos="8640"/>
        </w:tabs>
        <w:spacing w:after="0" w:line="360" w:lineRule="auto"/>
        <w:ind w:left="720" w:right="0"/>
      </w:pPr>
      <w:r>
        <w:t xml:space="preserve">3.4.2 Coortes microarray (METABRIC, GSE20685, GSE1456, GSE25066, GSE20194, GSE32646, I-SPY1)</w:t>
      </w:r>
      <w:r>
        <w:tab/>
        <w:t xml:space="preserve">42</w:t>
      </w:r>
    </w:p>
    <w:p>
      <w:pPr>
        <w:tabs>
          <w:tab w:val="right" w:leader="dot" w:pos="8640"/>
        </w:tabs>
        <w:spacing w:after="0" w:line="360" w:lineRule="auto"/>
        <w:ind w:left="360" w:right="0"/>
      </w:pPr>
      <w:r>
        <w:t xml:space="preserve">3.5 Derivação do CorePAM</w:t>
      </w:r>
      <w:r>
        <w:tab/>
        <w:t xml:space="preserve">43</w:t>
      </w:r>
    </w:p>
    <w:p>
      <w:pPr>
        <w:tabs>
          <w:tab w:val="right" w:leader="dot" w:pos="8640"/>
        </w:tabs>
        <w:spacing w:after="0" w:line="360" w:lineRule="auto"/>
        <w:ind w:left="720" w:right="0"/>
      </w:pPr>
      <w:r>
        <w:t xml:space="preserve">3.5.1 Regressão de Cox elastic-net: justificativa e parâmetros</w:t>
      </w:r>
      <w:r>
        <w:tab/>
        <w:t xml:space="preserve">44</w:t>
      </w:r>
    </w:p>
    <w:p>
      <w:pPr>
        <w:tabs>
          <w:tab w:val="right" w:leader="dot" w:pos="8640"/>
        </w:tabs>
        <w:spacing w:after="0" w:line="360" w:lineRule="auto"/>
        <w:ind w:left="720" w:right="0"/>
      </w:pPr>
      <w:r>
        <w:t xml:space="preserve">3.5.2 Validação cruzada out-of-fold</w:t>
      </w:r>
      <w:r>
        <w:tab/>
        <w:t xml:space="preserve">45</w:t>
      </w:r>
    </w:p>
    <w:p>
      <w:pPr>
        <w:tabs>
          <w:tab w:val="right" w:leader="dot" w:pos="8640"/>
        </w:tabs>
        <w:spacing w:after="0" w:line="360" w:lineRule="auto"/>
        <w:ind w:left="720" w:right="0"/>
      </w:pPr>
      <w:r>
        <w:t xml:space="preserve">3.5.3 Critério de seleção: não inferioridade e fronteira de Pareto</w:t>
      </w:r>
      <w:r>
        <w:tab/>
        <w:t xml:space="preserve">45</w:t>
      </w:r>
    </w:p>
    <w:p>
      <w:pPr>
        <w:tabs>
          <w:tab w:val="right" w:leader="dot" w:pos="8640"/>
        </w:tabs>
        <w:spacing w:after="0" w:line="360" w:lineRule="auto"/>
        <w:ind w:left="720" w:right="0"/>
      </w:pPr>
      <w:r>
        <w:t xml:space="preserve">3.5.4 Análises de estabilidade da seleção</w:t>
      </w:r>
      <w:r>
        <w:tab/>
        <w:t xml:space="preserve">45</w:t>
      </w:r>
    </w:p>
    <w:p>
      <w:pPr>
        <w:tabs>
          <w:tab w:val="right" w:leader="dot" w:pos="8640"/>
        </w:tabs>
        <w:spacing w:after="0" w:line="360" w:lineRule="auto"/>
        <w:ind w:left="360" w:right="0"/>
      </w:pPr>
      <w:r>
        <w:t xml:space="preserve">3.6 Cálculo do escore</w:t>
      </w:r>
      <w:r>
        <w:tab/>
        <w:t xml:space="preserve">46</w:t>
      </w:r>
    </w:p>
    <w:p>
      <w:pPr>
        <w:tabs>
          <w:tab w:val="right" w:leader="dot" w:pos="8640"/>
        </w:tabs>
        <w:spacing w:after="0" w:line="360" w:lineRule="auto"/>
        <w:ind w:left="720" w:right="0"/>
      </w:pPr>
      <w:r>
        <w:t xml:space="preserve">3.6.1 Pontuação congelada (single-sample scoring)</w:t>
      </w:r>
      <w:r>
        <w:tab/>
        <w:t xml:space="preserve">46</w:t>
      </w:r>
    </w:p>
    <w:p>
      <w:pPr>
        <w:tabs>
          <w:tab w:val="right" w:leader="dot" w:pos="8640"/>
        </w:tabs>
        <w:spacing w:after="0" w:line="360" w:lineRule="auto"/>
        <w:ind w:left="360" w:right="0"/>
      </w:pPr>
      <w:r>
        <w:t xml:space="preserve">3.7 Análise de sobrevida</w:t>
      </w:r>
      <w:r>
        <w:tab/>
        <w:t xml:space="preserve">47</w:t>
      </w:r>
    </w:p>
    <w:p>
      <w:pPr>
        <w:tabs>
          <w:tab w:val="right" w:leader="dot" w:pos="8640"/>
        </w:tabs>
        <w:spacing w:after="0" w:line="360" w:lineRule="auto"/>
        <w:ind w:left="720" w:right="0"/>
      </w:pPr>
      <w:r>
        <w:t xml:space="preserve">3.7.1 Modelos de Cox</w:t>
      </w:r>
      <w:r>
        <w:tab/>
        <w:t xml:space="preserve">47</w:t>
      </w:r>
    </w:p>
    <w:p>
      <w:pPr>
        <w:tabs>
          <w:tab w:val="right" w:leader="dot" w:pos="8640"/>
        </w:tabs>
        <w:spacing w:after="0" w:line="360" w:lineRule="auto"/>
        <w:ind w:left="720" w:right="0"/>
      </w:pPr>
      <w:r>
        <w:t xml:space="preserve">3.7.2 Métricas de discriminação</w:t>
      </w:r>
      <w:r>
        <w:tab/>
        <w:t xml:space="preserve">47</w:t>
      </w:r>
    </w:p>
    <w:p>
      <w:pPr>
        <w:tabs>
          <w:tab w:val="right" w:leader="dot" w:pos="8640"/>
        </w:tabs>
        <w:spacing w:after="0" w:line="360" w:lineRule="auto"/>
        <w:ind w:left="720" w:right="0"/>
      </w:pPr>
      <w:r>
        <w:t xml:space="preserve">3.7.3 Curvas de Kaplan-Meier</w:t>
      </w:r>
      <w:r>
        <w:tab/>
        <w:t xml:space="preserve">47</w:t>
      </w:r>
    </w:p>
    <w:p>
      <w:pPr>
        <w:tabs>
          <w:tab w:val="right" w:leader="dot" w:pos="8640"/>
        </w:tabs>
        <w:spacing w:after="0" w:line="360" w:lineRule="auto"/>
        <w:ind w:left="720" w:right="0"/>
      </w:pPr>
      <w:r>
        <w:t xml:space="preserve">3.7.4 Valor incremental: Delta-C-index</w:t>
      </w:r>
      <w:r>
        <w:tab/>
        <w:t xml:space="preserve">48</w:t>
      </w:r>
    </w:p>
    <w:p>
      <w:pPr>
        <w:tabs>
          <w:tab w:val="right" w:leader="dot" w:pos="8640"/>
        </w:tabs>
        <w:spacing w:after="0" w:line="360" w:lineRule="auto"/>
        <w:ind w:left="720" w:right="0"/>
      </w:pPr>
      <w:r>
        <w:t xml:space="preserve">3.7.5 Calibração</w:t>
      </w:r>
      <w:r>
        <w:tab/>
        <w:t xml:space="preserve">48</w:t>
      </w:r>
    </w:p>
    <w:p>
      <w:pPr>
        <w:tabs>
          <w:tab w:val="right" w:leader="dot" w:pos="8640"/>
        </w:tabs>
        <w:spacing w:after="0" w:line="360" w:lineRule="auto"/>
        <w:ind w:left="720" w:right="0"/>
      </w:pPr>
      <w:r>
        <w:t xml:space="preserve">3.7.6 Análise de curva de decisão (DCA)</w:t>
      </w:r>
      <w:r>
        <w:tab/>
        <w:t xml:space="preserve">48</w:t>
      </w:r>
    </w:p>
    <w:p>
      <w:pPr>
        <w:tabs>
          <w:tab w:val="right" w:leader="dot" w:pos="8640"/>
        </w:tabs>
        <w:spacing w:after="0" w:line="360" w:lineRule="auto"/>
        <w:ind w:left="720" w:right="0"/>
      </w:pPr>
      <w:r>
        <w:t xml:space="preserve">3.7.7 Modelos expandidos com estadiamento</w:t>
      </w:r>
      <w:r>
        <w:tab/>
        <w:t xml:space="preserve">49</w:t>
      </w:r>
    </w:p>
    <w:p>
      <w:pPr>
        <w:tabs>
          <w:tab w:val="right" w:leader="dot" w:pos="8640"/>
        </w:tabs>
        <w:spacing w:after="0" w:line="360" w:lineRule="auto"/>
        <w:ind w:left="360" w:right="0"/>
      </w:pPr>
      <w:r>
        <w:t xml:space="preserve">3.8 Meta-análise</w:t>
      </w:r>
      <w:r>
        <w:tab/>
        <w:t xml:space="preserve">49</w:t>
      </w:r>
    </w:p>
    <w:p>
      <w:pPr>
        <w:tabs>
          <w:tab w:val="right" w:leader="dot" w:pos="8640"/>
        </w:tabs>
        <w:spacing w:after="0" w:line="360" w:lineRule="auto"/>
        <w:ind w:left="360" w:right="0"/>
      </w:pPr>
      <w:r>
        <w:t xml:space="preserve">3.9 Comparações head-to-head</w:t>
      </w:r>
      <w:r>
        <w:tab/>
        <w:t xml:space="preserve">50</w:t>
      </w:r>
    </w:p>
    <w:p>
      <w:pPr>
        <w:tabs>
          <w:tab w:val="right" w:leader="dot" w:pos="8640"/>
        </w:tabs>
        <w:spacing w:after="0" w:line="360" w:lineRule="auto"/>
        <w:ind w:left="0" w:right="0"/>
      </w:pPr>
      <w:r>
        <w:t xml:space="preserve">4. RESULTADOS</w:t>
      </w:r>
      <w:r>
        <w:tab/>
        <w:t xml:space="preserve">51</w:t>
      </w:r>
    </w:p>
    <w:p>
      <w:pPr>
        <w:tabs>
          <w:tab w:val="right" w:leader="dot" w:pos="8640"/>
        </w:tabs>
        <w:spacing w:after="0" w:line="360" w:lineRule="auto"/>
        <w:ind w:left="360" w:right="0"/>
      </w:pPr>
      <w:r>
        <w:t xml:space="preserve">4.1 Derivação do CorePAM: os 24 genes</w:t>
      </w:r>
      <w:r>
        <w:tab/>
        <w:t xml:space="preserve">51</w:t>
      </w:r>
    </w:p>
    <w:p>
      <w:pPr>
        <w:tabs>
          <w:tab w:val="right" w:leader="dot" w:pos="8640"/>
        </w:tabs>
        <w:spacing w:after="0" w:line="360" w:lineRule="auto"/>
        <w:ind w:left="360" w:right="0"/>
      </w:pPr>
      <w:r>
        <w:t xml:space="preserve">4.2 Validação prognóstica externa</w:t>
      </w:r>
      <w:r>
        <w:tab/>
        <w:t xml:space="preserve">59</w:t>
      </w:r>
    </w:p>
    <w:p>
      <w:pPr>
        <w:tabs>
          <w:tab w:val="right" w:leader="dot" w:pos="8640"/>
        </w:tabs>
        <w:spacing w:after="0" w:line="360" w:lineRule="auto"/>
        <w:ind w:left="360" w:right="0"/>
      </w:pPr>
      <w:r>
        <w:t xml:space="preserve">4.3 Meta-análise de sobrevida</w:t>
      </w:r>
      <w:r>
        <w:tab/>
        <w:t xml:space="preserve">67</w:t>
      </w:r>
    </w:p>
    <w:p>
      <w:pPr>
        <w:tabs>
          <w:tab w:val="right" w:leader="dot" w:pos="8640"/>
        </w:tabs>
        <w:spacing w:after="0" w:line="360" w:lineRule="auto"/>
        <w:ind w:left="360" w:right="0"/>
      </w:pPr>
      <w:r>
        <w:t xml:space="preserve">4.4 Valor incremental sobre preditores clínicos</w:t>
      </w:r>
      <w:r>
        <w:tab/>
        <w:t xml:space="preserve">69</w:t>
      </w:r>
    </w:p>
    <w:p>
      <w:pPr>
        <w:tabs>
          <w:tab w:val="right" w:leader="dot" w:pos="8640"/>
        </w:tabs>
        <w:spacing w:after="0" w:line="360" w:lineRule="auto"/>
        <w:ind w:left="360" w:right="0"/>
      </w:pPr>
      <w:r>
        <w:t xml:space="preserve">4.5 Independência do estadiamento clínico-patológico</w:t>
      </w:r>
      <w:r>
        <w:tab/>
        <w:t xml:space="preserve">73</w:t>
      </w:r>
    </w:p>
    <w:p>
      <w:pPr>
        <w:tabs>
          <w:tab w:val="right" w:leader="dot" w:pos="8640"/>
        </w:tabs>
        <w:spacing w:after="0" w:line="360" w:lineRule="auto"/>
        <w:ind w:left="360" w:right="0"/>
      </w:pPr>
      <w:r>
        <w:t xml:space="preserve">4.6 Análises de sensibilidade</w:t>
      </w:r>
      <w:r>
        <w:tab/>
        <w:t xml:space="preserve">73</w:t>
      </w:r>
    </w:p>
    <w:p>
      <w:pPr>
        <w:tabs>
          <w:tab w:val="right" w:leader="dot" w:pos="8640"/>
        </w:tabs>
        <w:spacing w:after="0" w:line="360" w:lineRule="auto"/>
        <w:ind w:left="360" w:right="0"/>
      </w:pPr>
      <w:r>
        <w:t xml:space="preserve">4.7 Análise de subgrupo por status de RE</w:t>
      </w:r>
      <w:r>
        <w:tab/>
        <w:t xml:space="preserve">80</w:t>
      </w:r>
    </w:p>
    <w:p>
      <w:pPr>
        <w:tabs>
          <w:tab w:val="right" w:leader="dot" w:pos="8640"/>
        </w:tabs>
        <w:spacing w:after="0" w:line="360" w:lineRule="auto"/>
        <w:ind w:left="720" w:right="0"/>
      </w:pPr>
      <w:r>
        <w:t xml:space="preserve">4.7.1 SCAN-B (N = 2 870; OS)</w:t>
      </w:r>
      <w:r>
        <w:tab/>
        <w:t xml:space="preserve">80</w:t>
      </w:r>
    </w:p>
    <w:p>
      <w:pPr>
        <w:tabs>
          <w:tab w:val="right" w:leader="dot" w:pos="8640"/>
        </w:tabs>
        <w:spacing w:after="0" w:line="360" w:lineRule="auto"/>
        <w:ind w:left="720" w:right="0"/>
      </w:pPr>
      <w:r>
        <w:t xml:space="preserve">4.7.2 METABRIC (N = 1 936; DSS)</w:t>
      </w:r>
      <w:r>
        <w:tab/>
        <w:t xml:space="preserve">80</w:t>
      </w:r>
    </w:p>
    <w:p>
      <w:pPr>
        <w:tabs>
          <w:tab w:val="right" w:leader="dot" w:pos="8640"/>
        </w:tabs>
        <w:spacing w:after="0" w:line="360" w:lineRule="auto"/>
        <w:ind w:left="360" w:right="0"/>
      </w:pPr>
      <w:r>
        <w:t xml:space="preserve">4.8 Resposta patológica completa (pCR)</w:t>
      </w:r>
      <w:r>
        <w:tab/>
        <w:t xml:space="preserve">82</w:t>
      </w:r>
    </w:p>
    <w:p>
      <w:pPr>
        <w:tabs>
          <w:tab w:val="right" w:leader="dot" w:pos="8640"/>
        </w:tabs>
        <w:spacing w:after="0" w:line="360" w:lineRule="auto"/>
        <w:ind w:left="360" w:right="0"/>
      </w:pPr>
      <w:r>
        <w:t xml:space="preserve">4.9 Comparação head-to-head com PAM50-full</w:t>
      </w:r>
      <w:r>
        <w:tab/>
        <w:t xml:space="preserve">88</w:t>
      </w:r>
    </w:p>
    <w:p>
      <w:pPr>
        <w:tabs>
          <w:tab w:val="right" w:leader="dot" w:pos="8640"/>
        </w:tabs>
        <w:spacing w:after="0" w:line="360" w:lineRule="auto"/>
        <w:ind w:left="360" w:right="0"/>
      </w:pPr>
      <w:r>
        <w:t xml:space="preserve">4.10 Comparação com assinaturas estabelecidas</w:t>
      </w:r>
      <w:r>
        <w:tab/>
        <w:t xml:space="preserve">90</w:t>
      </w:r>
    </w:p>
    <w:p>
      <w:pPr>
        <w:tabs>
          <w:tab w:val="right" w:leader="dot" w:pos="8640"/>
        </w:tabs>
        <w:spacing w:after="0" w:line="360" w:lineRule="auto"/>
        <w:ind w:left="0" w:right="0"/>
      </w:pPr>
      <w:r>
        <w:t xml:space="preserve">5. DISCUSSÃO</w:t>
      </w:r>
      <w:r>
        <w:tab/>
        <w:t xml:space="preserve">92</w:t>
      </w:r>
    </w:p>
    <w:p>
      <w:pPr>
        <w:tabs>
          <w:tab w:val="right" w:leader="dot" w:pos="8640"/>
        </w:tabs>
        <w:spacing w:after="0" w:line="360" w:lineRule="auto"/>
        <w:ind w:left="360" w:right="0"/>
      </w:pPr>
      <w:r>
        <w:t xml:space="preserve">5.1 O CorePAM no contexto da medicina de precisão em oncologia</w:t>
      </w:r>
      <w:r>
        <w:tab/>
        <w:t xml:space="preserve">92</w:t>
      </w:r>
    </w:p>
    <w:p>
      <w:pPr>
        <w:tabs>
          <w:tab w:val="right" w:leader="dot" w:pos="8640"/>
        </w:tabs>
        <w:spacing w:after="0" w:line="360" w:lineRule="auto"/>
        <w:ind w:left="360" w:right="0"/>
      </w:pPr>
      <w:r>
        <w:t xml:space="preserve">5.2 Derivação reprodutível: inovação metodológica</w:t>
      </w:r>
      <w:r>
        <w:tab/>
        <w:t xml:space="preserve">93</w:t>
      </w:r>
    </w:p>
    <w:p>
      <w:pPr>
        <w:tabs>
          <w:tab w:val="right" w:leader="dot" w:pos="8640"/>
        </w:tabs>
        <w:spacing w:after="0" w:line="360" w:lineRule="auto"/>
        <w:ind w:left="360" w:right="0"/>
      </w:pPr>
      <w:r>
        <w:t xml:space="preserve">5.3 Coerência biológica: por que esses 24 genes?</w:t>
      </w:r>
      <w:r>
        <w:tab/>
        <w:t xml:space="preserve">94</w:t>
      </w:r>
    </w:p>
    <w:p>
      <w:pPr>
        <w:tabs>
          <w:tab w:val="right" w:leader="dot" w:pos="8640"/>
        </w:tabs>
        <w:spacing w:after="0" w:line="360" w:lineRule="auto"/>
        <w:ind w:left="360" w:right="0"/>
      </w:pPr>
      <w:r>
        <w:t xml:space="preserve">5.4 Transportabilidade cross-plataforma</w:t>
      </w:r>
      <w:r>
        <w:tab/>
        <w:t xml:space="preserve">95</w:t>
      </w:r>
    </w:p>
    <w:p>
      <w:pPr>
        <w:tabs>
          <w:tab w:val="right" w:leader="dot" w:pos="8640"/>
        </w:tabs>
        <w:spacing w:after="0" w:line="360" w:lineRule="auto"/>
        <w:ind w:left="360" w:right="0"/>
      </w:pPr>
      <w:r>
        <w:t xml:space="preserve">5.5 O paradoxo de menos genes, mais informação</w:t>
      </w:r>
      <w:r>
        <w:tab/>
        <w:t xml:space="preserve">96</w:t>
      </w:r>
    </w:p>
    <w:p>
      <w:pPr>
        <w:tabs>
          <w:tab w:val="right" w:leader="dot" w:pos="8640"/>
        </w:tabs>
        <w:spacing w:after="0" w:line="360" w:lineRule="auto"/>
        <w:ind w:left="360" w:right="0"/>
      </w:pPr>
      <w:r>
        <w:t xml:space="preserve">5.6 A questão do z-score: coorte vs amostra única</w:t>
      </w:r>
      <w:r>
        <w:tab/>
        <w:t xml:space="preserve">97</w:t>
      </w:r>
    </w:p>
    <w:p>
      <w:pPr>
        <w:tabs>
          <w:tab w:val="right" w:leader="dot" w:pos="8640"/>
        </w:tabs>
        <w:spacing w:after="0" w:line="360" w:lineRule="auto"/>
        <w:ind w:left="360" w:right="0"/>
      </w:pPr>
      <w:r>
        <w:t xml:space="preserve">5.7 O sinal em doença ER-positiva</w:t>
      </w:r>
      <w:r>
        <w:tab/>
        <w:t xml:space="preserve">97</w:t>
      </w:r>
    </w:p>
    <w:p>
      <w:pPr>
        <w:tabs>
          <w:tab w:val="right" w:leader="dot" w:pos="8640"/>
        </w:tabs>
        <w:spacing w:after="0" w:line="360" w:lineRule="auto"/>
        <w:ind w:left="360" w:right="0"/>
      </w:pPr>
      <w:r>
        <w:t xml:space="preserve">5.8 A ponte entre prognóstico e predição de pCR</w:t>
      </w:r>
      <w:r>
        <w:tab/>
        <w:t xml:space="preserve">98</w:t>
      </w:r>
    </w:p>
    <w:p>
      <w:pPr>
        <w:tabs>
          <w:tab w:val="right" w:leader="dot" w:pos="8640"/>
        </w:tabs>
        <w:spacing w:after="0" w:line="360" w:lineRule="auto"/>
        <w:ind w:left="360" w:right="0"/>
      </w:pPr>
      <w:r>
        <w:t xml:space="preserve">5.9 Calibração: o que o modelo acerta é o que erra</w:t>
      </w:r>
      <w:r>
        <w:tab/>
        <w:t xml:space="preserve">99</w:t>
      </w:r>
    </w:p>
    <w:p>
      <w:pPr>
        <w:tabs>
          <w:tab w:val="right" w:leader="dot" w:pos="8640"/>
        </w:tabs>
        <w:spacing w:after="0" w:line="360" w:lineRule="auto"/>
        <w:ind w:left="360" w:right="0"/>
      </w:pPr>
      <w:r>
        <w:t xml:space="preserve">5.10 Reflexões metodológicas para estudos prognósticos futuros</w:t>
      </w:r>
      <w:r>
        <w:tab/>
        <w:t xml:space="preserve">99</w:t>
      </w:r>
    </w:p>
    <w:p>
      <w:pPr>
        <w:tabs>
          <w:tab w:val="right" w:leader="dot" w:pos="8640"/>
        </w:tabs>
        <w:spacing w:after="0" w:line="360" w:lineRule="auto"/>
        <w:ind w:left="360" w:right="0"/>
      </w:pPr>
      <w:r>
        <w:t xml:space="preserve">5.11 O caminho até a clínica: o que falta?</w:t>
      </w:r>
      <w:r>
        <w:tab/>
        <w:t xml:space="preserve">100</w:t>
      </w:r>
    </w:p>
    <w:p>
      <w:pPr>
        <w:tabs>
          <w:tab w:val="right" w:leader="dot" w:pos="8640"/>
        </w:tabs>
        <w:spacing w:after="0" w:line="360" w:lineRule="auto"/>
        <w:ind w:left="360" w:right="0"/>
      </w:pPr>
      <w:r>
        <w:t xml:space="preserve">5.12 Relevância para o contexto brasileiro e o SUS</w:t>
      </w:r>
      <w:r>
        <w:tab/>
        <w:t xml:space="preserve">100</w:t>
      </w:r>
    </w:p>
    <w:p>
      <w:pPr>
        <w:tabs>
          <w:tab w:val="right" w:leader="dot" w:pos="8640"/>
        </w:tabs>
        <w:spacing w:after="0" w:line="360" w:lineRule="auto"/>
        <w:ind w:left="360" w:right="0"/>
      </w:pPr>
      <w:r>
        <w:t xml:space="preserve">5.13 Limitações</w:t>
      </w:r>
      <w:r>
        <w:tab/>
        <w:t xml:space="preserve">101</w:t>
      </w:r>
    </w:p>
    <w:p>
      <w:pPr>
        <w:tabs>
          <w:tab w:val="right" w:leader="dot" w:pos="8640"/>
        </w:tabs>
        <w:spacing w:after="0" w:line="360" w:lineRule="auto"/>
        <w:ind w:left="360" w:right="0"/>
      </w:pPr>
      <w:r>
        <w:t xml:space="preserve">5.14 Perspectivas e estudos futuros</w:t>
      </w:r>
      <w:r>
        <w:tab/>
        <w:t xml:space="preserve">101</w:t>
      </w:r>
    </w:p>
    <w:p>
      <w:pPr>
        <w:tabs>
          <w:tab w:val="right" w:leader="dot" w:pos="8640"/>
        </w:tabs>
        <w:spacing w:after="0" w:line="360" w:lineRule="auto"/>
        <w:ind w:left="0" w:right="0"/>
      </w:pPr>
      <w:r>
        <w:t xml:space="preserve">6. CONCLUSÃO</w:t>
      </w:r>
      <w:r>
        <w:tab/>
        <w:t xml:space="preserve">103</w:t>
      </w:r>
    </w:p>
    <w:p>
      <w:pPr>
        <w:tabs>
          <w:tab w:val="right" w:leader="dot" w:pos="8640"/>
        </w:tabs>
        <w:spacing w:after="0" w:line="360" w:lineRule="auto"/>
        <w:ind w:left="0" w:right="0"/>
      </w:pPr>
      <w:r>
        <w:t xml:space="preserve">REFERÊNCIAS BIBLIOGRÁFICAS</w:t>
      </w:r>
      <w:r>
        <w:tab/>
        <w:t xml:space="preserve">104</w:t>
      </w:r>
    </w:p>
    <w:p>
      <w:pPr>
        <w:tabs>
          <w:tab w:val="right" w:leader="dot" w:pos="8640"/>
        </w:tabs>
        <w:spacing w:after="0" w:line="360" w:lineRule="auto"/>
        <w:ind w:left="0" w:right="0"/>
      </w:pPr>
      <w:r>
        <w:t xml:space="preserve">APÊNDICE A — Artigo aceito no Breast Cancer Research</w:t>
      </w:r>
      <w:r>
        <w:tab/>
        <w:t xml:space="preserve">113</w:t>
      </w:r>
    </w:p>
    <w:p>
      <w:pPr>
        <w:tabs>
          <w:tab w:val="right" w:leader="dot" w:pos="8640"/>
        </w:tabs>
        <w:spacing w:after="0" w:line="360" w:lineRule="auto"/>
        <w:ind w:left="0" w:right="0"/>
      </w:pPr>
      <w:r>
        <w:t xml:space="preserve">APÊNDICE B — Pipeline computacional</w:t>
      </w:r>
      <w:r>
        <w:tab/>
        <w:t xml:space="preserve">114</w:t>
      </w:r>
    </w:p>
    <w:p>
      <w:pPr>
        <w:tabs>
          <w:tab w:val="right" w:leader="dot" w:pos="8640"/>
        </w:tabs>
        <w:spacing w:after="0" w:line="360" w:lineRule="auto"/>
        <w:ind w:left="360" w:right="0"/>
      </w:pPr>
      <w:r>
        <w:t xml:space="preserve">B.1 Pseudocódigo do procedimento de derivação</w:t>
      </w:r>
      <w:r>
        <w:tab/>
        <w:t xml:space="preserve">119</w:t>
      </w:r>
    </w:p>
    <!--TOC_END-->
    <w:bookmarkEnd w:id="28"/>
    <w:bookmarkStart w:id="50"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9"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Um centroide, nesse contexto, é um perfil de referência: uma espécie de</w:t>
      </w:r>
      <w:r>
        <w:t xml:space="preserve"> </w:t>
      </w:r>
      <w:r>
        <w:t xml:space="preserve">“paciente molecular prototípica”</w:t>
      </w:r>
      <w:r>
        <w:t xml:space="preserve"> </w:t>
      </w:r>
      <w:r>
        <w:t xml:space="preserve">de cada subtipo. O tumor real é convertido em uma lista de expressões gênicas e comparado com esses perfis. Se a expressão do tumor se parece mais com o centroide</w:t>
      </w:r>
      <w:r>
        <w:t xml:space="preserve"> </w:t>
      </w:r>
      <w:r>
        <w:rPr>
          <w:i/>
          <w:iCs/>
        </w:rPr>
        <w:t xml:space="preserve">Luminal A</w:t>
      </w:r>
      <w:r>
        <w:t xml:space="preserve"> </w:t>
      </w:r>
      <w:r>
        <w:t xml:space="preserve">do que com os demais, ele recebe a classificação</w:t>
      </w:r>
      <w:r>
        <w:t xml:space="preserve"> </w:t>
      </w:r>
      <w:r>
        <w:rPr>
          <w:i/>
          <w:iCs/>
        </w:rPr>
        <w:t xml:space="preserve">Luminal A</w:t>
      </w:r>
      <w:r>
        <w:t xml:space="preserve">. Essa comparação é feita no espaço de muitos genes ao mesmo tempo; por isso, não equivale a olhar apenas RE, RP, HER2 ou Ki67. A analogia clínica seria comparar um caso com síndromes bem definidas: não se decide por um único sinal isolado, mas pelo padrão completo.</w:t>
      </w:r>
    </w:p>
    <w:p>
      <w:pPr>
        <w:pStyle w:val="BodyText"/>
      </w:pPr>
      <w:r>
        <w:t xml:space="preserve">O CorePAM nasce dessa arquitetura, mas responde a outra pergunta. Ele não redefine os centroides originais do PAM50, não cria uma nova classificação molecular de subtipos e não pretende substituir a leitura clínica do</w:t>
      </w:r>
      <w:r>
        <w:t xml:space="preserve"> </w:t>
      </w:r>
      <w:r>
        <w:rPr>
          <w:i/>
          <w:iCs/>
        </w:rPr>
        <w:t xml:space="preserve">Prosigna</w:t>
      </w:r>
      <w:r>
        <w:t xml:space="preserve">. A pergunta do CorePAM é mais estreita e mais pragmática: dentro da informação prognóstica contida no painel PAM50, qual subconjunto mínimo de genes preserva a capacidade de ordenar pacientes por risco em coortes externas? Em termos simples, o PAM50 é o atlas molecular completo; o CorePAM tenta conservar as estradas mais úteis para prognóstico, sem redesenhar o mapa inteiro.</w:t>
      </w:r>
    </w:p>
    <w:p>
      <w:pPr>
        <w:pStyle w:val="Compact"/>
        <w:jc w:val="center"/>
      </w:pPr>
      <w:bookmarkStart w:id="34" w:name="fig-centroides-corepam"/>
      <w:r>
        <w:drawing>
          <wp:inline>
            <wp:extent cx="5687999" cy="3384706"/>
            <wp:effectExtent b="0" l="0" r="0" t="0"/>
            <wp:docPr descr="" title="" id="32" name="Picture"/>
            <a:graphic>
              <a:graphicData uri="http://schemas.openxmlformats.org/drawingml/2006/picture">
                <pic:pic>
                  <pic:nvPicPr>
                    <pic:cNvPr descr="../figures/didaticas/pt/png/B4_PAM50_Centroides_CorePAM_PT.png" id="33" name="Picture"/>
                    <pic:cNvPicPr>
                      <a:picLocks noChangeArrowheads="1" noChangeAspect="1"/>
                    </pic:cNvPicPr>
                  </pic:nvPicPr>
                  <pic:blipFill>
                    <a:blip r:embed="rId31"/>
                    <a:stretch>
                      <a:fillRect/>
                    </a:stretch>
                  </pic:blipFill>
                  <pic:spPr bwMode="auto">
                    <a:xfrm>
                      <a:off x="0" y="0"/>
                      <a:ext cx="5687999" cy="3384706"/>
                    </a:xfrm>
                    <a:prstGeom prst="rect">
                      <a:avLst/>
                    </a:prstGeom>
                    <a:noFill/>
                    <a:ln w="9525">
                      <a:noFill/>
                      <a:headEnd/>
                      <a:tailEnd/>
                    </a:ln>
                  </pic:spPr>
                </pic:pic>
              </a:graphicData>
            </a:graphic>
          </wp:inline>
        </w:drawing>
      </w:r>
    </w:p>
    <w:p>
      <w:pPr>
        <w:jc w:val="left"/>
        <w:spacing w:before="200"/>
        <w:pStyle w:val="ImageCaption"/>
      </w:pPr>
      <w:r>
        <w:t xml:space="preserve">Figura 1 — PAM50, centroides moleculares e a pergunta do CorePAM. O PAM50 classifica tumores por semelhança com perfis de referência dos subtipos intrínsecos; os valores de correlação na figura são ilustrativos. O CorePAM reduz o painel para uma pergunta prognóstica específica, sem redefinir os centroides originais do PAM50.</w:t>
      </w:r>
    </w:p>
    <w:bookmarkEnd w:id="34"/>
    <w:p>
      <w:pPr>
        <w:pStyle w:val="BodyText"/>
      </w:pPr>
      <w:r>
        <w:t xml:space="preserve">Na</w:t>
      </w:r>
      <w:r>
        <w:t xml:space="preserve"> </w:t>
      </w:r>
      <w:hyperlink w:anchor="fig-centroides-corepam">
        <w:r>
          <w:rPr>
            <w:rStyle w:val="Hyperlink"/>
            <w:color w:val="0563C1"/>
            <w:u w:val="single"/>
          </w:rPr>
          <w:t xml:space="preserve">Figura 1</w:t>
        </w:r>
      </w:hyperlink>
      <w:r>
        <w:t xml:space="preserve">, o primeiro quadro mostra a amostra tumoral como um vetor de expressão: cada gene contribui uma pequena parte da identidade molecular. O segundo quadro mostra a comparação com centroides. O tumor ilustrativo se aproxima mais do centroide</w:t>
      </w:r>
      <w:r>
        <w:t xml:space="preserve"> </w:t>
      </w:r>
      <w:r>
        <w:rPr>
          <w:i/>
          <w:iCs/>
        </w:rPr>
        <w:t xml:space="preserve">Luminal A</w:t>
      </w:r>
      <w:r>
        <w:t xml:space="preserve">, mas a decisão vem da comparação simultânea com todos os perfis de referência, não de um marcador isolado. O terceiro quadro mostra a diferença conceitual do CorePAM: parte-se do PAM50 canônico de 50 genes, aplica-se uma seleção penalizada voltada a prognóstico e chega-se a 24 genes. A seta não significa que o CorePAM seja</w:t>
      </w:r>
      <w:r>
        <w:t xml:space="preserve"> </w:t>
      </w:r>
      <w:r>
        <w:t xml:space="preserve">“um novo PAM50”</w:t>
      </w:r>
      <w:r>
        <w:t xml:space="preserve">; significa que ele é uma compressão prognóstica derivada do espaço PAM50.</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hyperlink w:anchor="fig-subtipos">
        <w:r>
          <w:rPr>
            <w:rStyle w:val="Hyperlink"/>
            <w:color w:val="0563C1"/>
            <w:u w:val="single"/>
          </w:rPr>
          <w:t xml:space="preserve">Figura 2</w:t>
        </w:r>
      </w:hyperlink>
      <w:r>
        <w:t xml:space="preserve"> </w:t>
      </w:r>
      <w:r>
        <w:t xml:space="preserve">deve ser lida como mapa de correlação clínica, não como definição molecular exata dos subtipos.</w:t>
      </w:r>
    </w:p>
    <w:p>
      <w:pPr>
        <w:pStyle w:val="Compact"/>
        <w:jc w:val="center"/>
      </w:pPr>
      <w:bookmarkStart w:id="38" w:name="fig-subtipos"/>
      <w:r>
        <w:drawing>
          <wp:inline>
            <wp:extent cx="5687999" cy="4517315"/>
            <wp:effectExtent b="0" l="0" r="0" t="0"/>
            <wp:docPr descr="" title="" id="36" name="Picture"/>
            <a:graphic>
              <a:graphicData uri="http://schemas.openxmlformats.org/drawingml/2006/picture">
                <pic:pic>
                  <pic:nvPicPr>
                    <pic:cNvPr descr="../figures/didaticas/pt/png/B2_Subtipos_Moleculares_PT.png" id="37" name="Picture"/>
                    <pic:cNvPicPr>
                      <a:picLocks noChangeArrowheads="1" noChangeAspect="1"/>
                    </pic:cNvPicPr>
                  </pic:nvPicPr>
                  <pic:blipFill>
                    <a:blip r:embed="rId35"/>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2 —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8"/>
    <w:p>
      <w:pPr>
        <w:pStyle w:val="BodyText"/>
      </w:pPr>
      <w:r>
        <w:t xml:space="preserve">Na</w:t>
      </w:r>
      <w:r>
        <w:t xml:space="preserve"> </w:t>
      </w:r>
      <w:hyperlink w:anchor="fig-subtipos">
        <w:r>
          <w:rPr>
            <w:rStyle w:val="Hyperlink"/>
            <w:color w:val="0563C1"/>
            <w:u w:val="single"/>
          </w:rPr>
          <w:t xml:space="preserve">Figura 2</w:t>
        </w:r>
      </w:hyperlink>
      <w:r>
        <w:t xml:space="preserve">, cada quadro deve ser lido em duas camadas. A camada molecular é o nome do subtipo intrínseco, definido pelo PAM50 a partir de centroides de expressão. A camada clínica é o conjunto de marcadores de imuno-histoquímica mostrado abaixo, que funciona como aproximação prática. No quadro</w:t>
      </w:r>
      <w:r>
        <w:t xml:space="preserve"> </w:t>
      </w:r>
      <w:r>
        <w:rPr>
          <w:i/>
          <w:iCs/>
        </w:rPr>
        <w:t xml:space="preserve">Luminal A</w:t>
      </w:r>
      <w:r>
        <w:t xml:space="preserve">, o leitor vê o padrão de menor proliferação e melhor prognóstico; no</w:t>
      </w:r>
      <w:r>
        <w:t xml:space="preserve"> </w:t>
      </w:r>
      <w:r>
        <w:rPr>
          <w:i/>
          <w:iCs/>
        </w:rPr>
        <w:t xml:space="preserve">Luminal B</w:t>
      </w:r>
      <w:r>
        <w:t xml:space="preserve">, a presença de Ki67 mais alto indica maior velocidade biológica, mesmo quando o tumor continua sendo RE-positivo. O quadro</w:t>
      </w:r>
      <w:r>
        <w:t xml:space="preserve"> </w:t>
      </w:r>
      <w:r>
        <w:rPr>
          <w:i/>
          <w:iCs/>
        </w:rPr>
        <w:t xml:space="preserve">HER2-enriquecido</w:t>
      </w:r>
      <w:r>
        <w:t xml:space="preserve"> </w:t>
      </w:r>
      <w:r>
        <w:t xml:space="preserve">mostra uma armadilha conceitual importante: esse subtipo molecular frequentemente, mas não obrigatoriamente, coincide com HER2 positivo clínico. O quadro</w:t>
      </w:r>
      <w:r>
        <w:t xml:space="preserve"> </w:t>
      </w:r>
      <w:r>
        <w:rPr>
          <w:i/>
          <w:iCs/>
        </w:rPr>
        <w:t xml:space="preserve">Basal-like</w:t>
      </w:r>
      <w:r>
        <w:t xml:space="preserve"> </w:t>
      </w:r>
      <w:r>
        <w:t xml:space="preserve">segue a mesma lógica: costuma se aproximar do triplo-negativo, mas não é sinônimo perfeito dele. A figura, portanto, deve ser entendida como se entende um mapa clínico: útil para orientar o trajeto, mas não idêntico ao território molecular.</w:t>
      </w:r>
    </w:p>
    <w:bookmarkEnd w:id="39"/>
    <w:bookmarkStart w:id="44"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3" w:name="fig-timeline"/>
      <w:r>
        <w:drawing>
          <wp:inline>
            <wp:extent cx="5687999" cy="2940304"/>
            <wp:effectExtent b="0" l="0" r="0" t="0"/>
            <wp:docPr descr="" title="" id="41" name="Picture"/>
            <a:graphic>
              <a:graphicData uri="http://schemas.openxmlformats.org/drawingml/2006/picture">
                <pic:pic>
                  <pic:nvPicPr>
                    <pic:cNvPr descr="../figures/didaticas/pt/png/B3_Timeline_Assinaturas_PT.png" id="42" name="Picture"/>
                    <pic:cNvPicPr>
                      <a:picLocks noChangeArrowheads="1" noChangeAspect="1"/>
                    </pic:cNvPicPr>
                  </pic:nvPicPr>
                  <pic:blipFill>
                    <a:blip r:embed="rId40"/>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3 —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3"/>
    <w:p>
      <w:pPr>
        <w:pStyle w:val="BodyText"/>
      </w:pPr>
      <w:r>
        <w:t xml:space="preserve">Na</w:t>
      </w:r>
      <w:r>
        <w:t xml:space="preserve"> </w:t>
      </w:r>
      <w:hyperlink w:anchor="fig-timeline">
        <w:r>
          <w:rPr>
            <w:rStyle w:val="Hyperlink"/>
            <w:color w:val="0563C1"/>
            <w:u w:val="single"/>
          </w:rPr>
          <w:t xml:space="preserve">Figura 3</w:t>
        </w:r>
      </w:hyperlink>
      <w:r>
        <w:t xml:space="preserve">, o eixo horizontal conta a história de uma mudança de paradigma. À esquerda estão as primeiras assinaturas desenvolvidas em</w:t>
      </w:r>
      <w:r>
        <w:t xml:space="preserve"> </w:t>
      </w:r>
      <w:r>
        <w:rPr>
          <w:i/>
          <w:iCs/>
        </w:rPr>
        <w:t xml:space="preserve">microarray</w:t>
      </w:r>
      <w:r>
        <w:t xml:space="preserve">, quando a principal pergunta era descobrir se padrões de expressão gênica conseguiam antecipar recorrência. O</w:t>
      </w:r>
      <w:r>
        <w:t xml:space="preserve"> </w:t>
      </w:r>
      <w:r>
        <w:rPr>
          <w:i/>
          <w:iCs/>
        </w:rPr>
        <w:t xml:space="preserve">MammaPrint</w:t>
      </w:r>
      <w:r>
        <w:t xml:space="preserve"> </w:t>
      </w:r>
      <w:r>
        <w:t xml:space="preserve">aparece como assinatura de 70 genes, nascida de uma estratégia ampla de descoberta. Em seguida, o</w:t>
      </w:r>
      <w:r>
        <w:t xml:space="preserve"> </w:t>
      </w:r>
      <w:r>
        <w:rPr>
          <w:i/>
          <w:iCs/>
        </w:rPr>
        <w:t xml:space="preserve">OncotypeDX</w:t>
      </w:r>
      <w:r>
        <w:t xml:space="preserve"> </w:t>
      </w:r>
      <w:r>
        <w:t xml:space="preserve">reduz a pergunta para 21 genes medidos por RT-qPCR, mais compatível com tecido de rotina e com decisão adjuvante em doença RE-positiva. O PAM50 ocupa posição central porque não é apenas um escore de risco: ele conecta prognóstico aos subtipos intrínsecos. O</w:t>
      </w:r>
      <w:r>
        <w:t xml:space="preserve"> </w:t>
      </w:r>
      <w:r>
        <w:rPr>
          <w:i/>
          <w:iCs/>
        </w:rPr>
        <w:t xml:space="preserve">EndoPredict</w:t>
      </w:r>
      <w:r>
        <w:t xml:space="preserve"> </w:t>
      </w:r>
      <w:r>
        <w:t xml:space="preserve">e outras ferramentas posteriores acrescentam foco em recorrência tardia e integração com variáveis clínicas. À direita, o CorePAM é colocado como proposta de compressão do PAM50: não reinventa a biologia do câncer de mama, mas pergunta se parte menor do painel preserva o essencial. A leitura importante é que o campo caminhou de painéis grandes e exploratórios para ensaios mais focados, clinicamente interpretáveis e potencialmente mais acessíveis.</w:t>
      </w:r>
    </w:p>
    <w:bookmarkEnd w:id="44"/>
    <w:bookmarkStart w:id="45" w:name="Xedb24f488342593b18f454e71b15503c25e27fd"/>
    <w:p>
      <w:pPr>
        <w:pStyle w:val="Heading2"/>
      </w:pPr>
      <w:r>
        <w:t xml:space="preserve">1.5 Assinaturas gênicas, plataformas e transportabilidade</w:t>
      </w:r>
    </w:p>
    <w:p>
      <w:pPr>
        <w:pStyle w:val="FirstParagraph"/>
      </w:pPr>
      <w:r>
        <w:t xml:space="preserve">Antes de discutir as coortes deste estudo, vale separar três conceitos que costumam ser misturados na prática clínica:</w:t>
      </w:r>
      <w:r>
        <w:t xml:space="preserve"> </w:t>
      </w:r>
      <w:r>
        <w:rPr>
          <w:b/>
          <w:bCs/>
        </w:rPr>
        <w:t xml:space="preserve">assinatura gênica</w:t>
      </w:r>
      <w:r>
        <w:t xml:space="preserve">,</w:t>
      </w:r>
      <w:r>
        <w:t xml:space="preserve"> </w:t>
      </w:r>
      <w:r>
        <w:rPr>
          <w:b/>
          <w:bCs/>
        </w:rPr>
        <w:t xml:space="preserve">plataforma de leitura</w:t>
      </w:r>
      <w:r>
        <w:t xml:space="preserve"> </w:t>
      </w:r>
      <w:r>
        <w:t xml:space="preserve">e</w:t>
      </w:r>
      <w:r>
        <w:t xml:space="preserve"> </w:t>
      </w:r>
      <w:r>
        <w:rPr>
          <w:b/>
          <w:bCs/>
        </w:rPr>
        <w:t xml:space="preserve">algoritmo de interpretação</w:t>
      </w:r>
      <w:r>
        <w:t xml:space="preserve">. Uma assinatura gênica é uma lista de genes escolhidos porque, em conjunto, carregam informação clínica. A plataforma é a tecnologia de laboratório usada para medir a atividade desses genes. O algoritmo é a regra matemática que transforma as medidas em um resultado útil, como baixo ou alto risco, subtipo molecular, risco numérico de recorrência ou probabilidade de benefício com quimioterapia. Em termos simples: a assinatura diz</w:t>
      </w:r>
      <w:r>
        <w:t xml:space="preserve"> </w:t>
      </w:r>
      <w:r>
        <w:t xml:space="preserve">“quais genes olhar”</w:t>
      </w:r>
      <w:r>
        <w:t xml:space="preserve">; a plataforma diz</w:t>
      </w:r>
      <w:r>
        <w:t xml:space="preserve"> </w:t>
      </w:r>
      <w:r>
        <w:t xml:space="preserve">“como medir”</w:t>
      </w:r>
      <w:r>
        <w:t xml:space="preserve">; e o algoritmo diz</w:t>
      </w:r>
      <w:r>
        <w:t xml:space="preserve"> </w:t>
      </w:r>
      <w:r>
        <w:t xml:space="preserve">“como interpretar”</w:t>
      </w:r>
      <w:r>
        <w:t xml:space="preserve">.</w:t>
      </w:r>
    </w:p>
    <w:p>
      <w:pPr>
        <w:pStyle w:val="BodyText"/>
      </w:pPr>
      <w:r>
        <w:t xml:space="preserve">O funcionamento geral é parecido entre os testes. O patologista seleciona uma área representativa do tumor, o laboratório extrai RNA e mede a expressão de genes relacionados a programas biológicos centrais: sinalização hormonal, proliferação, via HER2, invasão, diferenciação luminal ou fenótipo basal. Depois, os valores medidos são normalizados para reduzir ruído técnico e combinados em um escore. O resultado não substitui estadiamento, grau, linfonodos, idade, comorbidades ou preferência da paciente; ele acrescenta uma camada biológica que não é visível ao microscópio nem pela imuno-histoquímica isolada. Essa é a razão pela qual assinaturas como</w:t>
      </w:r>
      <w:r>
        <w:t xml:space="preserve"> </w:t>
      </w:r>
      <w:r>
        <w:rPr>
          <w:i/>
          <w:iCs/>
        </w:rPr>
        <w:t xml:space="preserve">OncotypeDX</w:t>
      </w:r>
      <w:r>
        <w:t xml:space="preserve">,</w:t>
      </w:r>
      <w:r>
        <w:t xml:space="preserve"> </w:t>
      </w:r>
      <w:r>
        <w:rPr>
          <w:i/>
          <w:iCs/>
        </w:rPr>
        <w:t xml:space="preserve">MammaPrint</w:t>
      </w:r>
      <w:r>
        <w:t xml:space="preserve">, PAM50/</w:t>
      </w:r>
      <w:r>
        <w:rPr>
          <w:i/>
          <w:iCs/>
        </w:rPr>
        <w:t xml:space="preserve">Prosigna</w:t>
      </w:r>
      <w:r>
        <w:t xml:space="preserve">,</w:t>
      </w:r>
      <w:r>
        <w:t xml:space="preserve"> </w:t>
      </w:r>
      <w:r>
        <w:rPr>
          <w:i/>
          <w:iCs/>
        </w:rPr>
        <w:t xml:space="preserve">EndoPredict</w:t>
      </w:r>
      <w:r>
        <w:t xml:space="preserve"> </w:t>
      </w:r>
      <w:r>
        <w:t xml:space="preserve">e Breast Cancer Index entraram nas diretrizes: elas ajudam principalmente na zona cinzenta em que a indicação de quimioterapia adjuvante não é óbvia</w:t>
      </w:r>
      <w:r>
        <w:rPr>
          <w:vertAlign w:val="superscript"/>
        </w:rPr>
        <w:t xml:space="preserve">20,21,23,27</w:t>
      </w:r>
      <w:r>
        <w:t xml:space="preserve">.</w:t>
      </w:r>
    </w:p>
    <w:p>
      <w:pPr>
        <w:pStyle w:val="BodyText"/>
      </w:pPr>
      <w:r>
        <w:t xml:space="preserve">Um conceito central no PAM50 é o de</w:t>
      </w:r>
      <w:r>
        <w:t xml:space="preserve"> </w:t>
      </w:r>
      <w:r>
        <w:rPr>
          <w:b/>
          <w:bCs/>
        </w:rPr>
        <w:t xml:space="preserve">centroide</w:t>
      </w:r>
      <w:r>
        <w:t xml:space="preserve">. Centroide é um perfil de referência, uma espécie de</w:t>
      </w:r>
      <w:r>
        <w:t xml:space="preserve"> </w:t>
      </w:r>
      <w:r>
        <w:t xml:space="preserve">“média molecular”</w:t>
      </w:r>
      <w:r>
        <w:t xml:space="preserve"> </w:t>
      </w:r>
      <w:r>
        <w:t xml:space="preserve">de um subtipo. Imagine que cada tumor tenha uma impressão digital composta pela expressão de dezenas de genes. O PAM50 compara a impressão digital da amostra com impressões digitais de referência dos subtipos</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 </w:t>
      </w:r>
      <w:r>
        <w:t xml:space="preserve">e</w:t>
      </w:r>
      <w:r>
        <w:t xml:space="preserve"> </w:t>
      </w:r>
      <w:r>
        <w:rPr>
          <w:i/>
          <w:iCs/>
        </w:rPr>
        <w:t xml:space="preserve">Basal-like</w:t>
      </w:r>
      <w:r>
        <w:t xml:space="preserve">. O subtipo atribuído é aquele cujo centroide se parece mais com o tumor, geralmente medido por correlação. Portanto, o centroide não é um gene, nem um receptor, nem uma lâmina de imuno-histoquímica; é um padrão multigênico de referência</w:t>
      </w:r>
      <w:r>
        <w:rPr>
          <w:vertAlign w:val="superscript"/>
        </w:rPr>
        <w:t xml:space="preserve">13,16</w:t>
      </w:r>
      <w:r>
        <w:t xml:space="preserve">.</w:t>
      </w:r>
    </w:p>
    <w:p>
      <w:pPr>
        <w:pStyle w:val="BodyText"/>
      </w:pPr>
      <w:r>
        <w:rPr>
          <w:b/>
          <w:bCs/>
        </w:rPr>
        <w:t xml:space="preserve">Microarray</w:t>
      </w:r>
      <w:r>
        <w:t xml:space="preserve"> </w:t>
      </w:r>
      <w:r>
        <w:t xml:space="preserve">foi a primeira grande tecnologia de expressão em larga escala usada na descoberta dessas assinaturas. Ele funciona como uma lâmina com milhares de sondas fixas: cada sonda é desenhada para capturar um RNA específico. Quanto maior a hibridização, maior o sinal. Foi a tecnologia dos estudos pioneiros de subtipos moleculares e do desenvolvimento inicial do</w:t>
      </w:r>
      <w:r>
        <w:t xml:space="preserve"> </w:t>
      </w:r>
      <w:r>
        <w:rPr>
          <w:i/>
          <w:iCs/>
        </w:rPr>
        <w:t xml:space="preserve">MammaPrint</w:t>
      </w:r>
      <w:r>
        <w:rPr>
          <w:vertAlign w:val="superscript"/>
        </w:rPr>
        <w:t xml:space="preserve">8,9,26</w:t>
      </w:r>
      <w:r>
        <w:t xml:space="preserve">. Sua vantagem histórica foi permitir medir milhares de genes simultaneamente. Suas limitações são importantes: a plataforma só mede aquilo para o qual há sonda, diferentes fabricantes usam sondas e escalas próprias, e o sinal pode saturar em genes muito expressos ou ficar impreciso em genes pouco expressos.</w:t>
      </w:r>
    </w:p>
    <w:p>
      <w:pPr>
        <w:pStyle w:val="BodyText"/>
      </w:pPr>
      <w:r>
        <w:rPr>
          <w:b/>
          <w:bCs/>
        </w:rPr>
        <w:t xml:space="preserve">RT-qPCR</w:t>
      </w:r>
      <w:r>
        <w:t xml:space="preserve"> </w:t>
      </w:r>
      <w:r>
        <w:t xml:space="preserve">é uma tecnologia mais direcionada. Em vez de medir o transcriptoma inteiro, ela mede um conjunto pequeno de genes pré-especificados com alta sensibilidade. É familiar a muitos laboratórios, funciona bem em tecido fixado em formol e incluído em parafina (</w:t>
      </w:r>
      <w:r>
        <w:rPr>
          <w:i/>
          <w:iCs/>
        </w:rPr>
        <w:t xml:space="preserve">FFPE</w:t>
      </w:r>
      <w:r>
        <w:t xml:space="preserve">) e costuma ser adequada quando a pergunta já está definida.</w:t>
      </w:r>
      <w:r>
        <w:t xml:space="preserve"> </w:t>
      </w:r>
      <w:r>
        <w:rPr>
          <w:i/>
          <w:iCs/>
        </w:rPr>
        <w:t xml:space="preserve">OncotypeDX</w:t>
      </w:r>
      <w:r>
        <w:t xml:space="preserve"> </w:t>
      </w:r>
      <w:r>
        <w:t xml:space="preserve">e</w:t>
      </w:r>
      <w:r>
        <w:t xml:space="preserve"> </w:t>
      </w:r>
      <w:r>
        <w:rPr>
          <w:i/>
          <w:iCs/>
        </w:rPr>
        <w:t xml:space="preserve">EndoPredict</w:t>
      </w:r>
      <w:r>
        <w:t xml:space="preserve"> </w:t>
      </w:r>
      <w:r>
        <w:t xml:space="preserve">seguem essa lógica: não tentam descobrir novos genes no momento do teste; medem um painel fechado e aplicam uma fórmula previamente validada</w:t>
      </w:r>
      <w:r>
        <w:rPr>
          <w:vertAlign w:val="superscript"/>
        </w:rPr>
        <w:t xml:space="preserve">22,29</w:t>
      </w:r>
      <w:r>
        <w:t xml:space="preserve">.</w:t>
      </w:r>
    </w:p>
    <w:p>
      <w:pPr>
        <w:pStyle w:val="BodyText"/>
      </w:pPr>
      <w:r>
        <w:rPr>
          <w:b/>
          <w:bCs/>
        </w:rPr>
        <w:t xml:space="preserve">NanoString nCounter</w:t>
      </w:r>
      <w:r>
        <w:t xml:space="preserve"> </w:t>
      </w:r>
      <w:r>
        <w:t xml:space="preserve">também é uma plataforma direcionada, mas usa sondas moleculares com códigos digitais para contar transcritos sem depender do mesmo tipo de amplificação da PCR. O</w:t>
      </w:r>
      <w:r>
        <w:t xml:space="preserve"> </w:t>
      </w:r>
      <w:r>
        <w:rPr>
          <w:i/>
          <w:iCs/>
        </w:rPr>
        <w:t xml:space="preserve">Prosigna</w:t>
      </w:r>
      <w:r>
        <w:t xml:space="preserve"> </w:t>
      </w:r>
      <w:r>
        <w:t xml:space="preserve">é a implementação clínica do PAM50 nessa plataforma. Sua força é combinar um painel fixo, compatível com</w:t>
      </w:r>
      <w:r>
        <w:t xml:space="preserve"> </w:t>
      </w:r>
      <w:r>
        <w:rPr>
          <w:i/>
          <w:iCs/>
        </w:rPr>
        <w:t xml:space="preserve">FFPE</w:t>
      </w:r>
      <w:r>
        <w:t xml:space="preserve">, com fluxo laboratorial padronizado e validação analítica específica</w:t>
      </w:r>
      <w:r>
        <w:rPr>
          <w:vertAlign w:val="superscript"/>
        </w:rPr>
        <w:t xml:space="preserve">16</w:t>
      </w:r>
      <w:r>
        <w:t xml:space="preserve">. Na prática, isso é diferente de</w:t>
      </w:r>
      <w:r>
        <w:t xml:space="preserve"> </w:t>
      </w:r>
      <w:r>
        <w:t xml:space="preserve">“rodar PAM50”</w:t>
      </w:r>
      <w:r>
        <w:t xml:space="preserve"> </w:t>
      </w:r>
      <w:r>
        <w:t xml:space="preserve">em qualquer matriz pública: o teste comercial inclui controles, normalização e algoritmo definidos para aquela plataforma.</w:t>
      </w:r>
    </w:p>
    <w:p>
      <w:pPr>
        <w:pStyle w:val="BodyText"/>
      </w:pPr>
      <w:r>
        <w:rPr>
          <w:b/>
          <w:bCs/>
        </w:rPr>
        <w:t xml:space="preserve">RNA-seq</w:t>
      </w:r>
      <w:r>
        <w:t xml:space="preserve"> </w:t>
      </w:r>
      <w:r>
        <w:t xml:space="preserve">é a tecnologia mais ampla e contemporânea. Em vez de perguntar apenas se o RNA se ligou a uma sonda, ela sequencia milhões de fragmentos de RNA e conta quantos fragmentos correspondem a cada gene. Isso oferece grande faixa dinâmica, permite detectar transcritos não previstos por uma sonda antiga e se tornou a base de grandes coortes modernas, como SCAN-B e TCGA-BRCA</w:t>
      </w:r>
      <w:r>
        <w:rPr>
          <w:vertAlign w:val="superscript"/>
        </w:rPr>
        <w:t xml:space="preserve">32,33</w:t>
      </w:r>
      <w:r>
        <w:t xml:space="preserve">. Seu custo vem caindo, mas a análise exige bioinformática rigorosa: filtragem, normalização, controle de qualidade, mapeamento de genes e decisão sobre como transformar contagens em uma escala comparável.</w:t>
      </w:r>
    </w:p>
    <w:p>
      <w:pPr>
        <w:pStyle w:val="BodyText"/>
      </w:pPr>
      <w:r>
        <w:rPr>
          <w:b/>
          <w:bCs/>
        </w:rPr>
        <w:t xml:space="preserve">Quadro didático - principais assinaturas gênicas em câncer de mama</w:t>
      </w:r>
    </w:p>
    <w:tbl>
      <w:tblPr>
        <w:tblStyle w:val="Table"/>
        <w:tblW w:type="dxa" w:w="9070"/>
        <w:tblLayout w:type="fixed"/>
        <w:tblLook w:firstRow="1" w:lastRow="0" w:firstColumn="0" w:lastColumn="0" w:noHBand="0" w:noVBand="0" w:val="0020"/>
      </w:tblPr>
      <w:tblGrid>
        <w:gridCol w:w="3091"/>
        <w:gridCol w:w="3091"/>
        <w:gridCol w:w="2888"/>
      </w:tblGrid>
      <w:tr>
        <w:trPr>
          <w:tblHeader w:val="on"/>
        </w:trPr>
        <w:tc>
          <w:tcPr>
            <w:tcW w:w="3091" w:type="dxa"/>
          </w:tcPr>
          <w:p>
            <w:pPr>
              <w:pStyle w:val="Compact"/>
            </w:pPr>
            <w:r>
              <w:t xml:space="preserve">Assinatura</w:t>
            </w:r>
          </w:p>
        </w:tc>
        <w:tc>
          <w:tcPr>
            <w:tcW w:w="3091" w:type="dxa"/>
          </w:tcPr>
          <w:p>
            <w:pPr>
              <w:pStyle w:val="Compact"/>
            </w:pPr>
            <w:r>
              <w:t xml:space="preserve">Plataforma ou lógica original</w:t>
            </w:r>
          </w:p>
        </w:tc>
        <w:tc>
          <w:tcPr>
            <w:tcW w:w="2888" w:type="dxa"/>
          </w:tcPr>
          <w:p>
            <w:pPr>
              <w:pStyle w:val="Compact"/>
            </w:pPr>
            <w:r>
              <w:t xml:space="preserve">Função clínica principal</w:t>
            </w:r>
          </w:p>
        </w:tc>
      </w:tr>
      <w:tr>
        <w:tc>
          <w:tcPr>
            <w:tcW w:w="3091" w:type="dxa"/>
          </w:tcPr>
          <w:p>
            <w:pPr>
              <w:pStyle w:val="Compact"/>
            </w:pPr>
            <w:r>
              <w:rPr>
                <w:i/>
                <w:iCs/>
              </w:rPr>
              <w:t xml:space="preserve">OncotypeDX</w:t>
            </w:r>
          </w:p>
        </w:tc>
        <w:tc>
          <w:tcPr>
            <w:tcW w:w="3091" w:type="dxa"/>
          </w:tcPr>
          <w:p>
            <w:pPr>
              <w:pStyle w:val="Compact"/>
            </w:pPr>
            <w:r>
              <w:t xml:space="preserve">RT-qPCR; 21 genes em</w:t>
            </w:r>
            <w:r>
              <w:t xml:space="preserve"> </w:t>
            </w:r>
            <w:r>
              <w:rPr>
                <w:i/>
                <w:iCs/>
              </w:rPr>
              <w:t xml:space="preserve">FFPE</w:t>
            </w:r>
          </w:p>
        </w:tc>
        <w:tc>
          <w:tcPr>
            <w:tcW w:w="2888" w:type="dxa"/>
          </w:tcPr>
          <w:p>
            <w:pPr>
              <w:pStyle w:val="Compact"/>
            </w:pPr>
            <w:r>
              <w:t xml:space="preserve">Estimar risco de recorrência e benefício de quimioterapia em câncer de mama RE+/HER2- inicial.</w:t>
            </w:r>
          </w:p>
        </w:tc>
      </w:tr>
      <w:tr>
        <w:tc>
          <w:tcPr>
            <w:tcW w:w="3091" w:type="dxa"/>
          </w:tcPr>
          <w:p>
            <w:pPr>
              <w:pStyle w:val="Compact"/>
            </w:pPr>
            <w:r>
              <w:rPr>
                <w:i/>
                <w:iCs/>
              </w:rPr>
              <w:t xml:space="preserve">MammaPrint</w:t>
            </w:r>
          </w:p>
        </w:tc>
        <w:tc>
          <w:tcPr>
            <w:tcW w:w="3091" w:type="dxa"/>
          </w:tcPr>
          <w:p>
            <w:pPr>
              <w:pStyle w:val="Compact"/>
            </w:pPr>
            <w:r>
              <w:t xml:space="preserve">Microarray; 70 genes</w:t>
            </w:r>
          </w:p>
        </w:tc>
        <w:tc>
          <w:tcPr>
            <w:tcW w:w="2888" w:type="dxa"/>
          </w:tcPr>
          <w:p>
            <w:pPr>
              <w:pStyle w:val="Compact"/>
            </w:pPr>
            <w:r>
              <w:t xml:space="preserve">Classificar risco genômico alto ou baixo, inclusive em decisões de quimioterapia quando risco clínico e genômico divergem.</w:t>
            </w:r>
          </w:p>
        </w:tc>
      </w:tr>
      <w:tr>
        <w:tc>
          <w:tcPr>
            <w:tcW w:w="3091" w:type="dxa"/>
          </w:tcPr>
          <w:p>
            <w:pPr>
              <w:pStyle w:val="Compact"/>
            </w:pPr>
            <w:r>
              <w:t xml:space="preserve">PAM50/</w:t>
            </w:r>
            <w:r>
              <w:rPr>
                <w:i/>
                <w:iCs/>
              </w:rPr>
              <w:t xml:space="preserve">Prosigna</w:t>
            </w:r>
          </w:p>
        </w:tc>
        <w:tc>
          <w:tcPr>
            <w:tcW w:w="3091" w:type="dxa"/>
          </w:tcPr>
          <w:p>
            <w:pPr>
              <w:pStyle w:val="Compact"/>
            </w:pPr>
            <w:r>
              <w:t xml:space="preserve">PAM50 em NanoString nCounter; 50 genes</w:t>
            </w:r>
          </w:p>
        </w:tc>
        <w:tc>
          <w:tcPr>
            <w:tcW w:w="2888" w:type="dxa"/>
          </w:tcPr>
          <w:p>
            <w:pPr>
              <w:pStyle w:val="Compact"/>
            </w:pPr>
            <w:r>
              <w:t xml:space="preserve">Atribuir subtipo intrínseco e estimar risco de recorrência por ROR, sobretudo em doença RE+/HER2- inicial.</w:t>
            </w:r>
          </w:p>
        </w:tc>
      </w:tr>
      <w:tr>
        <w:tc>
          <w:tcPr>
            <w:tcW w:w="3091" w:type="dxa"/>
          </w:tcPr>
          <w:p>
            <w:pPr>
              <w:pStyle w:val="Compact"/>
            </w:pPr>
            <w:r>
              <w:rPr>
                <w:i/>
                <w:iCs/>
              </w:rPr>
              <w:t xml:space="preserve">EndoPredict</w:t>
            </w:r>
          </w:p>
        </w:tc>
        <w:tc>
          <w:tcPr>
            <w:tcW w:w="3091" w:type="dxa"/>
          </w:tcPr>
          <w:p>
            <w:pPr>
              <w:pStyle w:val="Compact"/>
            </w:pPr>
            <w:r>
              <w:t xml:space="preserve">RT-qPCR; 12 genes + tamanho tumoral e linfonodos no EPclin</w:t>
            </w:r>
          </w:p>
        </w:tc>
        <w:tc>
          <w:tcPr>
            <w:tcW w:w="2888" w:type="dxa"/>
          </w:tcPr>
          <w:p>
            <w:pPr>
              <w:pStyle w:val="Compact"/>
            </w:pPr>
            <w:r>
              <w:t xml:space="preserve">Estimar risco de recorrência distante, incluindo risco tardio, em doença RE+/HER2-.</w:t>
            </w:r>
          </w:p>
        </w:tc>
      </w:tr>
      <w:tr>
        <w:tc>
          <w:tcPr>
            <w:tcW w:w="3091" w:type="dxa"/>
          </w:tcPr>
          <w:p>
            <w:pPr>
              <w:pStyle w:val="Compact"/>
            </w:pPr>
            <w:r>
              <w:t xml:space="preserve">Breast Cancer Index</w:t>
            </w:r>
          </w:p>
        </w:tc>
        <w:tc>
          <w:tcPr>
            <w:tcW w:w="3091" w:type="dxa"/>
          </w:tcPr>
          <w:p>
            <w:pPr>
              <w:pStyle w:val="Compact"/>
            </w:pPr>
            <w:r>
              <w:t xml:space="preserve">Expressão de HOXB13/IL17BR + módulo de proliferação</w:t>
            </w:r>
          </w:p>
        </w:tc>
        <w:tc>
          <w:tcPr>
            <w:tcW w:w="2888" w:type="dxa"/>
          </w:tcPr>
          <w:p>
            <w:pPr>
              <w:pStyle w:val="Compact"/>
            </w:pPr>
            <w:r>
              <w:t xml:space="preserve">Estimar risco tardio e apoiar decisão sobre extensão de hormonioterapia além de cinco anos.</w:t>
            </w:r>
          </w:p>
        </w:tc>
      </w:tr>
      <w:tr>
        <w:tc>
          <w:tcPr>
            <w:tcW w:w="3091" w:type="dxa"/>
          </w:tcPr>
          <w:p>
            <w:pPr>
              <w:pStyle w:val="Compact"/>
            </w:pPr>
            <w:r>
              <w:t xml:space="preserve">CorePAM</w:t>
            </w:r>
          </w:p>
        </w:tc>
        <w:tc>
          <w:tcPr>
            <w:tcW w:w="3091" w:type="dxa"/>
          </w:tcPr>
          <w:p>
            <w:pPr>
              <w:pStyle w:val="Compact"/>
            </w:pPr>
            <w:r>
              <w:t xml:space="preserve">Escore investigacional de 24 genes derivados do PAM50</w:t>
            </w:r>
          </w:p>
        </w:tc>
        <w:tc>
          <w:tcPr>
            <w:tcW w:w="2888" w:type="dxa"/>
          </w:tcPr>
          <w:p>
            <w:pPr>
              <w:pStyle w:val="Compact"/>
            </w:pPr>
            <w:r>
              <w:t xml:space="preserve">Testar se parte menor do PAM50 preserva informação prognóstica e pode facilitar ensaios futuros mais acessíveis.</w:t>
            </w:r>
          </w:p>
        </w:tc>
      </w:tr>
    </w:tbl>
    <w:p>
      <w:pPr>
        <w:pStyle w:val="BodyText"/>
      </w:pPr>
      <w:r>
        <w:t xml:space="preserve">A transportabilidade entre plataformas é importante porque um escore clinicamente útil deve medir biologia tumoral, não apenas peculiaridades da máquina que gerou os dados. Se um modelo funciona apenas no equipamento em que foi criado, ele pode estar capturando ruído técnico, tipo de sonda, escala de leitura ou processamento computacional, e não risco real da paciente. Por isso, validar um escore em</w:t>
      </w:r>
      <w:r>
        <w:t xml:space="preserve">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 </w:t>
      </w:r>
      <w:r>
        <w:t xml:space="preserve">é um teste mais exigente do que validá-lo apenas em uma coorte parecida com a de treinamento. Neste trabalho, a normalização por</w:t>
      </w:r>
      <w:r>
        <w:t xml:space="preserve"> </w:t>
      </w:r>
      <w:r>
        <w:rPr>
          <w:i/>
          <w:iCs/>
        </w:rPr>
        <w:t xml:space="preserve">z-score</w:t>
      </w:r>
      <w:r>
        <w:t xml:space="preserve">, descrita em detalhe no capítulo de Metodologia, foi escolhida justamente para converter leituras absolutas diferentes em unidades relativas comparáveis. A escolha tem limites e alternativas, como ComBat ou parâmetros congelados, mas a pergunta central permanece clínica: o sinal prognóstico sobrevive quando mudam laboratório, população, plataforma e escala de medição?</w:t>
      </w:r>
      <w:r>
        <w:rPr>
          <w:vertAlign w:val="superscript"/>
        </w:rPr>
        <w:t xml:space="preserve">34–36</w:t>
      </w:r>
      <w:r>
        <w:t xml:space="preserve">.</w:t>
      </w:r>
    </w:p>
    <w:bookmarkEnd w:id="45"/>
    <w:bookmarkStart w:id="48"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Quando se cria uma assinatura gênica, a pergunta nunca é apenas se ela funciona no conjunto em que nasceu. Isso quase sempre é possível, porque o modelo aprendeu naquele ambiente. A pergunta real é mais exigente:</w:t>
      </w:r>
      <w:r>
        <w:t xml:space="preserve"> </w:t>
      </w:r>
      <w:r>
        <w:rPr>
          <w:b/>
          <w:bCs/>
        </w:rPr>
        <w:t xml:space="preserve">o sinal continua existindo quando mudam as pacientes, o laboratório, a plataforma, o tempo de seguimento e o desfecho?</w:t>
      </w:r>
      <w:r>
        <w:t xml:space="preserve"> </w:t>
      </w:r>
      <w:r>
        <w:t xml:space="preserve">Por isso, as coortes foram selecionadas como uma sequência de testes de estresse. Primeiro, uma coorte grande e moderna para derivar o escore; depois, coortes externas para saber se o escore viaja para outras tecnologias e populações; por fim, coortes neoadjuvantes para perguntar se a informação prognóstica também se relaciona com resposta à quimioterapia.</w:t>
      </w:r>
    </w:p>
    <w:p>
      <w:pPr>
        <w:jc w:val="left"/>
        <w:spacing w:before="200"/>
        <w:pStyle w:val="ImageCaption"/>
      </w:pPr>
      <w:bookmarkStart w:id="46" w:name="tbl-blocos-coortes"/>
      <w:r>
        <w:t xml:space="preserve">Tabela 1 — Mapa dos blocos de coortes e das perguntas metodológicas do estudo</w:t>
      </w:r>
    </w:p>
    <w:tbl>
      <w:tblPr>
        <w:tblStyle w:val="Table"/>
        <w:tblW w:type="dxa" w:w="9070"/>
        <w:tblLayout w:type="fixed"/>
        <w:tblLook w:firstRow="1" w:lastRow="0" w:firstColumn="0" w:lastColumn="0" w:noHBand="0" w:noVBand="0" w:val="0020"/>
      </w:tblPr>
      <w:tblGrid>
        <w:gridCol w:w="2302"/>
        <w:gridCol w:w="2149"/>
        <w:gridCol w:w="2467"/>
        <w:gridCol w:w="2152"/>
      </w:tblGrid>
      <w:tr>
        <w:trPr>
          <w:tblHeader w:val="on"/>
        </w:trPr>
        <w:tc>
          <w:tcPr>
            <w:tcW w:w="2302" w:type="dxa"/>
          </w:tcPr>
          <w:p>
            <w:pPr>
              <w:pStyle w:val="Compact"/>
              <w:jc w:val="center"/>
            </w:pPr>
            <w:r>
              <w:t xml:space="preserve">Bloco analítico</w:t>
            </w:r>
          </w:p>
        </w:tc>
        <w:tc>
          <w:tcPr>
            <w:tcW w:w="2149" w:type="dxa"/>
          </w:tcPr>
          <w:p>
            <w:pPr>
              <w:pStyle w:val="Compact"/>
              <w:jc w:val="center"/>
            </w:pPr>
            <w:r>
              <w:t xml:space="preserve">Coortes incluídas</w:t>
            </w:r>
          </w:p>
        </w:tc>
        <w:tc>
          <w:tcPr>
            <w:tcW w:w="2467" w:type="dxa"/>
          </w:tcPr>
          <w:p>
            <w:pPr>
              <w:pStyle w:val="Compact"/>
              <w:jc w:val="center"/>
            </w:pPr>
            <w:r>
              <w:t xml:space="preserve">Pergunta que o bloco responde</w:t>
            </w:r>
          </w:p>
        </w:tc>
        <w:tc>
          <w:tcPr>
            <w:tcW w:w="2152" w:type="dxa"/>
          </w:tcPr>
          <w:p>
            <w:pPr>
              <w:pStyle w:val="Compact"/>
              <w:jc w:val="center"/>
            </w:pPr>
            <w:r>
              <w:t xml:space="preserve">Por que é necessário</w:t>
            </w:r>
          </w:p>
        </w:tc>
      </w:tr>
      <w:tr>
        <w:tc>
          <w:tcPr>
            <w:tcW w:w="2302" w:type="dxa"/>
          </w:tcPr>
          <w:p>
            <w:pPr>
              <w:pStyle w:val="Compact"/>
              <w:jc w:val="center"/>
            </w:pPr>
            <w:r>
              <w:t xml:space="preserve">Derivação</w:t>
            </w:r>
          </w:p>
        </w:tc>
        <w:tc>
          <w:tcPr>
            <w:tcW w:w="2149" w:type="dxa"/>
          </w:tcPr>
          <w:p>
            <w:pPr>
              <w:pStyle w:val="Compact"/>
              <w:jc w:val="center"/>
            </w:pPr>
            <w:r>
              <w:t xml:space="preserve">SCAN-B</w:t>
            </w:r>
          </w:p>
        </w:tc>
        <w:tc>
          <w:tcPr>
            <w:tcW w:w="2467" w:type="dxa"/>
          </w:tcPr>
          <w:p>
            <w:pPr>
              <w:pStyle w:val="Compact"/>
              <w:jc w:val="center"/>
            </w:pPr>
            <w:r>
              <w:t xml:space="preserve">Quais genes e pesos formam o menor escore que preserva desempenho prognóstico?</w:t>
            </w:r>
          </w:p>
        </w:tc>
        <w:tc>
          <w:tcPr>
            <w:tcW w:w="2152" w:type="dxa"/>
          </w:tcPr>
          <w:p>
            <w:pPr>
              <w:pStyle w:val="Compact"/>
              <w:jc w:val="center"/>
            </w:pPr>
            <w:r>
              <w:t xml:space="preserve">É o ambiente de aprendizado. Deve ser grande, bem anotado e biologicamente rico.</w:t>
            </w:r>
          </w:p>
        </w:tc>
      </w:tr>
      <w:tr>
        <w:tc>
          <w:tcPr>
            <w:tcW w:w="2302" w:type="dxa"/>
          </w:tcPr>
          <w:p>
            <w:pPr>
              <w:pStyle w:val="Compact"/>
              <w:jc w:val="center"/>
            </w:pPr>
            <w:r>
              <w:t xml:space="preserve">Validação externa de sobrevida</w:t>
            </w:r>
          </w:p>
        </w:tc>
        <w:tc>
          <w:tcPr>
            <w:tcW w:w="2149" w:type="dxa"/>
          </w:tcPr>
          <w:p>
            <w:pPr>
              <w:pStyle w:val="Compact"/>
              <w:jc w:val="center"/>
            </w:pPr>
            <w:r>
              <w:t xml:space="preserve">TCGA-BRCA, METABRIC, GSE20685, GSE1456</w:t>
            </w:r>
          </w:p>
        </w:tc>
        <w:tc>
          <w:tcPr>
            <w:tcW w:w="2467" w:type="dxa"/>
          </w:tcPr>
          <w:p>
            <w:pPr>
              <w:pStyle w:val="Compact"/>
              <w:jc w:val="center"/>
            </w:pPr>
            <w:r>
              <w:t xml:space="preserve">O escore prediz desfecho fora da coorte em que foi criado?</w:t>
            </w:r>
          </w:p>
        </w:tc>
        <w:tc>
          <w:tcPr>
            <w:tcW w:w="2152" w:type="dxa"/>
          </w:tcPr>
          <w:p>
            <w:pPr>
              <w:pStyle w:val="Compact"/>
              <w:jc w:val="center"/>
            </w:pPr>
            <w:r>
              <w:t xml:space="preserve">Testa generalização clínica, populacional e tecnológica.</w:t>
            </w:r>
          </w:p>
        </w:tc>
      </w:tr>
      <w:tr>
        <w:tc>
          <w:tcPr>
            <w:tcW w:w="2302" w:type="dxa"/>
          </w:tcPr>
          <w:p>
            <w:pPr>
              <w:pStyle w:val="Compact"/>
              <w:jc w:val="center"/>
            </w:pPr>
            <w:r>
              <w:t xml:space="preserve">Validação</w:t>
            </w:r>
            <w:r>
              <w:t xml:space="preserve"> </w:t>
            </w:r>
            <w:r>
              <w:rPr>
                <w:i/>
                <w:iCs/>
              </w:rPr>
              <w:t xml:space="preserve">cross-plataforma</w:t>
            </w:r>
          </w:p>
        </w:tc>
        <w:tc>
          <w:tcPr>
            <w:tcW w:w="2149" w:type="dxa"/>
          </w:tcPr>
          <w:p>
            <w:pPr>
              <w:pStyle w:val="Compact"/>
              <w:jc w:val="center"/>
            </w:pPr>
            <w:r>
              <w:t xml:space="preserve">RNA-seq, microarray Illumina, microarray Affymetrix</w:t>
            </w:r>
          </w:p>
        </w:tc>
        <w:tc>
          <w:tcPr>
            <w:tcW w:w="2467" w:type="dxa"/>
          </w:tcPr>
          <w:p>
            <w:pPr>
              <w:pStyle w:val="Compact"/>
              <w:jc w:val="center"/>
            </w:pPr>
            <w:r>
              <w:t xml:space="preserve">O escore mede biologia tumoral ou apenas particularidades da plataforma?</w:t>
            </w:r>
          </w:p>
        </w:tc>
        <w:tc>
          <w:tcPr>
            <w:tcW w:w="2152" w:type="dxa"/>
          </w:tcPr>
          <w:p>
            <w:pPr>
              <w:pStyle w:val="Compact"/>
              <w:jc w:val="center"/>
            </w:pPr>
            <w:r>
              <w:t xml:space="preserve">Um teste útil precisa sobreviver a diferenças de escala, sonda e processamento.</w:t>
            </w:r>
          </w:p>
        </w:tc>
      </w:tr>
      <w:tr>
        <w:tc>
          <w:tcPr>
            <w:tcW w:w="2302" w:type="dxa"/>
          </w:tcPr>
          <w:p>
            <w:pPr>
              <w:pStyle w:val="Compact"/>
              <w:jc w:val="center"/>
            </w:pPr>
            <w:r>
              <w:t xml:space="preserve">Análise secundária de pCR</w:t>
            </w:r>
          </w:p>
        </w:tc>
        <w:tc>
          <w:tcPr>
            <w:tcW w:w="2149" w:type="dxa"/>
          </w:tcPr>
          <w:p>
            <w:pPr>
              <w:pStyle w:val="Compact"/>
              <w:jc w:val="center"/>
            </w:pPr>
            <w:r>
              <w:t xml:space="preserve">GSE25066, GSE20194, GSE32646, I-SPY1, I-SPY2</w:t>
            </w:r>
          </w:p>
        </w:tc>
        <w:tc>
          <w:tcPr>
            <w:tcW w:w="2467" w:type="dxa"/>
          </w:tcPr>
          <w:p>
            <w:pPr>
              <w:pStyle w:val="Compact"/>
              <w:jc w:val="center"/>
            </w:pPr>
            <w:r>
              <w:t xml:space="preserve">Um escore derivado para prognóstico também captura quimiossensibilidade?</w:t>
            </w:r>
          </w:p>
        </w:tc>
        <w:tc>
          <w:tcPr>
            <w:tcW w:w="2152" w:type="dxa"/>
          </w:tcPr>
          <w:p>
            <w:pPr>
              <w:pStyle w:val="Compact"/>
              <w:jc w:val="center"/>
            </w:pPr>
            <w:r>
              <w:t xml:space="preserve">Tumores mais proliferativos podem ser mais agressivos e, ao mesmo tempo, mais sensíveis à quimioterapia.</w:t>
            </w:r>
          </w:p>
        </w:tc>
      </w:tr>
    </w:tbl>
    <w:bookmarkEnd w:id="46"/>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37,38</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39</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40</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41</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42</w:t>
      </w:r>
      <w:r>
        <w:t xml:space="preserve">, GSE20194</w:t>
      </w:r>
      <w:r>
        <w:rPr>
          <w:vertAlign w:val="superscript"/>
        </w:rPr>
        <w:t xml:space="preserve">34</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p>
      <w:pPr>
        <w:jc w:val="left"/>
        <w:spacing w:before="200"/>
        <w:pStyle w:val="ImageCaption"/>
      </w:pPr>
      <w:bookmarkStart w:id="47" w:name="tbl-papel-coortes"/>
      <w:r>
        <w:t xml:space="preserve">Tabela 2 — Papel de cada coorte na construção e validação do CorePAM</w:t>
      </w:r>
    </w:p>
    <w:tbl>
      <w:tblPr>
        <w:tblStyle w:val="Table"/>
        <w:tblW w:type="dxa" w:w="9070"/>
        <w:tblLayout w:type="fixed"/>
        <w:tblLook w:firstRow="1" w:lastRow="0" w:firstColumn="0" w:lastColumn="0" w:noHBand="0" w:noVBand="0" w:val="0020"/>
      </w:tblPr>
      <w:tblGrid>
        <w:gridCol w:w="1600"/>
        <w:gridCol w:w="2481"/>
        <w:gridCol w:w="2481"/>
        <w:gridCol w:w="2508"/>
      </w:tblGrid>
      <w:tr>
        <w:trPr>
          <w:tblHeader w:val="on"/>
        </w:trPr>
        <w:tc>
          <w:tcPr>
            <w:tcW w:w="1600" w:type="dxa"/>
          </w:tcPr>
          <w:p>
            <w:pPr>
              <w:pStyle w:val="Compact"/>
              <w:jc w:val="center"/>
            </w:pPr>
            <w:r>
              <w:t xml:space="preserve">Coorte</w:t>
            </w:r>
          </w:p>
        </w:tc>
        <w:tc>
          <w:tcPr>
            <w:tcW w:w="2481" w:type="dxa"/>
          </w:tcPr>
          <w:p>
            <w:pPr>
              <w:pStyle w:val="Compact"/>
              <w:jc w:val="center"/>
            </w:pPr>
            <w:r>
              <w:t xml:space="preserve">Plataforma e população</w:t>
            </w:r>
          </w:p>
        </w:tc>
        <w:tc>
          <w:tcPr>
            <w:tcW w:w="2481" w:type="dxa"/>
          </w:tcPr>
          <w:p>
            <w:pPr>
              <w:pStyle w:val="Compact"/>
              <w:jc w:val="center"/>
            </w:pPr>
            <w:r>
              <w:t xml:space="preserve">Papel no estudo</w:t>
            </w:r>
          </w:p>
        </w:tc>
        <w:tc>
          <w:tcPr>
            <w:tcW w:w="2508" w:type="dxa"/>
          </w:tcPr>
          <w:p>
            <w:pPr>
              <w:pStyle w:val="Compact"/>
              <w:jc w:val="center"/>
            </w:pPr>
            <w:r>
              <w:t xml:space="preserve">O que ela testa</w:t>
            </w:r>
          </w:p>
        </w:tc>
      </w:tr>
      <w:tr>
        <w:tc>
          <w:tcPr>
            <w:tcW w:w="1600" w:type="dxa"/>
          </w:tcPr>
          <w:p>
            <w:pPr>
              <w:pStyle w:val="Compact"/>
              <w:jc w:val="center"/>
            </w:pPr>
            <w:r>
              <w:t xml:space="preserve">SCAN-B</w:t>
            </w:r>
          </w:p>
        </w:tc>
        <w:tc>
          <w:tcPr>
            <w:tcW w:w="2481" w:type="dxa"/>
          </w:tcPr>
          <w:p>
            <w:pPr>
              <w:pStyle w:val="Compact"/>
              <w:jc w:val="center"/>
            </w:pPr>
            <w:r>
              <w:t xml:space="preserve">RNA-seq Illumina; coorte sueca prospectiva</w:t>
            </w:r>
          </w:p>
        </w:tc>
        <w:tc>
          <w:tcPr>
            <w:tcW w:w="2481" w:type="dxa"/>
          </w:tcPr>
          <w:p>
            <w:pPr>
              <w:pStyle w:val="Compact"/>
              <w:jc w:val="center"/>
            </w:pPr>
            <w:r>
              <w:t xml:space="preserve">Derivação</w:t>
            </w:r>
          </w:p>
        </w:tc>
        <w:tc>
          <w:tcPr>
            <w:tcW w:w="2508" w:type="dxa"/>
          </w:tcPr>
          <w:p>
            <w:pPr>
              <w:pStyle w:val="Compact"/>
              <w:jc w:val="center"/>
            </w:pPr>
            <w:r>
              <w:t xml:space="preserve">Escolha dos 24 genes, pesos do escore e limiar de não inferioridade.</w:t>
            </w:r>
          </w:p>
        </w:tc>
      </w:tr>
      <w:tr>
        <w:tc>
          <w:tcPr>
            <w:tcW w:w="1600" w:type="dxa"/>
          </w:tcPr>
          <w:p>
            <w:pPr>
              <w:pStyle w:val="Compact"/>
              <w:jc w:val="center"/>
            </w:pPr>
            <w:r>
              <w:t xml:space="preserve">TCGA-BRCA</w:t>
            </w:r>
          </w:p>
        </w:tc>
        <w:tc>
          <w:tcPr>
            <w:tcW w:w="2481" w:type="dxa"/>
          </w:tcPr>
          <w:p>
            <w:pPr>
              <w:pStyle w:val="Compact"/>
              <w:jc w:val="center"/>
            </w:pPr>
            <w:r>
              <w:t xml:space="preserve">RNA-seq STAR/GDC; consórcio norte-americano</w:t>
            </w:r>
          </w:p>
        </w:tc>
        <w:tc>
          <w:tcPr>
            <w:tcW w:w="2481" w:type="dxa"/>
          </w:tcPr>
          <w:p>
            <w:pPr>
              <w:pStyle w:val="Compact"/>
              <w:jc w:val="center"/>
            </w:pPr>
            <w:r>
              <w:t xml:space="preserve">Validação externa</w:t>
            </w:r>
          </w:p>
        </w:tc>
        <w:tc>
          <w:tcPr>
            <w:tcW w:w="2508" w:type="dxa"/>
          </w:tcPr>
          <w:p>
            <w:pPr>
              <w:pStyle w:val="Compact"/>
              <w:jc w:val="center"/>
            </w:pPr>
            <w:r>
              <w:t xml:space="preserve">Se o escore se mantém em outro RNA-seq, com outro processamento e seguimento mais curto.</w:t>
            </w:r>
          </w:p>
        </w:tc>
      </w:tr>
      <w:tr>
        <w:tc>
          <w:tcPr>
            <w:tcW w:w="1600" w:type="dxa"/>
          </w:tcPr>
          <w:p>
            <w:pPr>
              <w:pStyle w:val="Compact"/>
              <w:jc w:val="center"/>
            </w:pPr>
            <w:r>
              <w:t xml:space="preserve">METABRIC</w:t>
            </w:r>
          </w:p>
        </w:tc>
        <w:tc>
          <w:tcPr>
            <w:tcW w:w="2481" w:type="dxa"/>
          </w:tcPr>
          <w:p>
            <w:pPr>
              <w:pStyle w:val="Compact"/>
              <w:jc w:val="center"/>
            </w:pPr>
            <w:r>
              <w:t xml:space="preserve">Microarray Illumina; seguimento longo</w:t>
            </w:r>
          </w:p>
        </w:tc>
        <w:tc>
          <w:tcPr>
            <w:tcW w:w="2481" w:type="dxa"/>
          </w:tcPr>
          <w:p>
            <w:pPr>
              <w:pStyle w:val="Compact"/>
              <w:jc w:val="center"/>
            </w:pPr>
            <w:r>
              <w:t xml:space="preserve">Validação externa</w:t>
            </w:r>
          </w:p>
        </w:tc>
        <w:tc>
          <w:tcPr>
            <w:tcW w:w="2508" w:type="dxa"/>
          </w:tcPr>
          <w:p>
            <w:pPr>
              <w:pStyle w:val="Compact"/>
              <w:jc w:val="center"/>
            </w:pPr>
            <w:r>
              <w:t xml:space="preserve">Se o escore preserva sinal em microarray Illumina e em sobrevida doença-específica.</w:t>
            </w:r>
          </w:p>
        </w:tc>
      </w:tr>
      <w:tr>
        <w:tc>
          <w:tcPr>
            <w:tcW w:w="1600" w:type="dxa"/>
          </w:tcPr>
          <w:p>
            <w:pPr>
              <w:pStyle w:val="Compact"/>
              <w:jc w:val="center"/>
            </w:pPr>
            <w:r>
              <w:t xml:space="preserve">GSE20685</w:t>
            </w:r>
          </w:p>
        </w:tc>
        <w:tc>
          <w:tcPr>
            <w:tcW w:w="2481" w:type="dxa"/>
          </w:tcPr>
          <w:p>
            <w:pPr>
              <w:pStyle w:val="Compact"/>
              <w:jc w:val="center"/>
            </w:pPr>
            <w:r>
              <w:t xml:space="preserve">Microarray Affymetrix; população asiática</w:t>
            </w:r>
          </w:p>
        </w:tc>
        <w:tc>
          <w:tcPr>
            <w:tcW w:w="2481" w:type="dxa"/>
          </w:tcPr>
          <w:p>
            <w:pPr>
              <w:pStyle w:val="Compact"/>
              <w:jc w:val="center"/>
            </w:pPr>
            <w:r>
              <w:t xml:space="preserve">Validação externa</w:t>
            </w:r>
          </w:p>
        </w:tc>
        <w:tc>
          <w:tcPr>
            <w:tcW w:w="2508" w:type="dxa"/>
          </w:tcPr>
          <w:p>
            <w:pPr>
              <w:pStyle w:val="Compact"/>
              <w:jc w:val="center"/>
            </w:pPr>
            <w:r>
              <w:t xml:space="preserve">Se o escore resiste a população diferente e plataforma Affymetrix.</w:t>
            </w:r>
          </w:p>
        </w:tc>
      </w:tr>
      <w:tr>
        <w:tc>
          <w:tcPr>
            <w:tcW w:w="1600" w:type="dxa"/>
          </w:tcPr>
          <w:p>
            <w:pPr>
              <w:pStyle w:val="Compact"/>
              <w:jc w:val="center"/>
            </w:pPr>
            <w:r>
              <w:t xml:space="preserve">GSE1456</w:t>
            </w:r>
          </w:p>
        </w:tc>
        <w:tc>
          <w:tcPr>
            <w:tcW w:w="2481" w:type="dxa"/>
          </w:tcPr>
          <w:p>
            <w:pPr>
              <w:pStyle w:val="Compact"/>
              <w:jc w:val="center"/>
            </w:pPr>
            <w:r>
              <w:t xml:space="preserve">Microarray Affymetrix antigo; menor N</w:t>
            </w:r>
          </w:p>
        </w:tc>
        <w:tc>
          <w:tcPr>
            <w:tcW w:w="2481" w:type="dxa"/>
          </w:tcPr>
          <w:p>
            <w:pPr>
              <w:pStyle w:val="Compact"/>
              <w:jc w:val="center"/>
            </w:pPr>
            <w:r>
              <w:t xml:space="preserve">Validação externa difícil</w:t>
            </w:r>
          </w:p>
        </w:tc>
        <w:tc>
          <w:tcPr>
            <w:tcW w:w="2508" w:type="dxa"/>
          </w:tcPr>
          <w:p>
            <w:pPr>
              <w:pStyle w:val="Compact"/>
              <w:jc w:val="center"/>
            </w:pPr>
            <w:r>
              <w:t xml:space="preserve">Se o escore ainda funciona com menor tamanho amostral e cobertura gênica parcial.</w:t>
            </w:r>
          </w:p>
        </w:tc>
      </w:tr>
      <w:tr>
        <w:tc>
          <w:tcPr>
            <w:tcW w:w="1600" w:type="dxa"/>
          </w:tcPr>
          <w:p>
            <w:pPr>
              <w:pStyle w:val="Compact"/>
              <w:jc w:val="center"/>
            </w:pPr>
            <w:r>
              <w:t xml:space="preserve">GSE25066</w:t>
            </w:r>
          </w:p>
        </w:tc>
        <w:tc>
          <w:tcPr>
            <w:tcW w:w="2481" w:type="dxa"/>
          </w:tcPr>
          <w:p>
            <w:pPr>
              <w:pStyle w:val="Compact"/>
              <w:jc w:val="center"/>
            </w:pPr>
            <w:r>
              <w:t xml:space="preserve">Microarray; tratamento neoadjuvante</w:t>
            </w:r>
          </w:p>
        </w:tc>
        <w:tc>
          <w:tcPr>
            <w:tcW w:w="2481" w:type="dxa"/>
          </w:tcPr>
          <w:p>
            <w:pPr>
              <w:pStyle w:val="Compact"/>
              <w:jc w:val="center"/>
            </w:pPr>
            <w:r>
              <w:t xml:space="preserve">pCR primária</w:t>
            </w:r>
          </w:p>
        </w:tc>
        <w:tc>
          <w:tcPr>
            <w:tcW w:w="2508" w:type="dxa"/>
          </w:tcPr>
          <w:p>
            <w:pPr>
              <w:pStyle w:val="Compact"/>
              <w:jc w:val="center"/>
            </w:pPr>
            <w:r>
              <w:t xml:space="preserve">Relação entre escore e resposta patológica completa à quimioterapia.</w:t>
            </w:r>
          </w:p>
        </w:tc>
      </w:tr>
      <w:tr>
        <w:tc>
          <w:tcPr>
            <w:tcW w:w="1600" w:type="dxa"/>
          </w:tcPr>
          <w:p>
            <w:pPr>
              <w:pStyle w:val="Compact"/>
              <w:jc w:val="center"/>
            </w:pPr>
            <w:r>
              <w:t xml:space="preserve">GSE20194</w:t>
            </w:r>
          </w:p>
        </w:tc>
        <w:tc>
          <w:tcPr>
            <w:tcW w:w="2481" w:type="dxa"/>
          </w:tcPr>
          <w:p>
            <w:pPr>
              <w:pStyle w:val="Compact"/>
              <w:jc w:val="center"/>
            </w:pPr>
            <w:r>
              <w:t xml:space="preserve">Microarray; MAQC-II</w:t>
            </w:r>
          </w:p>
        </w:tc>
        <w:tc>
          <w:tcPr>
            <w:tcW w:w="2481" w:type="dxa"/>
          </w:tcPr>
          <w:p>
            <w:pPr>
              <w:pStyle w:val="Compact"/>
              <w:jc w:val="center"/>
            </w:pPr>
            <w:r>
              <w:t xml:space="preserve">pCR primária</w:t>
            </w:r>
          </w:p>
        </w:tc>
        <w:tc>
          <w:tcPr>
            <w:tcW w:w="2508" w:type="dxa"/>
          </w:tcPr>
          <w:p>
            <w:pPr>
              <w:pStyle w:val="Compact"/>
              <w:jc w:val="center"/>
            </w:pPr>
            <w:r>
              <w:t xml:space="preserve">Reprodutibilidade em coorte usada para avaliação de modelos preditivos.</w:t>
            </w:r>
          </w:p>
        </w:tc>
      </w:tr>
      <w:tr>
        <w:tc>
          <w:tcPr>
            <w:tcW w:w="1600" w:type="dxa"/>
          </w:tcPr>
          <w:p>
            <w:pPr>
              <w:pStyle w:val="Compact"/>
              <w:jc w:val="center"/>
            </w:pPr>
            <w:r>
              <w:t xml:space="preserve">GSE32646</w:t>
            </w:r>
          </w:p>
        </w:tc>
        <w:tc>
          <w:tcPr>
            <w:tcW w:w="2481" w:type="dxa"/>
          </w:tcPr>
          <w:p>
            <w:pPr>
              <w:pStyle w:val="Compact"/>
              <w:jc w:val="center"/>
            </w:pPr>
            <w:r>
              <w:t xml:space="preserve">Microarray; neoadjuvância</w:t>
            </w:r>
          </w:p>
        </w:tc>
        <w:tc>
          <w:tcPr>
            <w:tcW w:w="2481" w:type="dxa"/>
          </w:tcPr>
          <w:p>
            <w:pPr>
              <w:pStyle w:val="Compact"/>
              <w:jc w:val="center"/>
            </w:pPr>
            <w:r>
              <w:t xml:space="preserve">pCR primária</w:t>
            </w:r>
          </w:p>
        </w:tc>
        <w:tc>
          <w:tcPr>
            <w:tcW w:w="2508" w:type="dxa"/>
          </w:tcPr>
          <w:p>
            <w:pPr>
              <w:pStyle w:val="Compact"/>
              <w:jc w:val="center"/>
            </w:pPr>
            <w:r>
              <w:t xml:space="preserve">Consistência do sinal de quimiossensibilidade em outra série independente.</w:t>
            </w:r>
          </w:p>
        </w:tc>
      </w:tr>
      <w:tr>
        <w:tc>
          <w:tcPr>
            <w:tcW w:w="1600" w:type="dxa"/>
          </w:tcPr>
          <w:p>
            <w:pPr>
              <w:pStyle w:val="Compact"/>
              <w:jc w:val="center"/>
            </w:pPr>
            <w:r>
              <w:t xml:space="preserve">I-SPY1</w:t>
            </w:r>
          </w:p>
        </w:tc>
        <w:tc>
          <w:tcPr>
            <w:tcW w:w="2481" w:type="dxa"/>
          </w:tcPr>
          <w:p>
            <w:pPr>
              <w:pStyle w:val="Compact"/>
              <w:jc w:val="center"/>
            </w:pPr>
            <w:r>
              <w:t xml:space="preserve">Microarray Agilent; ensaio neoadjuvante</w:t>
            </w:r>
          </w:p>
        </w:tc>
        <w:tc>
          <w:tcPr>
            <w:tcW w:w="2481" w:type="dxa"/>
          </w:tcPr>
          <w:p>
            <w:pPr>
              <w:pStyle w:val="Compact"/>
              <w:jc w:val="center"/>
            </w:pPr>
            <w:r>
              <w:t xml:space="preserve">pCR primária</w:t>
            </w:r>
          </w:p>
        </w:tc>
        <w:tc>
          <w:tcPr>
            <w:tcW w:w="2508" w:type="dxa"/>
          </w:tcPr>
          <w:p>
            <w:pPr>
              <w:pStyle w:val="Compact"/>
              <w:jc w:val="center"/>
            </w:pPr>
            <w:r>
              <w:t xml:space="preserve">Desempenho em contexto prospectivo de terapia neoadjuvante.</w:t>
            </w:r>
          </w:p>
        </w:tc>
      </w:tr>
      <w:tr>
        <w:tc>
          <w:tcPr>
            <w:tcW w:w="1600" w:type="dxa"/>
          </w:tcPr>
          <w:p>
            <w:pPr>
              <w:pStyle w:val="Compact"/>
              <w:jc w:val="center"/>
            </w:pPr>
            <w:r>
              <w:t xml:space="preserve">I-SPY2</w:t>
            </w:r>
          </w:p>
        </w:tc>
        <w:tc>
          <w:tcPr>
            <w:tcW w:w="2481" w:type="dxa"/>
          </w:tcPr>
          <w:p>
            <w:pPr>
              <w:pStyle w:val="Compact"/>
              <w:jc w:val="center"/>
            </w:pPr>
            <w:r>
              <w:t xml:space="preserve">RNA-seq; ensaio adaptativo contemporâneo</w:t>
            </w:r>
          </w:p>
        </w:tc>
        <w:tc>
          <w:tcPr>
            <w:tcW w:w="2481" w:type="dxa"/>
          </w:tcPr>
          <w:p>
            <w:pPr>
              <w:pStyle w:val="Compact"/>
              <w:jc w:val="center"/>
            </w:pPr>
            <w:r>
              <w:t xml:space="preserve">pCR exploratória</w:t>
            </w:r>
          </w:p>
        </w:tc>
        <w:tc>
          <w:tcPr>
            <w:tcW w:w="2508" w:type="dxa"/>
          </w:tcPr>
          <w:p>
            <w:pPr>
              <w:pStyle w:val="Compact"/>
              <w:jc w:val="center"/>
            </w:pPr>
            <w:r>
              <w:t xml:space="preserve">Se o achado se mantém em coorte moderna e maior, sem substituir as análises primárias.</w:t>
            </w:r>
          </w:p>
        </w:tc>
      </w:tr>
    </w:tbl>
    <w:bookmarkEnd w:id="47"/>
    <w:p/>
    <w:bookmarkEnd w:id="48"/>
    <w:bookmarkStart w:id="49"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9"/>
    <w:bookmarkEnd w:id="50"/>
    <w:bookmarkStart w:id="53" w:name="objetivos"/>
    <w:p>
      <w:pPr>
        <w:pageBreakBefore/>
        <w:pStyle w:val="Heading1"/>
      </w:pPr>
      <w:r>
        <w:t xml:space="preserve">2. OBJETIVOS</w:t>
      </w:r>
    </w:p>
    <w:bookmarkStart w:id="51"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51"/>
    <w:bookmarkStart w:id="52"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52"/>
    <w:bookmarkEnd w:id="53"/>
    <w:bookmarkStart w:id="101" w:name="método"/>
    <w:p>
      <w:pPr>
        <w:pageBreakBefore/>
        <w:pStyle w:val="Heading1"/>
      </w:pPr>
      <w:r>
        <w:t xml:space="preserve">3. MÉTODO</w:t>
      </w:r>
    </w:p>
    <w:bookmarkStart w:id="63" w:name="delineamento-do-estudo-e-aspectos-éticos"/>
    <w:p>
      <w:pPr>
        <w:pStyle w:val="Heading2"/>
      </w:pPr>
      <w:r>
        <w:t xml:space="preserve">3.1 Delineamento do estudo e aspectos éticos</w:t>
      </w:r>
    </w:p>
    <w:bookmarkStart w:id="58"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color w:val="0563C1"/>
            <w:u w:val="single"/>
          </w:rPr>
          <w:t xml:space="preserve">Figura 4</w:t>
        </w:r>
      </w:hyperlink>
      <w:r>
        <w:t xml:space="preserve"> </w:t>
      </w:r>
      <w:r>
        <w:t xml:space="preserve">apresenta o desenho do estudo.</w:t>
      </w:r>
    </w:p>
    <w:p>
      <w:pPr>
        <w:pStyle w:val="Compact"/>
        <w:jc w:val="center"/>
      </w:pPr>
      <w:bookmarkStart w:id="57" w:name="fig-study-design"/>
      <w:r>
        <w:drawing>
          <wp:inline>
            <wp:extent cx="5687999" cy="4159880"/>
            <wp:effectExtent b="0" l="0" r="0" t="0"/>
            <wp:docPr descr="" title="" id="55" name="Picture"/>
            <a:graphic>
              <a:graphicData uri="http://schemas.openxmlformats.org/drawingml/2006/picture">
                <pic:pic>
                  <pic:nvPicPr>
                    <pic:cNvPr descr="../figures/main/pt/png/Fig1_StudyDesign_PT.png" id="56" name="Picture"/>
                    <pic:cNvPicPr>
                      <a:picLocks noChangeArrowheads="1" noChangeAspect="1"/>
                    </pic:cNvPicPr>
                  </pic:nvPicPr>
                  <pic:blipFill>
                    <a:blip r:embed="rId54"/>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4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7"/>
    <w:p>
      <w:pPr>
        <w:pStyle w:val="BodyText"/>
      </w:pPr>
      <w:r>
        <w:t xml:space="preserve">Na</w:t>
      </w:r>
      <w:r>
        <w:t xml:space="preserve"> </w:t>
      </w:r>
      <w:hyperlink w:anchor="fig-study-design">
        <w:r>
          <w:rPr>
            <w:rStyle w:val="Hyperlink"/>
            <w:color w:val="0563C1"/>
            <w:u w:val="single"/>
          </w:rPr>
          <w:t xml:space="preserve">Figura 4</w:t>
        </w:r>
      </w:hyperlink>
      <w:r>
        <w:t xml:space="preserve">, a leitura começa pelo primeiro quadro: a coorte SCAN-B entra como coorte de derivação. Ela é grande, moderna e medida por</w:t>
      </w:r>
      <w:r>
        <w:t xml:space="preserve"> </w:t>
      </w:r>
      <w:r>
        <w:rPr>
          <w:i/>
          <w:iCs/>
        </w:rPr>
        <w:t xml:space="preserve">RNA-seq</w:t>
      </w:r>
      <w:r>
        <w:t xml:space="preserve">, por isso funciona como um bom</w:t>
      </w:r>
      <w:r>
        <w:t xml:space="preserve"> </w:t>
      </w:r>
      <w:r>
        <w:t xml:space="preserve">“hospital-escola”</w:t>
      </w:r>
      <w:r>
        <w:t xml:space="preserve"> </w:t>
      </w:r>
      <w:r>
        <w:t xml:space="preserve">para o modelo: é ali que o CorePAM aprende quais genes carregar e que peso dar a cada um. O segundo bloco mostra a validação externa de sobrevida. Aqui a pergunta muda: os pesos aprendidos no SCAN-B são congelados e aplicados em TCGA-BRCA, METABRIC, GSE20685 e GSE1456. Essa etapa é análoga a testar uma conduta fora do centro onde ela foi criada. Se o escore só funcionasse no SCAN-B, seria apenas ajuste local; ao funcionar em coortes externas, ganha plausibilidade como sinal biológico. O terceiro bloco mostra as coortes de pCR. Elas não foram usadas para criar o escore, mas para fazer uma pergunta secundária: um escore prognóstico, ligado a agressividade e proliferação, também se associa à chance de resposta completa à quimioterapia? As setas da figura são importantes porque indicam direção única do fluxo: treino primeiro, validação depois, sem ida e volta.</w:t>
      </w:r>
    </w:p>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p>
      <w:pPr>
        <w:pStyle w:val="FirstParagraph"/>
      </w:pPr>
      <w:r>
        <w:t xml:space="preserve">O desenho também exigiu decisões para contornar dificuldades previsíveis em estudos multicoorte. A primeira dificuldade foi evitar vazamento de informação: se as coortes externas influenciassem a escolha dos genes, a validação deixaria de ser externa. Por isso, genes, pesos e parâmetros centrais foram definidos no SCAN-B e congelados antes da aplicação nas demais coortes. A segunda dificuldade foi a heterogeneidade técnica:</w:t>
      </w:r>
      <w:r>
        <w:t xml:space="preserve"> </w:t>
      </w:r>
      <w:r>
        <w:rPr>
          <w:i/>
          <w:iCs/>
        </w:rPr>
        <w:t xml:space="preserve">RNA-seq</w:t>
      </w:r>
      <w:r>
        <w:t xml:space="preserve">,</w:t>
      </w:r>
      <w:r>
        <w:t xml:space="preserve"> </w:t>
      </w:r>
      <w:r>
        <w:rPr>
          <w:i/>
          <w:iCs/>
        </w:rPr>
        <w:t xml:space="preserve">Illumina microarray</w:t>
      </w:r>
      <w:r>
        <w:t xml:space="preserve"> </w:t>
      </w:r>
      <w:r>
        <w:t xml:space="preserve">e</w:t>
      </w:r>
      <w:r>
        <w:t xml:space="preserve"> </w:t>
      </w:r>
      <w:r>
        <w:rPr>
          <w:i/>
          <w:iCs/>
        </w:rPr>
        <w:t xml:space="preserve">Affymetrix microarray</w:t>
      </w:r>
      <w:r>
        <w:t xml:space="preserve"> </w:t>
      </w:r>
      <w:r>
        <w:t xml:space="preserve">não medem expressão na mesma escala. Para reduzir esse problema sem misturar matrizes, cada coorte foi normalizada separadamente por</w:t>
      </w:r>
      <w:r>
        <w:t xml:space="preserve"> </w:t>
      </w:r>
      <w:r>
        <w:rPr>
          <w:i/>
          <w:iCs/>
        </w:rPr>
        <w:t xml:space="preserve">z-score</w:t>
      </w:r>
      <w:r>
        <w:t xml:space="preserve">, permitindo comparar a posição relativa de cada tumor dentro da sua própria coorte.</w:t>
      </w:r>
    </w:p>
    <w:p>
      <w:pPr>
        <w:pStyle w:val="BodyText"/>
      </w:pPr>
      <w:r>
        <w:t xml:space="preserve">Uma terceira dificuldade foi a cobertura incompleta de genes em algumas plataformas. TCGA-BRCA não continha um dos 24 genes do CorePAM, e GSE1456 continha 21 dos 24. Excluir essas coortes reduziria a validade externa justamente nos cenários mais difíceis; imputar genes ausentes criaria informação artificial. A solução foi pré-especificar um limiar mínimo de cobertura e reescalar o escore pelo somatório dos pesos dos genes efetivamente presentes. A quarta dificuldade foi a diferença de desfechos e tempos de seguimento. METABRIC usa sobrevida doença-específica, enquanto as demais coortes de sobrevida usam sobrevida global; TCGA-BRCA tem seguimento mais curto. Por isso, as análises mantiveram os desfechos identificados, usaram meta-análise de efeitos aleatórios e encurtaram o horizonte de calibração da TCGA-BRCA para 24 meses.</w:t>
      </w:r>
    </w:p>
    <w:p>
      <w:pPr>
        <w:pStyle w:val="BodyText"/>
      </w:pPr>
      <w:r>
        <w:t xml:space="preserve">Por fim, havia dificuldade clínica e estatística no tamanho do escore. Escolher arbitrariamente</w:t>
      </w:r>
      <w:r>
        <w:t xml:space="preserve"> </w:t>
      </w:r>
      <w:r>
        <w:t xml:space="preserve">“10”</w:t>
      </w:r>
      <w:r>
        <w:t xml:space="preserve">,</w:t>
      </w:r>
      <w:r>
        <w:t xml:space="preserve"> </w:t>
      </w:r>
      <w:r>
        <w:t xml:space="preserve">“20”</w:t>
      </w:r>
      <w:r>
        <w:t xml:space="preserve"> </w:t>
      </w:r>
      <w:r>
        <w:t xml:space="preserve">ou</w:t>
      </w:r>
      <w:r>
        <w:t xml:space="preserve"> </w:t>
      </w:r>
      <w:r>
        <w:t xml:space="preserve">“30”</w:t>
      </w:r>
      <w:r>
        <w:t xml:space="preserve"> </w:t>
      </w:r>
      <w:r>
        <w:t xml:space="preserve">genes facilitaria a narrativa, mas introduziria preferência do pesquisador. O estudo contornou isso definindo previamente a margem de não inferioridade e deixando o número de genes emergir dos dados. Essa estratégia se aproxima da prática clínica: não se escolhe um exame porque ele é bonito ou compacto, mas porque entrega informação suficiente com o menor custo e a menor fragilidade possível.</w:t>
      </w:r>
    </w:p>
    <w:bookmarkEnd w:id="58"/>
    <w:bookmarkStart w:id="59"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11,37,39–42,44,45</w:t>
      </w:r>
      <w:r>
        <w:t xml:space="preserve">.</w:t>
      </w:r>
    </w:p>
    <w:bookmarkEnd w:id="59"/>
    <w:bookmarkStart w:id="60"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35,36</w:t>
      </w:r>
      <w:r>
        <w:t xml:space="preserve">. Esta escolha é discutida em detalhe adiante.</w:t>
      </w:r>
    </w:p>
    <w:bookmarkEnd w:id="60"/>
    <w:bookmarkStart w:id="61"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61"/>
    <w:bookmarkStart w:id="62"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62"/>
    <w:bookmarkEnd w:id="63"/>
    <w:bookmarkStart w:id="70"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37,38</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39</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40</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41</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34,42–44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color w:val="0563C1"/>
            <w:u w:val="single"/>
          </w:rPr>
          <w:t xml:space="preserve">Tabela 3</w:t>
        </w:r>
      </w:hyperlink>
      <w:r>
        <w:t xml:space="preserve"> </w:t>
      </w:r>
      <w:r>
        <w:t xml:space="preserve">e a</w:t>
      </w:r>
      <w:r>
        <w:t xml:space="preserve"> </w:t>
      </w:r>
      <w:hyperlink w:anchor="tbl-cohorts-pcr">
        <w:r>
          <w:rPr>
            <w:rStyle w:val="Hyperlink"/>
            <w:color w:val="0563C1"/>
            <w:u w:val="single"/>
          </w:rPr>
          <w:t xml:space="preserve">Tabela 4</w:t>
        </w:r>
      </w:hyperlink>
      <w:r>
        <w:t xml:space="preserve"> </w:t>
      </w:r>
      <w:r>
        <w:t xml:space="preserve">resumem os dados essenciais. Na</w:t>
      </w:r>
      <w:r>
        <w:t xml:space="preserve"> </w:t>
      </w:r>
      <w:hyperlink w:anchor="tbl-cohorts-survival">
        <w:r>
          <w:rPr>
            <w:rStyle w:val="Hyperlink"/>
            <w:color w:val="0563C1"/>
            <w:u w:val="single"/>
          </w:rPr>
          <w:t xml:space="preserve">Tabela 3</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64" w:name="tbl-cohorts-survival"/>
      <w:r>
        <w:t xml:space="preserve">Tabela 3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64"/>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r>
        <w:br w:type="page"/>
      </w:r>
    </w:p>
    <w:p>
      <w:pPr>
        <w:jc w:val="left"/>
        <w:spacing w:before="200"/>
        <w:pStyle w:val="ImageCaption"/>
      </w:pPr>
      <w:bookmarkStart w:id="65" w:name="tbl-cohorts-pcr"/>
      <w:r>
        <w:t xml:space="preserve">Tabela 4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65"/>
    <w:p/>
    <w:bookmarkStart w:id="69" w:name="fig-fluxograma-coortes"/>
    <w:p>
      <w:pPr>
        <w:pStyle w:val="Compact"/>
        <w:jc w:val="center"/>
      </w:pPr>
      <w:r>
        <w:drawing>
          <wp:inline>
            <wp:extent cx="5687999" cy="4800288"/>
            <wp:effectExtent b="0" l="0" r="0" t="0"/>
            <wp:docPr descr="" title="" id="67" name="Picture"/>
            <a:graphic>
              <a:graphicData uri="http://schemas.openxmlformats.org/drawingml/2006/picture">
                <pic:pic>
                  <pic:nvPicPr>
                    <pic:cNvPr descr="../figures/didaticas/pt/png/B6_Fluxograma_Coortes_PT.png" id="68" name="Picture"/>
                    <pic:cNvPicPr>
                      <a:picLocks noChangeArrowheads="1" noChangeAspect="1"/>
                    </pic:cNvPicPr>
                  </pic:nvPicPr>
                  <pic:blipFill>
                    <a:blip r:embed="rId66"/>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5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9"/>
    <w:p>
      <w:pPr>
        <w:pStyle w:val="BodyText"/>
      </w:pPr>
      <w:r>
        <w:t xml:space="preserve">Na</w:t>
      </w:r>
      <w:r>
        <w:t xml:space="preserve"> </w:t>
      </w:r>
      <w:hyperlink w:anchor="fig-fluxograma-coortes">
        <w:r>
          <w:rPr>
            <w:rStyle w:val="Hyperlink"/>
            <w:color w:val="0563C1"/>
            <w:u w:val="single"/>
          </w:rPr>
          <w:t xml:space="preserve">Figura 5</w:t>
        </w:r>
      </w:hyperlink>
      <w:r>
        <w:t xml:space="preserve">, o leitor deve observar primeiro a separação entre os dois blocos clínicos. O bloco de sobrevida responde à pergunta prognóstica: quem tem maior risco de evento ao longo do tempo? O bloco de pCR responde a uma pergunta preditiva: quem tem maior chance de desaparecer patologicamente com quimioterapia neoadjuvante? Dentro do bloco de sobrevida, SCAN-B aparece com papel diferente das demais: é derivação, não validação. TCGA-BRCA testa outro</w:t>
      </w:r>
      <w:r>
        <w:t xml:space="preserve"> </w:t>
      </w:r>
      <w:r>
        <w:rPr>
          <w:i/>
          <w:iCs/>
        </w:rPr>
        <w:t xml:space="preserve">RNA-seq</w:t>
      </w:r>
      <w:r>
        <w:t xml:space="preserve">; METABRIC testa microarray Illumina e seguimento longo; GSE20685 e GSE1456 testam plataformas Affymetrix e populações ou condições mais difíceis. No bloco de pCR, as coortes primárias avaliam consistência em estudos neoadjuvantes já conhecidos, enquanto I-SPY2 funciona como uma leitura contemporânea e exploratória. A figura é, portanto, o roteiro do estudo: cada caixa existe porque responde a uma pergunta diferente, não porque era apenas mais uma base disponível.</w:t>
      </w:r>
    </w:p>
    <w:bookmarkEnd w:id="70"/>
    <w:bookmarkStart w:id="75"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color w:val="0563C1"/>
            <w:u w:val="single"/>
          </w:rPr>
          <w:t xml:space="preserve">Tabela 5</w:t>
        </w:r>
      </w:hyperlink>
      <w:r>
        <w:t xml:space="preserve"> </w:t>
      </w:r>
      <w:r>
        <w:t xml:space="preserve">apresenta os parâmetros congelados.</w:t>
      </w:r>
    </w:p>
    <w:p>
      <w:pPr>
        <w:jc w:val="left"/>
        <w:spacing w:before="200"/>
        <w:pStyle w:val="ImageCaption"/>
      </w:pPr>
      <w:bookmarkStart w:id="71" w:name="tbl-freeze"/>
      <w:r>
        <w:t xml:space="preserve">Tabela 5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71"/>
    <w:p/>
    <w:bookmarkStart w:id="72"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72"/>
    <w:bookmarkStart w:id="73"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73"/>
    <w:bookmarkStart w:id="74"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74"/>
    <w:bookmarkEnd w:id="75"/>
    <w:bookmarkStart w:id="79"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36</w:t>
      </w:r>
      <w:r>
        <w:t xml:space="preserve">.</w:t>
      </w:r>
    </w:p>
    <w:bookmarkStart w:id="76"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6"/>
    <w:bookmarkStart w:id="78"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7" w:name="tbl-gene-coverage"/>
      <w:r>
        <w:t xml:space="preserve">Tabela 6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7"/>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color w:val="0563C1"/>
            <w:u w:val="single"/>
          </w:rPr>
          <w:t xml:space="preserve">Tabela 6</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8"/>
    <w:bookmarkEnd w:id="79"/>
    <w:bookmarkStart w:id="88" w:name="derivação-do-corepam"/>
    <w:p>
      <w:pPr>
        <w:pStyle w:val="Heading2"/>
      </w:pPr>
      <w:r>
        <w:t xml:space="preserve">3.5 Derivação do CorePAM</w:t>
      </w:r>
    </w:p>
    <w:p>
      <w:pPr>
        <w:pStyle w:val="Compact"/>
        <w:jc w:val="center"/>
      </w:pPr>
      <w:bookmarkStart w:id="83" w:name="fig-derivacao"/>
      <w:r>
        <w:drawing>
          <wp:inline>
            <wp:extent cx="5687999" cy="5191048"/>
            <wp:effectExtent b="0" l="0" r="0" t="0"/>
            <wp:docPr descr="" title="" id="81" name="Picture"/>
            <a:graphic>
              <a:graphicData uri="http://schemas.openxmlformats.org/drawingml/2006/picture">
                <pic:pic>
                  <pic:nvPicPr>
                    <pic:cNvPr descr="../figures/didaticas/pt/png/B9_Derivacao_CorePAM_PT.png" id="82" name="Picture"/>
                    <pic:cNvPicPr>
                      <a:picLocks noChangeArrowheads="1" noChangeAspect="1"/>
                    </pic:cNvPicPr>
                  </pic:nvPicPr>
                  <pic:blipFill>
                    <a:blip r:embed="rId80"/>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6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83"/>
    <w:p>
      <w:pPr>
        <w:pStyle w:val="BodyText"/>
      </w:pPr>
      <w:r>
        <w:t xml:space="preserve">Na</w:t>
      </w:r>
      <w:r>
        <w:t xml:space="preserve"> </w:t>
      </w:r>
      <w:hyperlink w:anchor="fig-derivacao">
        <w:r>
          <w:rPr>
            <w:rStyle w:val="Hyperlink"/>
            <w:color w:val="0563C1"/>
            <w:u w:val="single"/>
          </w:rPr>
          <w:t xml:space="preserve">Figura 6</w:t>
        </w:r>
      </w:hyperlink>
      <w:r>
        <w:t xml:space="preserve">, o fluxo deve ser lido da esquerda para a direita. Primeiro entram os 50 genes do PAM50 candidatos no SCAN-B. Em seguida, a regressão de Cox</w:t>
      </w:r>
      <w:r>
        <w:t xml:space="preserve"> </w:t>
      </w:r>
      <w:r>
        <w:rPr>
          <w:i/>
          <w:iCs/>
        </w:rPr>
        <w:t xml:space="preserve">elastic-net</w:t>
      </w:r>
      <w:r>
        <w:t xml:space="preserve"> </w:t>
      </w:r>
      <w:r>
        <w:t xml:space="preserve">funciona como uma triagem disciplinada: genes redundantes ou instáveis tendem a perder peso, enquanto genes que contribuem para ordenar o risco permanecem. A validação cruzada</w:t>
      </w:r>
      <w:r>
        <w:t xml:space="preserve"> </w:t>
      </w:r>
      <w:r>
        <w:rPr>
          <w:i/>
          <w:iCs/>
        </w:rPr>
        <w:t xml:space="preserve">out-of-fold</w:t>
      </w:r>
      <w:r>
        <w:t xml:space="preserve"> </w:t>
      </w:r>
      <w:r>
        <w:t xml:space="preserve">é o mecanismo de proteção contra autoengano estatístico: cada paciente é avaliada por um modelo que não a viu no treino, como se fosse uma paciente nova no ambulatório. O critério de não inferioridade entra no final da seleção e muda a pergunta de</w:t>
      </w:r>
      <w:r>
        <w:t xml:space="preserve"> </w:t>
      </w:r>
      <w:r>
        <w:t xml:space="preserve">“qual modelo tem o maior número possível?”</w:t>
      </w:r>
      <w:r>
        <w:t xml:space="preserve"> </w:t>
      </w:r>
      <w:r>
        <w:t xml:space="preserve">para</w:t>
      </w:r>
      <w:r>
        <w:t xml:space="preserve"> </w:t>
      </w:r>
      <w:r>
        <w:t xml:space="preserve">“qual é o menor modelo que praticamente não perde desempenho?”</w:t>
      </w:r>
      <w:r>
        <w:t xml:space="preserve">. O resultado do diagrama é o CorePAM com 24 genes. Só depois disso o escore vai para validação externa, já congelado. Essa sequência é fundamental: se a validação pudesse influenciar a escolha dos genes, deixaria de ser validação.</w:t>
      </w:r>
    </w:p>
    <w:bookmarkStart w:id="84"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84"/>
    <w:bookmarkStart w:id="85"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85"/>
    <w:bookmarkStart w:id="86"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6"/>
    <w:bookmarkStart w:id="87"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7"/>
    <w:bookmarkEnd w:id="88"/>
    <w:bookmarkStart w:id="90"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9"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9"/>
    <w:bookmarkEnd w:id="90"/>
    <w:bookmarkStart w:id="98" w:name="análise-de-sobrevida"/>
    <w:p>
      <w:pPr>
        <w:pStyle w:val="Heading2"/>
      </w:pPr>
      <w:r>
        <w:t xml:space="preserve">3.7 Análise de sobrevida</w:t>
      </w:r>
    </w:p>
    <w:bookmarkStart w:id="91"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91"/>
    <w:bookmarkStart w:id="92"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92"/>
    <w:bookmarkStart w:id="93"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93"/>
    <w:bookmarkStart w:id="94"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94"/>
    <w:bookmarkStart w:id="95"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95"/>
    <w:bookmarkStart w:id="96"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O limiar de decisão é a menor probabilidade de evento que justificaria uma ação clínica. Em sobrevida, por exemplo, um limiar de 10% em 5 anos significa:</w:t>
      </w:r>
      <w:r>
        <w:t xml:space="preserve"> </w:t>
      </w:r>
      <w:r>
        <w:t xml:space="preserve">“eu aceitaria indicar uma intervenção adicional se o risco estimado de evento fosse pelo menos 10%”</w:t>
      </w:r>
      <w:r>
        <w:t xml:space="preserve">. Em pCR, um limiar de 25% significa:</w:t>
      </w:r>
      <w:r>
        <w:t xml:space="preserve"> </w:t>
      </w:r>
      <w:r>
        <w:t xml:space="preserve">“eu consideraria a estratégia neoadjuvante, intensificação ou entrada em protocolo se a chance de resposta completa fosse pelo menos 25%”</w:t>
      </w:r>
      <w:r>
        <w:t xml:space="preserve">. A DCA transforma esse raciocínio em curva: para cada limiar, calcula quantos verdadeiros benefícios o modelo entrega, descontando o custo dos falsos positivos segundo a gravidade implícita naquele limiar.</w:t>
      </w:r>
    </w:p>
    <w:p>
      <w:pPr>
        <w:pStyle w:val="BodyText"/>
      </w:pPr>
      <w:r>
        <w:t xml:space="preserve">Três referências ajudam a ler a figura. A estratégia</w:t>
      </w:r>
      <w:r>
        <w:t xml:space="preserve"> </w:t>
      </w:r>
      <w:r>
        <w:rPr>
          <w:b/>
          <w:bCs/>
        </w:rPr>
        <w:t xml:space="preserve">tratar nenhum</w:t>
      </w:r>
      <w:r>
        <w:t xml:space="preserve"> </w:t>
      </w:r>
      <w:r>
        <w:t xml:space="preserve">é a linha horizontal em zero: se nada é feito, não há falsos positivos, mas também não há ganho por identificar pacientes de maior risco. A estratégia</w:t>
      </w:r>
      <w:r>
        <w:t xml:space="preserve"> </w:t>
      </w:r>
      <w:r>
        <w:rPr>
          <w:b/>
          <w:bCs/>
        </w:rPr>
        <w:t xml:space="preserve">tratar todos</w:t>
      </w:r>
      <w:r>
        <w:t xml:space="preserve"> </w:t>
      </w:r>
      <w:r>
        <w:t xml:space="preserve">costuma começar alta quando o limiar é muito baixo, porque quase qualquer risco justificaria intervenção, mas cai e pode ficar negativa conforme o limiar aumenta, pois falsos positivos passam a pesar mais. A curva do modelo só tem utilidade clínica quando fica acima das duas referências. Se a curva do CorePAM estiver abaixo de</w:t>
      </w:r>
      <w:r>
        <w:t xml:space="preserve"> </w:t>
      </w:r>
      <w:r>
        <w:t xml:space="preserve">“tratar todos”</w:t>
      </w:r>
      <w:r>
        <w:t xml:space="preserve"> </w:t>
      </w:r>
      <w:r>
        <w:t xml:space="preserve">ou de</w:t>
      </w:r>
      <w:r>
        <w:t xml:space="preserve"> </w:t>
      </w:r>
      <w:r>
        <w:t xml:space="preserve">“tratar nenhum”</w:t>
      </w:r>
      <w:r>
        <w:t xml:space="preserve">, o escore pode até ter associação estatística, mas não melhora a decisão naquele intervalo de limiares.</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6"/>
    <w:bookmarkStart w:id="97"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7"/>
    <w:bookmarkEnd w:id="98"/>
    <w:bookmarkStart w:id="99"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9"/>
    <w:bookmarkStart w:id="100"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um modelo PAM50-full ajustado no mesmo</w:t>
      </w:r>
      <w:r>
        <w:t xml:space="preserve"> </w:t>
      </w:r>
      <w:r>
        <w:rPr>
          <w:i/>
          <w:iCs/>
        </w:rPr>
        <w:t xml:space="preserve">pipeline</w:t>
      </w:r>
      <w:r>
        <w:t xml:space="preserve">. O PAM50 canônico continua tendo</w:t>
      </w:r>
      <w:r>
        <w:t xml:space="preserve"> </w:t>
      </w:r>
      <w:r>
        <w:rPr>
          <w:b/>
          <w:bCs/>
        </w:rPr>
        <w:t xml:space="preserve">50 genes</w:t>
      </w:r>
      <w:r>
        <w:t xml:space="preserve">. O número 49 aparece apenas porque, ao ajustar no SCAN-B um modelo Cox</w:t>
      </w:r>
      <w:r>
        <w:t xml:space="preserve"> </w:t>
      </w:r>
      <w:r>
        <w:rPr>
          <w:i/>
          <w:iCs/>
        </w:rPr>
        <w:t xml:space="preserve">elastic-net</w:t>
      </w:r>
      <w:r>
        <w:t xml:space="preserve"> </w:t>
      </w:r>
      <w:r>
        <w:t xml:space="preserve">usando os 50 genes PAM50 como candidatos, o maior modelo efetivamente obtido na trajetória penalizada manteve</w:t>
      </w:r>
      <w:r>
        <w:t xml:space="preserve"> </w:t>
      </w:r>
      <w:r>
        <w:rPr>
          <w:b/>
          <w:bCs/>
        </w:rPr>
        <w:t xml:space="preserve">49 coeficientes não-zero</w:t>
      </w:r>
      <w:r>
        <w:t xml:space="preserve">; um gene recebeu coeficiente zero pela própria penalização. Portanto,</w:t>
      </w:r>
      <w:r>
        <w:t xml:space="preserve"> </w:t>
      </w:r>
      <w:r>
        <w:t xml:space="preserve">“PAM50-full (49)”</w:t>
      </w:r>
      <w:r>
        <w:t xml:space="preserve"> </w:t>
      </w:r>
      <w:r>
        <w:t xml:space="preserve">nesta tese não significa PAM50 incompleto nem altera a definição original do PAM50; significa o maior comparador penalizado estimável dentro do nosso procedimento. Esta comparação garante que ambos os modelos tenham sido derivados na mesma coorte e com o mesmo método, diferindo apenas no grau de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100"/>
    <w:bookmarkEnd w:id="101"/>
    <w:bookmarkStart w:id="219" w:name="resultados"/>
    <w:p>
      <w:pPr>
        <w:pageBreakBefore/>
        <w:pStyle w:val="Heading1"/>
      </w:pPr>
      <w:r>
        <w:t xml:space="preserve">4. RESULTADOS</w:t>
      </w:r>
    </w:p>
    <w:bookmarkStart w:id="119"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color w:val="0563C1"/>
            <w:u w:val="single"/>
          </w:rPr>
          <w:t xml:space="preserve">Figura 7</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105" w:name="fig-pareto"/>
      <w:r>
        <w:drawing>
          <wp:inline>
            <wp:extent cx="5687999" cy="3554999"/>
            <wp:effectExtent b="0" l="0" r="0" t="0"/>
            <wp:docPr descr="" title="" id="103" name="Picture"/>
            <a:graphic>
              <a:graphicData uri="http://schemas.openxmlformats.org/drawingml/2006/picture">
                <pic:pic>
                  <pic:nvPicPr>
                    <pic:cNvPr descr="../figures/supp/pt/png/FigS_Pareto_CorePAM_PT.png" id="104" name="Picture"/>
                    <pic:cNvPicPr>
                      <a:picLocks noChangeArrowheads="1" noChangeAspect="1"/>
                    </pic:cNvPicPr>
                  </pic:nvPicPr>
                  <pic:blipFill>
                    <a:blip r:embed="rId102"/>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7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105"/>
    <w:p>
      <w:pPr>
        <w:pStyle w:val="BodyText"/>
      </w:pPr>
      <w:r>
        <w:t xml:space="preserve">Na</w:t>
      </w:r>
      <w:r>
        <w:t xml:space="preserve"> </w:t>
      </w:r>
      <w:hyperlink w:anchor="fig-pareto">
        <w:r>
          <w:rPr>
            <w:rStyle w:val="Hyperlink"/>
            <w:color w:val="0563C1"/>
            <w:u w:val="single"/>
          </w:rPr>
          <w:t xml:space="preserve">Figura 7</w:t>
        </w:r>
      </w:hyperlink>
      <w:r>
        <w:t xml:space="preserve">, cada ponto representa uma versão possível do escore, com mais ou menos genes. O eixo horizontal mostra complexidade; o eixo vertical mostra desempenho prognóstico fora do treino. A leitura clínica é semelhante à escolha de um esquema terapêutico: adicionar mais componentes só vale a pena se houver ganho real. A curva sobe no início porque poucos genes capturam apenas parte da biologia. Depois ela achata, indicando que novos genes acrescentam pouco ao desempenho. A linha tracejada marca o limite aceitável de perda. O ponto de 24 genes é o primeiro que cruza esse limite; por isso ele é escolhido. Os pontos à direita podem ter desempenho numericamente parecido, mas carregam mais genes, custo e fragilidade técnica sem ganho proporcional.</w:t>
      </w:r>
    </w:p>
    <w:p>
      <w:r>
        <w:br w:type="page"/>
      </w:r>
    </w:p>
    <w:p>
      <w:pPr>
        <w:jc w:val="left"/>
        <w:spacing w:before="200"/>
        <w:pStyle w:val="ImageCaption"/>
      </w:pPr>
      <w:bookmarkStart w:id="106" w:name="tbl-genes"/>
      <w:r>
        <w:t xml:space="preserve">Tabela 7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6"/>
    <w:p/>
    <w:p>
      <w:r>
        <w:br w:type="page"/>
      </w:r>
    </w:p>
    <w:p>
      <w:pPr>
        <w:pStyle w:val="Compact"/>
        <w:jc w:val="center"/>
      </w:pPr>
      <w:bookmarkStart w:id="110" w:name="fig-weights"/>
      <w:r>
        <w:drawing>
          <wp:inline>
            <wp:extent cx="5687999" cy="4265999"/>
            <wp:effectExtent b="0" l="0" r="0" t="0"/>
            <wp:docPr descr="" title="" id="108" name="Picture"/>
            <a:graphic>
              <a:graphicData uri="http://schemas.openxmlformats.org/drawingml/2006/picture">
                <pic:pic>
                  <pic:nvPicPr>
                    <pic:cNvPr descr="../figures/supp/pt/png/FigS_Weights_CorePAM_Lollipop_PT.png" id="109" name="Picture"/>
                    <pic:cNvPicPr>
                      <a:picLocks noChangeArrowheads="1" noChangeAspect="1"/>
                    </pic:cNvPicPr>
                  </pic:nvPicPr>
                  <pic:blipFill>
                    <a:blip r:embed="rId10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8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10"/>
    <w:p>
      <w:pPr>
        <w:pStyle w:val="BodyText"/>
      </w:pPr>
      <w:r>
        <w:t xml:space="preserve">Na</w:t>
      </w:r>
      <w:r>
        <w:t xml:space="preserve"> </w:t>
      </w:r>
      <w:hyperlink w:anchor="fig-weights">
        <w:r>
          <w:rPr>
            <w:rStyle w:val="Hyperlink"/>
            <w:color w:val="0563C1"/>
            <w:u w:val="single"/>
          </w:rPr>
          <w:t xml:space="preserve">Figura 8</w:t>
        </w:r>
      </w:hyperlink>
      <w:r>
        <w:t xml:space="preserve">, a direção das barras é tão importante quanto o tamanho. Barras à direita indicam genes cujo aumento empurra o escore para maior risco; barras à esquerda indicam genes associados a comportamento mais favorável. EXO1 e PTTG1 aparecem como sinais de proliferação e instabilidade genômica, coerentes com maior risco. NAT1, BLVRA, BCL2, MLPH e PGR pertencem ao eixo de diferenciação luminal, que em geral acompanha tumores mais dependentes de hormônio e de melhor comportamento clínico. A figura também mostra que o CorePAM não é uma lista aleatória de marcadores: ele reúne eixos biológicos conhecidos do câncer de mama. Alguns sinais podem parecer contraintuitivos quando vistos gene a gene, como ESR1 com peso positivo ou ERBB2 com peso negativo. Isso ocorre porque o peso de cada gene é estimado dentro de um conjunto correlacionado; ele representa contribuição residual depois que os demais genes já estão no modelo, não uma leitura isolada como uma lâmina de imuno-histoquímica.</w:t>
      </w:r>
    </w:p>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color w:val="0563C1"/>
            <w:u w:val="single"/>
          </w:rPr>
          <w:t xml:space="preserve">Figura 9</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color w:val="0563C1"/>
            <w:u w:val="single"/>
          </w:rPr>
          <w:t xml:space="preserve">Figura 10</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14" w:name="fig-bootstrap"/>
      <w:r>
        <w:drawing>
          <wp:inline>
            <wp:extent cx="5687999" cy="6694098"/>
            <wp:effectExtent b="0" l="0" r="0" t="0"/>
            <wp:docPr descr="" title="" id="112" name="Picture"/>
            <a:graphic>
              <a:graphicData uri="http://schemas.openxmlformats.org/drawingml/2006/picture">
                <pic:pic>
                  <pic:nvPicPr>
                    <pic:cNvPr descr="../figures/supp/pt/png/FigS_Bootstrap_GeneFreq_PT.png" id="113" name="Picture"/>
                    <pic:cNvPicPr>
                      <a:picLocks noChangeArrowheads="1" noChangeAspect="1"/>
                    </pic:cNvPicPr>
                  </pic:nvPicPr>
                  <pic:blipFill>
                    <a:blip r:embed="rId111"/>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9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14"/>
    <w:p>
      <w:pPr>
        <w:pStyle w:val="BodyText"/>
      </w:pPr>
      <w:r>
        <w:t xml:space="preserve">Na</w:t>
      </w:r>
      <w:r>
        <w:t xml:space="preserve"> </w:t>
      </w:r>
      <w:hyperlink w:anchor="fig-bootstrap">
        <w:r>
          <w:rPr>
            <w:rStyle w:val="Hyperlink"/>
            <w:color w:val="0563C1"/>
            <w:u w:val="single"/>
          </w:rPr>
          <w:t xml:space="preserve">Figura 9</w:t>
        </w:r>
      </w:hyperlink>
      <w:r>
        <w:t xml:space="preserve">, a pergunta é estabilidade. Cada barra mostra quantas vezes o gene reaparece quando a coorte SCAN-B é reamostrada repetidamente. Uma analogia clínica útil é a reprodutibilidade de um achado em consultas diferentes: se um sinal aparece apenas uma vez, talvez seja acaso; se aparece repetidamente, merece confiança maior. ACTR3B e NAT1 surgem em 100% das reamostras, indicando seleção extremamente estável. Genes com frequência intermediária não são necessariamente irrelevantes; eles podem representar programas biológicos parcialmente redundantes, em que genes vizinhos competem entre si. O ponto principal é que a maioria dos genes do CorePAM reaparece com frequência alta, sustentando que o painel de 24 genes não depende de uma partição fortuita da coorte.</w:t>
      </w:r>
    </w:p>
    <w:p>
      <w:r>
        <w:br w:type="page"/>
      </w:r>
    </w:p>
    <w:p>
      <w:pPr>
        <w:pStyle w:val="Compact"/>
        <w:jc w:val="center"/>
      </w:pPr>
      <w:bookmarkStart w:id="118" w:name="fig-dropgene"/>
      <w:r>
        <w:drawing>
          <wp:inline>
            <wp:extent cx="5687999" cy="5687999"/>
            <wp:effectExtent b="0" l="0" r="0" t="0"/>
            <wp:docPr descr="" title="" id="116" name="Picture"/>
            <a:graphic>
              <a:graphicData uri="http://schemas.openxmlformats.org/drawingml/2006/picture">
                <pic:pic>
                  <pic:nvPicPr>
                    <pic:cNvPr descr="../figures/supp/pt/png/FigS_DropGene_Tornado_PT.png" id="117" name="Picture"/>
                    <pic:cNvPicPr>
                      <a:picLocks noChangeArrowheads="1" noChangeAspect="1"/>
                    </pic:cNvPicPr>
                  </pic:nvPicPr>
                  <pic:blipFill>
                    <a:blip r:embed="rId115"/>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10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8"/>
    <w:p>
      <w:pPr>
        <w:pStyle w:val="BodyText"/>
      </w:pPr>
      <w:r>
        <w:t xml:space="preserve">Na</w:t>
      </w:r>
      <w:r>
        <w:t xml:space="preserve"> </w:t>
      </w:r>
      <w:hyperlink w:anchor="fig-dropgene">
        <w:r>
          <w:rPr>
            <w:rStyle w:val="Hyperlink"/>
            <w:color w:val="0563C1"/>
            <w:u w:val="single"/>
          </w:rPr>
          <w:t xml:space="preserve">Figura 10</w:t>
        </w:r>
      </w:hyperlink>
      <w:r>
        <w:t xml:space="preserve">, a pergunta é dependência excessiva. Cada barra mostra o que acontece com o</w:t>
      </w:r>
      <w:r>
        <w:t xml:space="preserve"> </w:t>
      </w:r>
      <w:r>
        <w:rPr>
          <w:i/>
          <w:iCs/>
        </w:rPr>
        <w:t xml:space="preserve">C-index</w:t>
      </w:r>
      <w:r>
        <w:t xml:space="preserve"> </w:t>
      </w:r>
      <w:r>
        <w:t xml:space="preserve">quando um gene é retirado do escore. Se uma única retirada derrubasse muito o desempenho, o CorePAM seria frágil, como uma conduta clínica que depende de um único exame sujeito a erro. O padrão observado é diferente: nenhuma exclusão causa colapso do desempenho. EXO1 é o gene cuja remoção mais impacta o modelo, o que combina com seu peso alto e sua ligação com proliferação, mas mesmo essa perda não destrói o escore. A interpretação é que o CorePAM distribui informação entre vários genes, propriedade desejável para um ensaio futuro, especialmente quando se pensa em tecido FFPE, variação pré-analítica e plataformas com cobertura incompleta.</w:t>
      </w:r>
    </w:p>
    <w:bookmarkEnd w:id="119"/>
    <w:bookmarkStart w:id="141"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color w:val="0563C1"/>
            <w:u w:val="single"/>
          </w:rPr>
          <w:t xml:space="preserve">Tabela 8</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20" w:name="tbl-survival-performance"/>
      <w:r>
        <w:t xml:space="preserve">Tabela 8 — Desempenho prognóstico do CorePAM por coorte. SCAN-B é apresentada como referência interna de treinamento; nas coortes externas, os pesos já estavam congelados.</w:t>
      </w:r>
      <w:r>
        <w:t xml:space="preserve"> </w:t>
      </w:r>
      <w:r>
        <w:rPr>
          <w:i/>
          <w:iCs/>
        </w:rPr>
        <w:t xml:space="preserve">C-index</w:t>
      </w:r>
      <w:r>
        <w:t xml:space="preserve"> </w:t>
      </w:r>
      <w:r>
        <w:t xml:space="preserve">OOF da derivação = 0,670. Em GSE1456, o modelo ajustado CORE-A não foi estimado por ausência de covariáveis clínicas suficientes.</w:t>
      </w:r>
    </w:p>
    <w:tbl>
      <w:tblPr>
        <w:tblStyle w:val="Table"/>
        <w:tblW w:type="dxa" w:w="9070"/>
        <w:tblLayout w:type="fixed"/>
        <w:tblLook w:firstRow="1" w:lastRow="0" w:firstColumn="0" w:lastColumn="0" w:noHBand="0" w:noVBand="0" w:val="0020"/>
      </w:tblPr>
      <w:tblGrid>
        <w:gridCol w:w="2002"/>
        <w:gridCol w:w="1114"/>
        <w:gridCol w:w="2002"/>
        <w:gridCol w:w="1805"/>
        <w:gridCol w:w="2147"/>
      </w:tblGrid>
      <w:tr>
        <w:trPr>
          <w:tblHeader w:val="on"/>
        </w:trPr>
        <w:tc>
          <w:tcPr>
            <w:tcW w:w="2002" w:type="dxa"/>
          </w:tcPr>
          <w:p>
            <w:pPr>
              <w:pStyle w:val="Compact"/>
              <w:jc w:val="left"/>
              <w:jc w:val="center"/>
            </w:pPr>
            <w:r>
              <w:t xml:space="preserve">Coorte (desfecho)</w:t>
            </w:r>
          </w:p>
        </w:tc>
        <w:tc>
          <w:tcPr>
            <w:tcW w:w="1114" w:type="dxa"/>
          </w:tcPr>
          <w:p>
            <w:pPr>
              <w:pStyle w:val="Compact"/>
              <w:jc w:val="left"/>
              <w:jc w:val="center"/>
            </w:pPr>
            <w:r>
              <w:t xml:space="preserve">N/eventos</w:t>
            </w:r>
          </w:p>
        </w:tc>
        <w:tc>
          <w:tcPr>
            <w:tcW w:w="2002" w:type="dxa"/>
          </w:tcPr>
          <w:p>
            <w:pPr>
              <w:pStyle w:val="Compact"/>
              <w:jc w:val="left"/>
              <w:jc w:val="center"/>
            </w:pPr>
            <w:r>
              <w:t xml:space="preserve">HR bruto</w:t>
            </w:r>
          </w:p>
        </w:tc>
        <w:tc>
          <w:tcPr>
            <w:tcW w:w="1805" w:type="dxa"/>
          </w:tcPr>
          <w:p>
            <w:pPr>
              <w:pStyle w:val="Compact"/>
              <w:jc w:val="left"/>
              <w:jc w:val="center"/>
            </w:pPr>
            <w:r>
              <w:t xml:space="preserve">HR ajustado</w:t>
            </w:r>
          </w:p>
        </w:tc>
        <w:tc>
          <w:tcPr>
            <w:tcW w:w="2147" w:type="dxa"/>
          </w:tcPr>
          <w:p>
            <w:pPr>
              <w:pStyle w:val="Compact"/>
              <w:jc w:val="left"/>
              <w:jc w:val="center"/>
            </w:pPr>
            <w:r>
              <w:rPr>
                <w:i/>
                <w:iCs/>
              </w:rPr>
              <w:t xml:space="preserve">C-index</w:t>
            </w:r>
          </w:p>
        </w:tc>
      </w:tr>
      <w:tr>
        <w:tc>
          <w:tcPr>
            <w:tcW w:w="2002" w:type="dxa"/>
          </w:tcPr>
          <w:p>
            <w:pPr>
              <w:pStyle w:val="Compact"/>
              <w:jc w:val="left"/>
              <w:jc w:val="center"/>
            </w:pPr>
            <w:r>
              <w:t xml:space="preserve">SCAN-B (OS; treinamento)</w:t>
            </w:r>
          </w:p>
        </w:tc>
        <w:tc>
          <w:tcPr>
            <w:tcW w:w="1114" w:type="dxa"/>
          </w:tcPr>
          <w:p>
            <w:pPr>
              <w:pStyle w:val="Compact"/>
              <w:jc w:val="left"/>
              <w:jc w:val="center"/>
            </w:pPr>
            <w:r>
              <w:t xml:space="preserve">3.069/322</w:t>
            </w:r>
          </w:p>
        </w:tc>
        <w:tc>
          <w:tcPr>
            <w:tcW w:w="2002" w:type="dxa"/>
          </w:tcPr>
          <w:p>
            <w:pPr>
              <w:pStyle w:val="Compact"/>
              <w:jc w:val="left"/>
              <w:jc w:val="center"/>
            </w:pPr>
            <w:r>
              <w:t xml:space="preserve">1,92 (1,74-2,13); p&lt;0,001</w:t>
            </w:r>
          </w:p>
        </w:tc>
        <w:tc>
          <w:tcPr>
            <w:tcW w:w="1805" w:type="dxa"/>
          </w:tcPr>
          <w:p>
            <w:pPr>
              <w:pStyle w:val="Compact"/>
              <w:jc w:val="left"/>
              <w:jc w:val="center"/>
            </w:pPr>
            <w:r>
              <w:t xml:space="preserve">1,86 (1,64-2,12)</w:t>
            </w:r>
          </w:p>
        </w:tc>
        <w:tc>
          <w:tcPr>
            <w:tcW w:w="2147" w:type="dxa"/>
          </w:tcPr>
          <w:p>
            <w:pPr>
              <w:pStyle w:val="Compact"/>
              <w:jc w:val="left"/>
              <w:jc w:val="center"/>
            </w:pPr>
            <w:r>
              <w:t xml:space="preserve">0,698 (0,668-0,729)</w:t>
            </w:r>
          </w:p>
        </w:tc>
      </w:tr>
      <w:tr>
        <w:tc>
          <w:tcPr>
            <w:tcW w:w="2002" w:type="dxa"/>
          </w:tcPr>
          <w:p>
            <w:pPr>
              <w:pStyle w:val="Compact"/>
              <w:jc w:val="left"/>
              <w:jc w:val="center"/>
            </w:pPr>
            <w:r>
              <w:t xml:space="preserve">TCGA-BRCA (OS)</w:t>
            </w:r>
          </w:p>
        </w:tc>
        <w:tc>
          <w:tcPr>
            <w:tcW w:w="1114" w:type="dxa"/>
          </w:tcPr>
          <w:p>
            <w:pPr>
              <w:pStyle w:val="Compact"/>
              <w:jc w:val="left"/>
              <w:jc w:val="center"/>
            </w:pPr>
            <w:r>
              <w:t xml:space="preserve">1.072/150</w:t>
            </w:r>
          </w:p>
        </w:tc>
        <w:tc>
          <w:tcPr>
            <w:tcW w:w="2002" w:type="dxa"/>
          </w:tcPr>
          <w:p>
            <w:pPr>
              <w:pStyle w:val="Compact"/>
              <w:jc w:val="left"/>
              <w:jc w:val="center"/>
            </w:pPr>
            <w:r>
              <w:t xml:space="preserve">1,20 (1,04-1,40); p=0,016</w:t>
            </w:r>
          </w:p>
        </w:tc>
        <w:tc>
          <w:tcPr>
            <w:tcW w:w="1805" w:type="dxa"/>
          </w:tcPr>
          <w:p>
            <w:pPr>
              <w:pStyle w:val="Compact"/>
              <w:jc w:val="left"/>
              <w:jc w:val="center"/>
            </w:pPr>
            <w:r>
              <w:t xml:space="preserve">1,27 (1,09-1,48)</w:t>
            </w:r>
          </w:p>
        </w:tc>
        <w:tc>
          <w:tcPr>
            <w:tcW w:w="2147" w:type="dxa"/>
          </w:tcPr>
          <w:p>
            <w:pPr>
              <w:pStyle w:val="Compact"/>
              <w:jc w:val="left"/>
              <w:jc w:val="center"/>
            </w:pPr>
            <w:r>
              <w:t xml:space="preserve">0,624 (0,572-0,678)</w:t>
            </w:r>
          </w:p>
        </w:tc>
      </w:tr>
      <w:tr>
        <w:tc>
          <w:tcPr>
            <w:tcW w:w="2002" w:type="dxa"/>
          </w:tcPr>
          <w:p>
            <w:pPr>
              <w:pStyle w:val="Compact"/>
              <w:jc w:val="left"/>
              <w:jc w:val="center"/>
            </w:pPr>
            <w:r>
              <w:t xml:space="preserve">METABRIC (DSS)</w:t>
            </w:r>
          </w:p>
        </w:tc>
        <w:tc>
          <w:tcPr>
            <w:tcW w:w="1114" w:type="dxa"/>
          </w:tcPr>
          <w:p>
            <w:pPr>
              <w:pStyle w:val="Compact"/>
              <w:jc w:val="left"/>
              <w:jc w:val="center"/>
            </w:pPr>
            <w:r>
              <w:t xml:space="preserve">1.978/646</w:t>
            </w:r>
          </w:p>
        </w:tc>
        <w:tc>
          <w:tcPr>
            <w:tcW w:w="2002" w:type="dxa"/>
          </w:tcPr>
          <w:p>
            <w:pPr>
              <w:pStyle w:val="Compact"/>
              <w:jc w:val="left"/>
              <w:jc w:val="center"/>
            </w:pPr>
            <w:r>
              <w:t xml:space="preserve">1,41 (1,31-1,52); p&lt;0,001</w:t>
            </w:r>
          </w:p>
        </w:tc>
        <w:tc>
          <w:tcPr>
            <w:tcW w:w="1805" w:type="dxa"/>
          </w:tcPr>
          <w:p>
            <w:pPr>
              <w:pStyle w:val="Compact"/>
              <w:jc w:val="left"/>
              <w:jc w:val="center"/>
            </w:pPr>
            <w:r>
              <w:t xml:space="preserve">1,36 (1,24-1,48)</w:t>
            </w:r>
          </w:p>
        </w:tc>
        <w:tc>
          <w:tcPr>
            <w:tcW w:w="2147" w:type="dxa"/>
          </w:tcPr>
          <w:p>
            <w:pPr>
              <w:pStyle w:val="Compact"/>
              <w:jc w:val="left"/>
              <w:jc w:val="center"/>
            </w:pPr>
            <w:r>
              <w:t xml:space="preserve">0,638 (0,615-0,659)</w:t>
            </w:r>
          </w:p>
        </w:tc>
      </w:tr>
      <w:tr>
        <w:tc>
          <w:tcPr>
            <w:tcW w:w="2002" w:type="dxa"/>
          </w:tcPr>
          <w:p>
            <w:pPr>
              <w:pStyle w:val="Compact"/>
              <w:jc w:val="left"/>
              <w:jc w:val="center"/>
            </w:pPr>
            <w:r>
              <w:t xml:space="preserve">GSE20685 (OS)</w:t>
            </w:r>
          </w:p>
        </w:tc>
        <w:tc>
          <w:tcPr>
            <w:tcW w:w="1114" w:type="dxa"/>
          </w:tcPr>
          <w:p>
            <w:pPr>
              <w:pStyle w:val="Compact"/>
              <w:jc w:val="left"/>
              <w:jc w:val="center"/>
            </w:pPr>
            <w:r>
              <w:t xml:space="preserve">327/83</w:t>
            </w:r>
          </w:p>
        </w:tc>
        <w:tc>
          <w:tcPr>
            <w:tcW w:w="2002" w:type="dxa"/>
          </w:tcPr>
          <w:p>
            <w:pPr>
              <w:pStyle w:val="Compact"/>
              <w:jc w:val="left"/>
              <w:jc w:val="center"/>
            </w:pPr>
            <w:r>
              <w:t xml:space="preserve">1,40 (1,12-1,75); p=0,003</w:t>
            </w:r>
          </w:p>
        </w:tc>
        <w:tc>
          <w:tcPr>
            <w:tcW w:w="1805" w:type="dxa"/>
          </w:tcPr>
          <w:p>
            <w:pPr>
              <w:pStyle w:val="Compact"/>
              <w:jc w:val="left"/>
              <w:jc w:val="center"/>
            </w:pPr>
            <w:r>
              <w:t xml:space="preserve">1,40 (1,12-1,75)</w:t>
            </w:r>
          </w:p>
        </w:tc>
        <w:tc>
          <w:tcPr>
            <w:tcW w:w="2147" w:type="dxa"/>
          </w:tcPr>
          <w:p>
            <w:pPr>
              <w:pStyle w:val="Compact"/>
              <w:jc w:val="left"/>
              <w:jc w:val="center"/>
            </w:pPr>
            <w:r>
              <w:t xml:space="preserve">0,626 (0,565-0,684)</w:t>
            </w:r>
          </w:p>
        </w:tc>
      </w:tr>
      <w:tr>
        <w:tc>
          <w:tcPr>
            <w:tcW w:w="2002" w:type="dxa"/>
          </w:tcPr>
          <w:p>
            <w:pPr>
              <w:pStyle w:val="Compact"/>
              <w:jc w:val="left"/>
              <w:jc w:val="center"/>
            </w:pPr>
            <w:r>
              <w:t xml:space="preserve">GSE1456 (OS; sem ajuste clínico)</w:t>
            </w:r>
          </w:p>
        </w:tc>
        <w:tc>
          <w:tcPr>
            <w:tcW w:w="1114" w:type="dxa"/>
          </w:tcPr>
          <w:p>
            <w:pPr>
              <w:pStyle w:val="Compact"/>
              <w:jc w:val="left"/>
              <w:jc w:val="center"/>
            </w:pPr>
            <w:r>
              <w:t xml:space="preserve">159/40</w:t>
            </w:r>
          </w:p>
        </w:tc>
        <w:tc>
          <w:tcPr>
            <w:tcW w:w="2002" w:type="dxa"/>
          </w:tcPr>
          <w:p>
            <w:pPr>
              <w:pStyle w:val="Compact"/>
              <w:jc w:val="left"/>
              <w:jc w:val="center"/>
            </w:pPr>
            <w:r>
              <w:t xml:space="preserve">1,71 (1,23-2,38); p=0,001</w:t>
            </w:r>
          </w:p>
        </w:tc>
        <w:tc>
          <w:tcPr>
            <w:tcW w:w="1805" w:type="dxa"/>
          </w:tcPr>
          <w:p>
            <w:pPr>
              <w:pStyle w:val="Compact"/>
              <w:jc w:val="left"/>
              <w:jc w:val="center"/>
            </w:pPr>
            <w:r>
              <w:t xml:space="preserve">-</w:t>
            </w:r>
          </w:p>
        </w:tc>
        <w:tc>
          <w:tcPr>
            <w:tcW w:w="2147" w:type="dxa"/>
          </w:tcPr>
          <w:p>
            <w:pPr>
              <w:pStyle w:val="Compact"/>
              <w:jc w:val="left"/>
              <w:jc w:val="center"/>
            </w:pPr>
            <w:r>
              <w:t xml:space="preserve">0,661 (0,582-0,741)</w:t>
            </w:r>
          </w:p>
        </w:tc>
      </w:tr>
    </w:tbl>
    <w:bookmarkEnd w:id="120"/>
    <w:p/>
    <w:p>
      <w:pPr>
        <w:pStyle w:val="BodyText"/>
      </w:pPr>
      <w:r>
        <w:t xml:space="preserve">Em termos clínicos, a</w:t>
      </w:r>
      <w:r>
        <w:t xml:space="preserve"> </w:t>
      </w:r>
      <w:hyperlink w:anchor="tbl-survival-performance">
        <w:r>
          <w:rPr>
            <w:rStyle w:val="Hyperlink"/>
            <w:color w:val="0563C1"/>
            <w:u w:val="single"/>
          </w:rPr>
          <w:t xml:space="preserve">Tabela 8</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color w:val="0563C1"/>
            <w:u w:val="single"/>
          </w:rPr>
          <w:t xml:space="preserve">Figura 11</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24" w:name="fig-km-multipanel"/>
      <w:r>
        <w:drawing>
          <wp:inline>
            <wp:extent cx="5687999" cy="7583999"/>
            <wp:effectExtent b="0" l="0" r="0" t="0"/>
            <wp:docPr descr="" title="" id="122" name="Picture"/>
            <a:graphic>
              <a:graphicData uri="http://schemas.openxmlformats.org/drawingml/2006/picture">
                <pic:pic>
                  <pic:nvPicPr>
                    <pic:cNvPr descr="../figures/main/pt/png/Fig2_KM_MultiPanel_PT_v12.png" id="123" name="Picture"/>
                    <pic:cNvPicPr>
                      <a:picLocks noChangeArrowheads="1" noChangeAspect="1"/>
                    </pic:cNvPicPr>
                  </pic:nvPicPr>
                  <pic:blipFill>
                    <a:blip r:embed="rId121"/>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11 — Curvas de Kaplan-Meier nas cinco coortes (painel múltiplo). Pacientes dicotomizados na mediana intra-coorte do escore CorePAM: grupo alto risco (vermelho) vs baixo risco (verde). Sombreamento: IC 95%. Os HRs dicotomizados variaram de 1,78 (TCGA-BRCA) a 2,99 (GSE1456), com separação significativa em todas as coortes.</w:t>
      </w:r>
    </w:p>
    <w:bookmarkEnd w:id="124"/>
    <w:p>
      <w:pPr>
        <w:pStyle w:val="BodyText"/>
      </w:pPr>
      <w:r>
        <w:t xml:space="preserve">Na</w:t>
      </w:r>
      <w:r>
        <w:t xml:space="preserve"> </w:t>
      </w:r>
      <w:hyperlink w:anchor="fig-km-multipanel">
        <w:r>
          <w:rPr>
            <w:rStyle w:val="Hyperlink"/>
            <w:color w:val="0563C1"/>
            <w:u w:val="single"/>
          </w:rPr>
          <w:t xml:space="preserve">Figura 11</w:t>
        </w:r>
      </w:hyperlink>
      <w:r>
        <w:t xml:space="preserve">, a leitura deve começar pela direção das curvas, não pelo valor de p. Em todos os painéis, a curva de alto risco fica abaixo da curva de baixo risco, indicando menor probabilidade de permanecer sem evento ao longo do tempo. O fato de a separação aparecer em coortes diferentes é mais importante do que a aparência exata de cada painel. SCAN-B mostra a separação mais limpa por ser grande e por ser a coorte de derivação. TCGA-BRCA mostra separação menor porque tem seguimento mais curto e menos eventos. METABRIC mostra separação persistente por muitos anos, adequada para doença de história natural longa. GSE20685 e GSE1456 são menores, por isso têm intervalos mais largos, mas preservam a direção do efeito. Essa figura funciona como a</w:t>
      </w:r>
      <w:r>
        <w:t xml:space="preserve"> </w:t>
      </w:r>
      <w:r>
        <w:t xml:space="preserve">“anamnese visual”</w:t>
      </w:r>
      <w:r>
        <w:t xml:space="preserve"> </w:t>
      </w:r>
      <w:r>
        <w:t xml:space="preserve">do escore: antes de discutir métricas, ela mostra se os grupos realmente se comportam de maneira diferente no tempo.</w:t>
      </w:r>
    </w:p>
    <w:p>
      <w:r>
        <w:br w:type="page"/>
      </w:r>
    </w:p>
    <w:p>
      <w:pPr>
        <w:pStyle w:val="Compact"/>
        <w:jc w:val="center"/>
      </w:pPr>
      <w:bookmarkStart w:id="128" w:name="fig-km-scanb"/>
      <w:r>
        <w:drawing>
          <wp:inline>
            <wp:extent cx="5687999" cy="4265999"/>
            <wp:effectExtent b="0" l="0" r="0" t="0"/>
            <wp:docPr descr="" title="" id="126" name="Picture"/>
            <a:graphic>
              <a:graphicData uri="http://schemas.openxmlformats.org/drawingml/2006/picture">
                <pic:pic>
                  <pic:nvPicPr>
                    <pic:cNvPr descr="../figures/main/pt/png/Fig3_KM_SCANB_OS_CorePAM_PT.png" id="127" name="Picture"/>
                    <pic:cNvPicPr>
                      <a:picLocks noChangeArrowheads="1" noChangeAspect="1"/>
                    </pic:cNvPicPr>
                  </pic:nvPicPr>
                  <pic:blipFill>
                    <a:blip r:embed="rId125"/>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de treinamento SCAN-B (N = 3 069; sobrevida global). Dicotomização na mediana do escore CorePAM. HR = 3,56 (IC 95% 2,77-4,58; p &lt; 0,001).</w:t>
      </w:r>
    </w:p>
    <w:bookmarkEnd w:id="128"/>
    <w:p>
      <w:pPr>
        <w:pStyle w:val="BodyText"/>
      </w:pPr>
      <w:r>
        <w:t xml:space="preserve">Na</w:t>
      </w:r>
      <w:r>
        <w:t xml:space="preserve"> </w:t>
      </w:r>
      <w:hyperlink w:anchor="fig-km-scanb">
        <w:r>
          <w:rPr>
            <w:rStyle w:val="Hyperlink"/>
            <w:color w:val="0563C1"/>
            <w:u w:val="single"/>
          </w:rPr>
          <w:t xml:space="preserve">Figura 12</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pPr>
        <w:pStyle w:val="BodyText"/>
      </w:pPr>
      <w:r>
        <w:t xml:space="preserve">O detalhe importante na</w:t>
      </w:r>
      <w:r>
        <w:t xml:space="preserve"> </w:t>
      </w:r>
      <w:hyperlink w:anchor="fig-km-scanb">
        <w:r>
          <w:rPr>
            <w:rStyle w:val="Hyperlink"/>
            <w:color w:val="0563C1"/>
            <w:u w:val="single"/>
          </w:rPr>
          <w:t xml:space="preserve">Figura 12</w:t>
        </w:r>
      </w:hyperlink>
      <w:r>
        <w:t xml:space="preserve"> </w:t>
      </w:r>
      <w:r>
        <w:t xml:space="preserve">é que as curvas se separam cedo e permanecem afastadas. Isso sugere que o escore não está captando apenas ruído tardio de seguimento, mas uma diferença biológica presente desde o início da história da doença. Ainda assim, como a mesma coorte foi usada para derivar o modelo, a figura deve ser lida como demonstração interna de coerência, não como prova final de generalização.</w:t>
      </w:r>
    </w:p>
    <w:p>
      <w:r>
        <w:br w:type="page"/>
      </w:r>
    </w:p>
    <w:p>
      <w:pPr>
        <w:pStyle w:val="Compact"/>
        <w:jc w:val="center"/>
      </w:pPr>
      <w:bookmarkStart w:id="132" w:name="fig-km-tcga"/>
      <w:r>
        <w:drawing>
          <wp:inline>
            <wp:extent cx="5687999" cy="4265999"/>
            <wp:effectExtent b="0" l="0" r="0" t="0"/>
            <wp:docPr descr="" title="" id="130" name="Picture"/>
            <a:graphic>
              <a:graphicData uri="http://schemas.openxmlformats.org/drawingml/2006/picture">
                <pic:pic>
                  <pic:nvPicPr>
                    <pic:cNvPr descr="../figures/main/pt/png/Fig2_KM_TCGA_BRCA_OS_PT.png" id="131" name="Picture"/>
                    <pic:cNvPicPr>
                      <a:picLocks noChangeArrowheads="1" noChangeAspect="1"/>
                    </pic:cNvPicPr>
                  </pic:nvPicPr>
                  <pic:blipFill>
                    <a:blip r:embed="rId12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TCGA-BRCA (N = 1 072; RNA-seq; sobrevida global). Dicotomização na mediana do escore CorePAM.</w:t>
      </w:r>
    </w:p>
    <w:bookmarkEnd w:id="132"/>
    <w:p>
      <w:pPr>
        <w:pStyle w:val="BodyText"/>
      </w:pPr>
      <w:r>
        <w:t xml:space="preserve">Na</w:t>
      </w:r>
      <w:r>
        <w:t xml:space="preserve"> </w:t>
      </w:r>
      <w:hyperlink w:anchor="fig-km-tcga">
        <w:r>
          <w:rPr>
            <w:rStyle w:val="Hyperlink"/>
            <w:color w:val="0563C1"/>
            <w:u w:val="single"/>
          </w:rPr>
          <w:t xml:space="preserve">Figura 13</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pPr>
        <w:pStyle w:val="BodyText"/>
      </w:pPr>
      <w:r>
        <w:t xml:space="preserve">Clinicamente, a</w:t>
      </w:r>
      <w:r>
        <w:t xml:space="preserve"> </w:t>
      </w:r>
      <w:hyperlink w:anchor="fig-km-tcga">
        <w:r>
          <w:rPr>
            <w:rStyle w:val="Hyperlink"/>
            <w:color w:val="0563C1"/>
            <w:u w:val="single"/>
          </w:rPr>
          <w:t xml:space="preserve">Figura 13</w:t>
        </w:r>
      </w:hyperlink>
      <w:r>
        <w:t xml:space="preserve"> </w:t>
      </w:r>
      <w:r>
        <w:t xml:space="preserve">lembra uma consulta com pouco tempo de seguimento: a ausência de grande diferença visual não significa ausência de biologia, mas menor oportunidade de observar eventos. A contribuição da TCGA-BRCA é mostrar que o escore calculado em outro</w:t>
      </w:r>
      <w:r>
        <w:t xml:space="preserve"> </w:t>
      </w:r>
      <w:r>
        <w:rPr>
          <w:i/>
          <w:iCs/>
        </w:rPr>
        <w:t xml:space="preserve">pipeline</w:t>
      </w:r>
      <w:r>
        <w:t xml:space="preserve"> </w:t>
      </w:r>
      <w:r>
        <w:t xml:space="preserve">de</w:t>
      </w:r>
      <w:r>
        <w:t xml:space="preserve"> </w:t>
      </w:r>
      <w:r>
        <w:rPr>
          <w:i/>
          <w:iCs/>
        </w:rPr>
        <w:t xml:space="preserve">RNA-seq</w:t>
      </w:r>
      <w:r>
        <w:t xml:space="preserve"> </w:t>
      </w:r>
      <w:r>
        <w:t xml:space="preserve">mantém a mesma direção, ainda que com menor amplitude.</w:t>
      </w:r>
    </w:p>
    <w:p>
      <w:r>
        <w:br w:type="page"/>
      </w:r>
    </w:p>
    <w:p>
      <w:pPr>
        <w:pStyle w:val="Compact"/>
        <w:jc w:val="center"/>
      </w:pPr>
      <w:bookmarkStart w:id="136" w:name="fig-km-metabric"/>
      <w:r>
        <w:drawing>
          <wp:inline>
            <wp:extent cx="5687999" cy="4265999"/>
            <wp:effectExtent b="0" l="0" r="0" t="0"/>
            <wp:docPr descr="" title="" id="134" name="Picture"/>
            <a:graphic>
              <a:graphicData uri="http://schemas.openxmlformats.org/drawingml/2006/picture">
                <pic:pic>
                  <pic:nvPicPr>
                    <pic:cNvPr descr="../figures/main/pt/png/Fig2_KM_METABRIC_DSS_PT.png" id="135" name="Picture"/>
                    <pic:cNvPicPr>
                      <a:picLocks noChangeArrowheads="1" noChangeAspect="1"/>
                    </pic:cNvPicPr>
                  </pic:nvPicPr>
                  <pic:blipFill>
                    <a:blip r:embed="rId133"/>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METABRIC (N = 1 978; microarray Illumina; sobrevida doença-específica). Separação ampla mantida ao longo de mais de 200 meses de seguimento.</w:t>
      </w:r>
    </w:p>
    <w:bookmarkEnd w:id="136"/>
    <w:p>
      <w:pPr>
        <w:pStyle w:val="BodyText"/>
      </w:pPr>
      <w:r>
        <w:t xml:space="preserve">Na</w:t>
      </w:r>
      <w:r>
        <w:t xml:space="preserve"> </w:t>
      </w:r>
      <w:hyperlink w:anchor="fig-km-metabric">
        <w:r>
          <w:rPr>
            <w:rStyle w:val="Hyperlink"/>
            <w:color w:val="0563C1"/>
            <w:u w:val="single"/>
          </w:rPr>
          <w:t xml:space="preserve">Figura 14</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pPr>
        <w:pStyle w:val="BodyText"/>
      </w:pPr>
      <w:r>
        <w:t xml:space="preserve">A</w:t>
      </w:r>
      <w:r>
        <w:t xml:space="preserve"> </w:t>
      </w:r>
      <w:hyperlink w:anchor="fig-km-metabric">
        <w:r>
          <w:rPr>
            <w:rStyle w:val="Hyperlink"/>
            <w:color w:val="0563C1"/>
            <w:u w:val="single"/>
          </w:rPr>
          <w:t xml:space="preserve">Figura 14</w:t>
        </w:r>
      </w:hyperlink>
      <w:r>
        <w:t xml:space="preserve"> </w:t>
      </w:r>
      <w:r>
        <w:t xml:space="preserve">é a figura que melhor conversa com o problema clínico de recorrência tardia. Em tumores luminais, a pergunta não termina em cinco anos; muitas decisões, como extensão de hormonioterapia, dependem de risco prolongado. A persistência da separação ao longo de mais de uma década indica que o CorePAM não captura apenas agressividade inicial, mas também uma dimensão de história natural sustentada.</w:t>
      </w:r>
    </w:p>
    <w:p>
      <w:r>
        <w:br w:type="page"/>
      </w:r>
    </w:p>
    <w:p>
      <w:pPr>
        <w:pStyle w:val="Compact"/>
        <w:jc w:val="center"/>
      </w:pPr>
      <w:bookmarkStart w:id="140" w:name="fig-km-gse20685"/>
      <w:r>
        <w:drawing>
          <wp:inline>
            <wp:extent cx="5687999" cy="4265999"/>
            <wp:effectExtent b="0" l="0" r="0" t="0"/>
            <wp:docPr descr="" title="" id="138" name="Picture"/>
            <a:graphic>
              <a:graphicData uri="http://schemas.openxmlformats.org/drawingml/2006/picture">
                <pic:pic>
                  <pic:nvPicPr>
                    <pic:cNvPr descr="../figures/main/pt/png/Fig2_KM_GSE20685_OS_PT.png" id="139" name="Picture"/>
                    <pic:cNvPicPr>
                      <a:picLocks noChangeArrowheads="1" noChangeAspect="1"/>
                    </pic:cNvPicPr>
                  </pic:nvPicPr>
                  <pic:blipFill>
                    <a:blip r:embed="rId13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15 — Curva de Kaplan-Meier na coorte GSE20685 (N = 327; microarray Affymetrix; sobrevida global). População asiática (Taiwan), testando generalizabilidade populacional e transportabilidade para plataforma Affymetrix.</w:t>
      </w:r>
    </w:p>
    <w:bookmarkEnd w:id="140"/>
    <w:p>
      <w:pPr>
        <w:pStyle w:val="BodyText"/>
      </w:pPr>
      <w:r>
        <w:t xml:space="preserve">Na</w:t>
      </w:r>
      <w:r>
        <w:t xml:space="preserve"> </w:t>
      </w:r>
      <w:hyperlink w:anchor="fig-km-gse20685">
        <w:r>
          <w:rPr>
            <w:rStyle w:val="Hyperlink"/>
            <w:color w:val="0563C1"/>
            <w:u w:val="single"/>
          </w:rPr>
          <w:t xml:space="preserve">Figura 15</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p>
      <w:pPr>
        <w:pStyle w:val="BodyText"/>
      </w:pPr>
      <w:r>
        <w:t xml:space="preserve">A</w:t>
      </w:r>
      <w:r>
        <w:t xml:space="preserve"> </w:t>
      </w:r>
      <w:hyperlink w:anchor="fig-km-gse20685">
        <w:r>
          <w:rPr>
            <w:rStyle w:val="Hyperlink"/>
            <w:color w:val="0563C1"/>
            <w:u w:val="single"/>
          </w:rPr>
          <w:t xml:space="preserve">Figura 15</w:t>
        </w:r>
      </w:hyperlink>
      <w:r>
        <w:t xml:space="preserve"> </w:t>
      </w:r>
      <w:r>
        <w:t xml:space="preserve">deve ser lida como teste de adversidade metodológica. N menor, plataforma diferente e população distinta tornam a demonstração mais difícil. Por isso, mesmo uma separação menos</w:t>
      </w:r>
      <w:r>
        <w:t xml:space="preserve"> </w:t>
      </w:r>
      <w:r>
        <w:t xml:space="preserve">“bonita”</w:t>
      </w:r>
      <w:r>
        <w:t xml:space="preserve"> </w:t>
      </w:r>
      <w:r>
        <w:t xml:space="preserve">tem valor: ela mostra que a direção do risco não depende exclusivamente da coorte sueca nem da plataforma Illumina.</w:t>
      </w:r>
    </w:p>
    <w:bookmarkEnd w:id="141"/>
    <w:bookmarkStart w:id="147"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color w:val="0563C1"/>
            <w:u w:val="single"/>
          </w:rPr>
          <w:t xml:space="preserve">Tabela 9</w:t>
        </w:r>
      </w:hyperlink>
      <w:r>
        <w:t xml:space="preserve">,</w:t>
      </w:r>
      <w:r>
        <w:t xml:space="preserve"> </w:t>
      </w:r>
      <w:hyperlink w:anchor="fig-forest-survival">
        <w:r>
          <w:rPr>
            <w:rStyle w:val="Hyperlink"/>
            <w:color w:val="0563C1"/>
            <w:u w:val="single"/>
          </w:rPr>
          <w:t xml:space="preserve">Figura 16</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42" w:name="tbl-meta-survival"/>
      <w:r>
        <w:t xml:space="preserve">Tabela 9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42"/>
    <w:p/>
    <w:bookmarkStart w:id="146" w:name="fig-forest-survival"/>
    <w:p>
      <w:pPr>
        <w:pStyle w:val="Compact"/>
        <w:jc w:val="center"/>
      </w:pPr>
      <w:r>
        <w:drawing>
          <wp:inline>
            <wp:extent cx="5687999" cy="2843999"/>
            <wp:effectExtent b="0" l="0" r="0" t="0"/>
            <wp:docPr descr="" title="" id="144" name="Picture"/>
            <a:graphic>
              <a:graphicData uri="http://schemas.openxmlformats.org/drawingml/2006/picture">
                <pic:pic>
                  <pic:nvPicPr>
                    <pic:cNvPr descr="../figures/main/pt/png/Fig4_Meta_Forest_HR_per1SD_CorePAM_PT.png" id="145" name="Picture"/>
                    <pic:cNvPicPr>
                      <a:picLocks noChangeArrowheads="1" noChangeAspect="1"/>
                    </pic:cNvPicPr>
                  </pic:nvPicPr>
                  <pic:blipFill>
                    <a:blip r:embed="rId143"/>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16 — Forest plot da meta-análise de sobrevida (HR por 1-DP, K = 4 coortes de validação). Modelo de efeitos aleatórios (REML). Diamante: estimativa agrupada (HR = 1,37; IC 95% 1,24-1,52; p = 1,6 x 10^-9). I-quadrado = 38,2%.</w:t>
      </w:r>
    </w:p>
    <w:bookmarkEnd w:id="146"/>
    <w:p>
      <w:pPr>
        <w:pStyle w:val="BodyText"/>
      </w:pPr>
      <w:r>
        <w:t xml:space="preserve">Na</w:t>
      </w:r>
      <w:r>
        <w:t xml:space="preserve"> </w:t>
      </w:r>
      <w:hyperlink w:anchor="fig-forest-survival">
        <w:r>
          <w:rPr>
            <w:rStyle w:val="Hyperlink"/>
            <w:color w:val="0563C1"/>
            <w:u w:val="single"/>
          </w:rPr>
          <w:t xml:space="preserve">Figura 16</w:t>
        </w:r>
      </w:hyperlink>
      <w:r>
        <w:t xml:space="preserve">, cada linha é uma coorte externa e cada quadrado é a estimativa de efeito do CorePAM naquela coorte. A linha vertical em HR = 1 representa ausência de associação; tudo à direita favorece maior risco com maior escore. O leitor deve notar que todos os quadrados estão à direita de 1, ainda que com tamanhos e intervalos diferentes. O diamante final resume a evidência conjunta e também fica claramente à direita de 1. Em oncologia, essa leitura é parecida com comparar subgrupos de um ensaio: nem todos têm o mesmo peso, mas a consistência de direção importa. O I-quadrado de 38,2% indica que existe variação real entre coortes, mas não a ponto de destruir a mensagem principal.</w:t>
      </w:r>
    </w:p>
    <w:bookmarkEnd w:id="147"/>
    <w:bookmarkStart w:id="157"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color w:val="0563C1"/>
            <w:u w:val="single"/>
          </w:rPr>
          <w:t xml:space="preserve">Tabela 10</w:t>
        </w:r>
      </w:hyperlink>
      <w:r>
        <w:t xml:space="preserve"> </w:t>
      </w:r>
      <w:r>
        <w:t xml:space="preserve">e a</w:t>
      </w:r>
      <w:r>
        <w:t xml:space="preserve"> </w:t>
      </w:r>
      <w:hyperlink w:anchor="fig-delta-c">
        <w:r>
          <w:rPr>
            <w:rStyle w:val="Hyperlink"/>
            <w:color w:val="0563C1"/>
            <w:u w:val="single"/>
          </w:rPr>
          <w:t xml:space="preserve">Figura 17</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8" w:name="tbl-incremental"/>
      <w:r>
        <w:t xml:space="preserve">Tabela 10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8"/>
    <w:p/>
    <w:bookmarkStart w:id="152" w:name="fig-delta-c"/>
    <w:p>
      <w:pPr>
        <w:pStyle w:val="Compact"/>
        <w:jc w:val="center"/>
      </w:pPr>
      <w:r>
        <w:drawing>
          <wp:inline>
            <wp:extent cx="5687999" cy="3554999"/>
            <wp:effectExtent b="0" l="0" r="0" t="0"/>
            <wp:docPr descr="" title="" id="150" name="Picture"/>
            <a:graphic>
              <a:graphicData uri="http://schemas.openxmlformats.org/drawingml/2006/picture">
                <pic:pic>
                  <pic:nvPicPr>
                    <pic:cNvPr descr="../figures/main/pt/png/Fig5_DeltaCindex_COREA_vs_COREAplus_CorePAM_PT.png" id="151" name="Picture"/>
                    <pic:cNvPicPr>
                      <a:picLocks noChangeArrowheads="1" noChangeAspect="1"/>
                    </pic:cNvPicPr>
                  </pic:nvPicPr>
                  <pic:blipFill>
                    <a:blip r:embed="rId149"/>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17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52"/>
    <w:p>
      <w:pPr>
        <w:pStyle w:val="BodyText"/>
      </w:pPr>
      <w:r>
        <w:t xml:space="preserve">Na</w:t>
      </w:r>
      <w:r>
        <w:t xml:space="preserve"> </w:t>
      </w:r>
      <w:hyperlink w:anchor="fig-delta-c">
        <w:r>
          <w:rPr>
            <w:rStyle w:val="Hyperlink"/>
            <w:color w:val="0563C1"/>
            <w:u w:val="single"/>
          </w:rPr>
          <w:t xml:space="preserve">Figura 17</w:t>
        </w:r>
      </w:hyperlink>
      <w:r>
        <w:t xml:space="preserve">, cada barra responde à pergunta: quanto melhora a ordenação de risco quando o CorePAM é adicionado ao modelo clínico basal? O zero é a linha de nenhuma melhora. Todas as barras estão acima de zero e seus intervalos de confiança não cruzam zero, o que indica ganho estatisticamente consistente. A leitura clínica é direta: idade e RE ajudam, mas não esgotam a biologia tumoral. Em GSE20685, o ganho é maior porque o modelo clínico basal é mais fraco; é justamente nesse tipo de cenário que uma assinatura molecular pode ter maior utilidade incremental, como um exame adicional que esclarece uma decisão quando a avaliação inicial é insuficiente.</w:t>
      </w:r>
    </w:p>
    <w:p>
      <w:r>
        <w:br w:type="page"/>
      </w:r>
    </w:p>
    <w:p>
      <w:pPr>
        <w:pStyle w:val="BodyText"/>
      </w:pPr>
      <w:r>
        <w:t xml:space="preserve">A</w:t>
      </w:r>
      <w:r>
        <w:t xml:space="preserve"> </w:t>
      </w:r>
      <w:hyperlink w:anchor="fig-calibration">
        <w:r>
          <w:rPr>
            <w:rStyle w:val="Hyperlink"/>
            <w:color w:val="0563C1"/>
            <w:u w:val="single"/>
          </w:rPr>
          <w:t xml:space="preserve">Figura 18</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color w:val="0563C1"/>
            <w:u w:val="single"/>
          </w:rPr>
          <w:t xml:space="preserve">Figura 18</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6" w:name="fig-calibration"/>
      <w:r>
        <w:drawing>
          <wp:inline>
            <wp:extent cx="5687999" cy="3412799"/>
            <wp:effectExtent b="0" l="0" r="0" t="0"/>
            <wp:docPr descr="" title="" id="154" name="Picture"/>
            <a:graphic>
              <a:graphicData uri="http://schemas.openxmlformats.org/drawingml/2006/picture">
                <pic:pic>
                  <pic:nvPicPr>
                    <pic:cNvPr descr="../figures/main/pt/png/Fig5_Calibration_60m_Panels_CorePAM_PT.png" id="155" name="Picture"/>
                    <pic:cNvPicPr>
                      <a:picLocks noChangeArrowheads="1" noChangeAspect="1"/>
                    </pic:cNvPicPr>
                  </pic:nvPicPr>
                  <pic:blipFill>
                    <a:blip r:embed="rId153"/>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18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6"/>
    <w:p>
      <w:pPr>
        <w:pStyle w:val="BodyText"/>
      </w:pPr>
      <w:r>
        <w:t xml:space="preserve">Na</w:t>
      </w:r>
      <w:r>
        <w:t xml:space="preserve"> </w:t>
      </w:r>
      <w:hyperlink w:anchor="fig-calibration">
        <w:r>
          <w:rPr>
            <w:rStyle w:val="Hyperlink"/>
            <w:color w:val="0563C1"/>
            <w:u w:val="single"/>
          </w:rPr>
          <w:t xml:space="preserve">Figura 18</w:t>
        </w:r>
      </w:hyperlink>
      <w:r>
        <w:t xml:space="preserve">, a diagonal é o alvo: se o modelo prevê 80% de sobrevida livre de evento, espera-se observar aproximadamente 80%. SCAN-B fica mais próximo da diagonal porque foi o ambiente de desenvolvimento. METABRIC e GSE20685 mostram que o modelo ainda ordena pacientes, mas tende a comprimir diferenças absolutas, como um termômetro calibrado para outra escala que ainda distingue quente de frio, mas não fornece a temperatura exata sem ajuste local. TCGA-BRCA deve ser interpretada com ainda mais cautela porque usa horizonte de 24 meses, não 60 meses. A conclusão prática é que o CorePAM, nesta forma, é mais maduro como ferramenta de estratificação relativa do que como calculadora individual definitiva de risco absoluto.</w:t>
      </w:r>
    </w:p>
    <w:bookmarkEnd w:id="157"/>
    <w:bookmarkStart w:id="160" w:name="X1817a4fc7f9706a60fbc04f7a53f8ec6077e0e8"/>
    <w:p>
      <w:pPr>
        <w:pageBreakBefore/>
        <w:pStyle w:val="Heading2"/>
      </w:pPr>
      <w:r>
        <w:t xml:space="preserve">4.5 Independência do estadiamento clínico-patológico</w:t>
      </w:r>
    </w:p>
    <w:p>
      <w:pPr>
        <w:jc w:val="left"/>
        <w:spacing w:before="200"/>
        <w:pStyle w:val="ImageCaption"/>
      </w:pPr>
      <w:bookmarkStart w:id="158" w:name="tbl-expanded-model"/>
      <w:r>
        <w:t xml:space="preserve">Tabela 11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8"/>
    <w:p/>
    <w:p>
      <w:pPr>
        <w:pStyle w:val="BodyText"/>
      </w:pPr>
      <w:r>
        <w:t xml:space="preserve"> </w:t>
      </w:r>
    </w:p>
    <w:p>
      <w:pPr>
        <w:jc w:val="left"/>
        <w:spacing w:before="200"/>
        <w:pStyle w:val="ImageCaption"/>
      </w:pPr>
      <w:bookmarkStart w:id="159" w:name="tbl-full-model"/>
      <w:r>
        <w:t xml:space="preserve">Tabela 12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9"/>
    <w:p/>
    <w:bookmarkEnd w:id="160"/>
    <w:bookmarkStart w:id="176" w:name="análises-de-sensibilidade"/>
    <w:p>
      <w:pPr>
        <w:pStyle w:val="Heading2"/>
      </w:pPr>
      <w:r>
        <w:t xml:space="preserve">4.6 Análises de sensibilidade</w:t>
      </w:r>
    </w:p>
    <w:p>
      <w:pPr>
        <w:jc w:val="left"/>
        <w:spacing w:before="200"/>
        <w:pStyle w:val="ImageCaption"/>
      </w:pPr>
      <w:bookmarkStart w:id="161" w:name="tbl-frozen-zscore"/>
      <w:r>
        <w:t xml:space="preserve">Tabela 13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61"/>
    <w:p/>
    <w:p>
      <w:pPr>
        <w:pStyle w:val="BodyText"/>
      </w:pPr>
      <w:r>
        <w:t xml:space="preserve">A</w:t>
      </w:r>
      <w:r>
        <w:t xml:space="preserve"> </w:t>
      </w:r>
      <w:hyperlink w:anchor="tbl-frozen-zscore">
        <w:r>
          <w:rPr>
            <w:rStyle w:val="Hyperlink"/>
            <w:color w:val="0563C1"/>
            <w:u w:val="single"/>
          </w:rPr>
          <w:t xml:space="preserve">Tabela 13</w:t>
        </w:r>
      </w:hyperlink>
      <w:r>
        <w:t xml:space="preserve"> </w:t>
      </w:r>
      <w:r>
        <w:t xml:space="preserve">e a</w:t>
      </w:r>
      <w:r>
        <w:t xml:space="preserve"> </w:t>
      </w:r>
      <w:hyperlink w:anchor="fig-correlation">
        <w:r>
          <w:rPr>
            <w:rStyle w:val="Hyperlink"/>
            <w:color w:val="0563C1"/>
            <w:u w:val="single"/>
          </w:rPr>
          <w:t xml:space="preserve">Figura 19</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65" w:name="fig-correlation"/>
      <w:r>
        <w:drawing>
          <wp:inline>
            <wp:extent cx="5687999" cy="4875428"/>
            <wp:effectExtent b="0" l="0" r="0" t="0"/>
            <wp:docPr descr="" title="" id="163" name="Picture"/>
            <a:graphic>
              <a:graphicData uri="http://schemas.openxmlformats.org/drawingml/2006/picture">
                <pic:pic>
                  <pic:nvPicPr>
                    <pic:cNvPr descr="../figures/supp/pt/png/FigS3_Correlation_OffDiagonal_PT.png" id="164" name="Picture"/>
                    <pic:cNvPicPr>
                      <a:picLocks noChangeArrowheads="1" noChangeAspect="1"/>
                    </pic:cNvPicPr>
                  </pic:nvPicPr>
                  <pic:blipFill>
                    <a:blip r:embed="rId162"/>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19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65"/>
    <w:p>
      <w:pPr>
        <w:pStyle w:val="BodyText"/>
      </w:pPr>
      <w:r>
        <w:t xml:space="preserve">Na</w:t>
      </w:r>
      <w:r>
        <w:t xml:space="preserve"> </w:t>
      </w:r>
      <w:hyperlink w:anchor="fig-correlation">
        <w:r>
          <w:rPr>
            <w:rStyle w:val="Hyperlink"/>
            <w:color w:val="0563C1"/>
            <w:u w:val="single"/>
          </w:rPr>
          <w:t xml:space="preserve">Figura 19</w:t>
        </w:r>
      </w:hyperlink>
      <w:r>
        <w:t xml:space="preserve">, cada ponto representa uma paciente pontuada de duas maneiras: com normalização local da coorte e com parâmetros congelados do SCAN-B. A diagonal é concordância perfeita. Quando os pontos ficam colados à diagonal, a forma de normalizar muda pouco a posição relativa das pacientes. Isso é o que se observa em SCAN-B, TCGA-BRCA e METABRIC, indicando que o escore é pouco sensível à troca entre normalização local e parâmetros congelados nessas plataformas. Em GSE20685 e GSE1456, os pontos se afastam mais da diagonal, coerente com a maior distância técnica das plataformas</w:t>
      </w:r>
      <w:r>
        <w:t xml:space="preserve"> </w:t>
      </w:r>
      <w:r>
        <w:rPr>
          <w:i/>
          <w:iCs/>
        </w:rPr>
        <w:t xml:space="preserve">Affymetrix</w:t>
      </w:r>
      <w:r>
        <w:t xml:space="preserve">. A ponte clínica é importante: para um teste futuro aplicado a uma paciente individual, não haverá uma coorte local inteira disponível no momento do laudo. Esta figura mostra que a estratégia de parâmetros congelados é plausível, mas também aponta onde a validação analítica de plataforma será mais necessária.</w:t>
      </w:r>
    </w:p>
    <w:p>
      <w:r>
        <w:br w:type="page"/>
      </w:r>
    </w:p>
    <w:p>
      <w:pPr>
        <w:jc w:val="left"/>
        <w:spacing w:before="200"/>
        <w:pStyle w:val="ImageCaption"/>
      </w:pPr>
      <w:bookmarkStart w:id="166" w:name="tbl-uno-tdauc"/>
      <w:r>
        <w:t xml:space="preserve">Tabela 14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6"/>
    <w:p/>
    <w:p>
      <w:pPr>
        <w:pStyle w:val="BodyText"/>
      </w:pPr>
      <w:r>
        <w:t xml:space="preserve"> </w:t>
      </w:r>
    </w:p>
    <w:p>
      <w:pPr>
        <w:jc w:val="left"/>
        <w:spacing w:before="200"/>
        <w:pStyle w:val="ImageCaption"/>
      </w:pPr>
      <w:bookmarkStart w:id="167" w:name="tbl-calibration-formal"/>
      <w:r>
        <w:t xml:space="preserve">Tabela 15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7"/>
    <w:p/>
    <w:p>
      <w:pPr>
        <w:pStyle w:val="BodyText"/>
      </w:pPr>
      <w:r>
        <w:t xml:space="preserve">A</w:t>
      </w:r>
      <w:r>
        <w:t xml:space="preserve"> </w:t>
      </w:r>
      <w:hyperlink w:anchor="fig-dca">
        <w:r>
          <w:rPr>
            <w:rStyle w:val="Hyperlink"/>
            <w:color w:val="0563C1"/>
            <w:u w:val="single"/>
          </w:rPr>
          <w:t xml:space="preserve">Figura 20</w:t>
        </w:r>
      </w:hyperlink>
      <w:r>
        <w:t xml:space="preserve"> </w:t>
      </w:r>
      <w:r>
        <w:t xml:space="preserve">apresenta a análise de curva de decisão (</w:t>
      </w:r>
      <w:r>
        <w:rPr>
          <w:i/>
          <w:iCs/>
        </w:rPr>
        <w:t xml:space="preserve">decision curve analysis</w:t>
      </w:r>
      <w:r>
        <w:t xml:space="preserve">) para desfechos de sobrevida. Essa figura deve ser lida como uma simulação de decisão clínica em vários limiares de risco. O eixo horizontal é o limiar: 5%, 10%, 20% ou 30% de risco previsto no horizonte analisado. O eixo vertical é o benefício líquido, isto é, o saldo entre identificar corretamente pacientes de maior risco e causar falsos alarmes. A linha</w:t>
      </w:r>
      <w:r>
        <w:t xml:space="preserve"> </w:t>
      </w:r>
      <w:r>
        <w:t xml:space="preserve">“tratar nenhum”</w:t>
      </w:r>
      <w:r>
        <w:t xml:space="preserve"> </w:t>
      </w:r>
      <w:r>
        <w:t xml:space="preserve">é o zero: nenhuma paciente é selecionada, logo não há benefício nem dano por seleção. A linha</w:t>
      </w:r>
      <w:r>
        <w:t xml:space="preserve"> </w:t>
      </w:r>
      <w:r>
        <w:t xml:space="preserve">“tratar todos”</w:t>
      </w:r>
      <w:r>
        <w:t xml:space="preserve"> </w:t>
      </w:r>
      <w:r>
        <w:t xml:space="preserve">representa a conduta de oferecer a intervenção a todas as pacientes, estratégia que só faz sentido quando o limiar aceito é muito baixo. As curvas do CorePAM, do modelo por idade e do modelo combinado mostram se uma decisão guiada por modelo melhora esse balanço.</w:t>
      </w:r>
    </w:p>
    <w:p>
      <w:pPr>
        <w:pStyle w:val="Compact"/>
        <w:jc w:val="center"/>
      </w:pPr>
      <w:bookmarkStart w:id="171" w:name="fig-dca"/>
      <w:r>
        <w:drawing>
          <wp:inline>
            <wp:extent cx="5687999" cy="4265999"/>
            <wp:effectExtent b="0" l="0" r="0" t="0"/>
            <wp:docPr descr="" title="" id="169" name="Picture"/>
            <a:graphic>
              <a:graphicData uri="http://schemas.openxmlformats.org/drawingml/2006/picture">
                <pic:pic>
                  <pic:nvPicPr>
                    <pic:cNvPr descr="../figures/supp/pt/png/FigS_DCA_OS_PT.png" id="170" name="Picture"/>
                    <pic:cNvPicPr>
                      <a:picLocks noChangeArrowheads="1" noChangeAspect="1"/>
                    </pic:cNvPicPr>
                  </pic:nvPicPr>
                  <pic:blipFill>
                    <a:blip r:embed="rId16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20 — Análise de curva de decisão (DCA) — quatro coortes de sobrevida. Benefício líquido do CorePAM, do modelo clínico por idade e do modelo combinado comparado com estratégias de tratar todos e tratar nenhum. SCAN-B, METABRIC e GSE20685 foram avaliadas em 60 meses; TCGA-BRCA foi avaliada em 24 meses por seguimento curto.</w:t>
      </w:r>
    </w:p>
    <w:bookmarkEnd w:id="171"/>
    <w:p>
      <w:pPr>
        <w:pStyle w:val="BodyText"/>
      </w:pPr>
      <w:r>
        <w:t xml:space="preserve">No painel SCAN-B da</w:t>
      </w:r>
      <w:r>
        <w:t xml:space="preserve"> </w:t>
      </w:r>
      <w:hyperlink w:anchor="fig-dca">
        <w:r>
          <w:rPr>
            <w:rStyle w:val="Hyperlink"/>
            <w:color w:val="0563C1"/>
            <w:u w:val="single"/>
          </w:rPr>
          <w:t xml:space="preserve">Figura 20</w:t>
        </w:r>
      </w:hyperlink>
      <w:r>
        <w:t xml:space="preserve">, o CorePAM isolado mantém benefício líquido acima das estratégias de referência em uma faixa ampla de limiares, sobretudo entre aproximadamente 5% e 30%. Isso significa que, no ambiente de treinamento, o escore consegue separar risco de modo clinicamente útil: melhor do que tratar todas as pacientes e melhor do que não selecionar ninguém. A curva</w:t>
      </w:r>
      <w:r>
        <w:t xml:space="preserve"> </w:t>
      </w:r>
      <w:r>
        <w:t xml:space="preserve">“tratar todos”</w:t>
      </w:r>
      <w:r>
        <w:t xml:space="preserve"> </w:t>
      </w:r>
      <w:r>
        <w:t xml:space="preserve">cai rapidamente e cruza a linha de zero à medida que o limiar aumenta, ilustrando o custo de oferecer intervenção a muitas pacientes que não teriam evento. A idade isolada quase não acrescenta benefício depois dos limiares baixos; essa leitura conversa com a prática clínica, na qual idade ajuda, mas não substitui a biologia tumoral.</w:t>
      </w:r>
    </w:p>
    <w:p>
      <w:pPr>
        <w:pStyle w:val="BodyText"/>
      </w:pPr>
      <w:r>
        <w:t xml:space="preserve">No painel TCGA-BRCA, a janela útil é estreita. As curvas têm benefício apenas em limiares muito baixos e se aproximam de zero rapidamente. Esse comportamento não deve ser lido como contradição do efeito prognóstico, mas como consequência do seguimento curto e da baixa incidência de eventos em 24 meses. Quando poucos eventos ocorreram, há pouco espaço para uma curva de decisão demonstrar ganho líquido sustentado. Em linguagem clínica, é como tentar julgar recorrência tardia depois de uma consulta de seguimento ainda curta: a direção pode estar correta, mas o tempo observado é insuficiente para decisões de longo prazo.</w:t>
      </w:r>
    </w:p>
    <w:p>
      <w:pPr>
        <w:pStyle w:val="BodyText"/>
      </w:pPr>
      <w:r>
        <w:t xml:space="preserve">No painel METABRIC, a figura é particularmente informativa. O modelo combinado e o CorePAM mantêm benefício líquido positivo por uma faixa de limiares mais ampla, compatível com o seguimento longo e com o desfecho de sobrevida doença-específica. Esse é o cenário em que a DCA mais se aproxima do problema clínico de tumores luminais: decidir se uma diferença biológica deve modificar intensidade de tratamento ou seguimento quando a história natural se estende por muitos anos. No painel GSE20685, o CorePAM e o modelo combinado também superam as referências em limiares baixos a intermediários, mas as curvas oscilam mais e cruzam zero em limiares altos. Isso é esperado em uma coorte menor, com menos eventos e plataforma</w:t>
      </w:r>
      <w:r>
        <w:t xml:space="preserve"> </w:t>
      </w:r>
      <w:r>
        <w:rPr>
          <w:i/>
          <w:iCs/>
        </w:rPr>
        <w:t xml:space="preserve">Affymetrix</w:t>
      </w:r>
      <w:r>
        <w:t xml:space="preserve">: a mensagem confiável está na direção e na faixa inicial de benefício, não em pequenas ondulações da curva.</w:t>
      </w:r>
    </w:p>
    <w:p>
      <w:pPr>
        <w:pStyle w:val="BodyText"/>
      </w:pPr>
      <w:r>
        <w:t xml:space="preserve">Assim, a</w:t>
      </w:r>
      <w:r>
        <w:t xml:space="preserve"> </w:t>
      </w:r>
      <w:hyperlink w:anchor="fig-dca">
        <w:r>
          <w:rPr>
            <w:rStyle w:val="Hyperlink"/>
            <w:color w:val="0563C1"/>
            <w:u w:val="single"/>
          </w:rPr>
          <w:t xml:space="preserve">Figura 20</w:t>
        </w:r>
      </w:hyperlink>
      <w:r>
        <w:t xml:space="preserve"> </w:t>
      </w:r>
      <w:r>
        <w:t xml:space="preserve">não diz que o CorePAM deve ser usado isoladamente para indicar tratamento hoje. Ela mostra algo mais específico: nas faixas de risco em que um médico realmente pondera tratar ou não tratar, o escore frequentemente acrescenta benefício líquido sobre estratégias ingênuas. Esse é o mesmo tipo de raciocínio usado para qualquer biomarcador prognóstico em oncologia: associação estatística é necessária, mas utilidade clínica exige que o marcador melhore uma decisão concreta.</w:t>
      </w:r>
    </w:p>
    <w:p>
      <w:r>
        <w:br w:type="page"/>
      </w:r>
    </w:p>
    <w:p>
      <w:pPr>
        <w:pStyle w:val="Compact"/>
        <w:jc w:val="center"/>
      </w:pPr>
      <w:bookmarkStart w:id="175" w:name="fig-pca-metabric"/>
      <w:r>
        <w:drawing>
          <wp:inline>
            <wp:extent cx="5687999" cy="2031428"/>
            <wp:effectExtent b="0" l="0" r="0" t="0"/>
            <wp:docPr descr="" title="" id="173" name="Picture"/>
            <a:graphic>
              <a:graphicData uri="http://schemas.openxmlformats.org/drawingml/2006/picture">
                <pic:pic>
                  <pic:nvPicPr>
                    <pic:cNvPr descr="../figures/supp/pt/png/FigS4_METABRIC_PCA_forensics_PT.png" id="174" name="Picture"/>
                    <pic:cNvPicPr>
                      <a:picLocks noChangeArrowheads="1" noChangeAspect="1"/>
                    </pic:cNvPicPr>
                  </pic:nvPicPr>
                  <pic:blipFill>
                    <a:blip r:embed="rId172"/>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21 — PCA forense da matriz de expressão METABRIC. Componentes principais coloridos por status de RE. PC1 captura a principal dicotomia biológica (ER+/ER-), sem evidência de efeitos de batch dominantes, confirmando integridade dos dados.</w:t>
      </w:r>
    </w:p>
    <w:bookmarkEnd w:id="175"/>
    <w:p>
      <w:pPr>
        <w:pStyle w:val="BodyText"/>
      </w:pPr>
      <w:r>
        <w:t xml:space="preserve">A</w:t>
      </w:r>
      <w:r>
        <w:t xml:space="preserve"> </w:t>
      </w:r>
      <w:hyperlink w:anchor="fig-pca-metabric">
        <w:r>
          <w:rPr>
            <w:rStyle w:val="Hyperlink"/>
            <w:color w:val="0563C1"/>
            <w:u w:val="single"/>
          </w:rPr>
          <w:t xml:space="preserve">Figura 21</w:t>
        </w:r>
      </w:hyperlink>
      <w:r>
        <w:t xml:space="preserve"> </w:t>
      </w:r>
      <w:r>
        <w:t xml:space="preserve">é uma figura de controle de qualidade, não uma análise prognóstica principal. Ela pergunta se a matriz METABRIC se comporta biologicamente como uma coorte de câncer de mama deveria se comportar. No primeiro painel, cada ponto é uma paciente e os eixos PC1 e PC2 são as duas maiores fontes de variação global na expressão gênica. A separação por status de RE ao longo do primeiro componente é esperada, pois a sinalização estrogênica é um dos eixos mais fortes da biologia transcricional do câncer de mama desde os estudos de Perou e Sørlie. Quando uma matriz separa RE+ e RE- de forma coerente, isso sugere que o sinal biológico principal foi preservado.</w:t>
      </w:r>
    </w:p>
    <w:p>
      <w:pPr>
        <w:pStyle w:val="BodyText"/>
      </w:pPr>
      <w:r>
        <w:t xml:space="preserve">O segundo painel troca PC2 por PC3 para verificar se a separação observada depende apenas de uma projeção específica. Se houvesse um lote técnico dominante, como uma placa, centro ou data de processamento, poderíamos observar agrupamentos artificiais sem relação clínica clara. Aqui, a leitura principal é que a estrutura global permanece plausível e não há evidência visual de um artefato grosseiro que explique os resultados do CorePAM. O terceiro painel, o</w:t>
      </w:r>
      <w:r>
        <w:t xml:space="preserve"> </w:t>
      </w:r>
      <w:r>
        <w:rPr>
          <w:i/>
          <w:iCs/>
        </w:rPr>
        <w:t xml:space="preserve">scree plot</w:t>
      </w:r>
      <w:r>
        <w:t xml:space="preserve">, mostra quanta variância cada componente principal captura. Em termos simples, ele informa se a matriz é dominada por um único eixo ou distribuída em múltiplas fontes de variação. Essa verificação é equivalente a checar a qualidade de uma lâmina antes de emitir um laudo: não responde à pergunta clínica final, mas aumenta a confiança de que a amostra técnica é interpretável.</w:t>
      </w:r>
    </w:p>
    <w:bookmarkEnd w:id="176"/>
    <w:bookmarkStart w:id="184"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color w:val="0563C1"/>
            <w:u w:val="single"/>
          </w:rPr>
          <w:t xml:space="preserve">Tabela 16</w:t>
        </w:r>
      </w:hyperlink>
      <w:r>
        <w:t xml:space="preserve"> </w:t>
      </w:r>
      <w:r>
        <w:t xml:space="preserve">e a</w:t>
      </w:r>
      <w:r>
        <w:t xml:space="preserve"> </w:t>
      </w:r>
      <w:hyperlink w:anchor="fig-er-forest">
        <w:r>
          <w:rPr>
            <w:rStyle w:val="Hyperlink"/>
            <w:color w:val="0563C1"/>
            <w:u w:val="single"/>
          </w:rPr>
          <w:t xml:space="preserve">Figura 22</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7"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7"/>
    <w:bookmarkStart w:id="183" w:name="metabric-n-1-936-dss"/>
    <w:p>
      <w:pPr>
        <w:pStyle w:val="Heading3"/>
      </w:pPr>
      <w:r>
        <w:t xml:space="preserve">4.7.2 METABRIC (N = 1 936; DSS)</w:t>
      </w:r>
    </w:p>
    <w:p>
      <w:pPr>
        <w:jc w:val="left"/>
        <w:spacing w:before="200"/>
        <w:pStyle w:val="ImageCaption"/>
      </w:pPr>
      <w:bookmarkStart w:id="178" w:name="tbl-er-subgroup"/>
      <w:r>
        <w:t xml:space="preserve">Tabela 16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8"/>
    <w:p/>
    <w:bookmarkStart w:id="182" w:name="fig-er-forest"/>
    <w:p>
      <w:pPr>
        <w:pStyle w:val="Compact"/>
        <w:jc w:val="center"/>
      </w:pPr>
      <w:r>
        <w:drawing>
          <wp:inline>
            <wp:extent cx="5687999" cy="3412799"/>
            <wp:effectExtent b="0" l="0" r="0" t="0"/>
            <wp:docPr descr="" title="" id="180" name="Picture"/>
            <a:graphic>
              <a:graphicData uri="http://schemas.openxmlformats.org/drawingml/2006/picture">
                <pic:pic>
                  <pic:nvPicPr>
                    <pic:cNvPr descr="../figures/supp/pt/png/FigS_ER_Stratified_Forest_PT.png" id="181" name="Picture"/>
                    <pic:cNvPicPr>
                      <a:picLocks noChangeArrowheads="1" noChangeAspect="1"/>
                    </pic:cNvPicPr>
                  </pic:nvPicPr>
                  <pic:blipFill>
                    <a:blip r:embed="rId179"/>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22 — Forest plot de subgrupos por status de receptor de estrogênio (ER-positivo e ER-negativo). No METABRIC (análise com maior poder), o sinal prognóstico está fortemente concentrado em RE+ (HR = 1,59) com ausência de sinal em RE- (HR = 0,97).</w:t>
      </w:r>
    </w:p>
    <w:bookmarkEnd w:id="182"/>
    <w:p>
      <w:pPr>
        <w:pStyle w:val="BodyText"/>
      </w:pPr>
      <w:r>
        <w:t xml:space="preserve">Na</w:t>
      </w:r>
      <w:r>
        <w:t xml:space="preserve"> </w:t>
      </w:r>
      <w:hyperlink w:anchor="fig-er-forest">
        <w:r>
          <w:rPr>
            <w:rStyle w:val="Hyperlink"/>
            <w:color w:val="0563C1"/>
            <w:u w:val="single"/>
          </w:rPr>
          <w:t xml:space="preserve">Figura 22</w:t>
        </w:r>
      </w:hyperlink>
      <w:r>
        <w:t xml:space="preserve">, a linha vertical em HR = 1 marca ausência de associação. Pontos à direita indicam que maior CorePAM se associa a maior risco. Em SCAN-B, os pontos de RE+ e RE- ficam à direita, sugerindo sinal em ambos os subgrupos, embora o subgrupo RE- seja pequeno e tenha maior incerteza. Em METABRIC, a diferença fica mais clara: o ponto de RE+ está nitidamente à direita, enquanto o de RE- fica próximo de 1. Essa figura ajuda a colocar o CorePAM na prática clínica correta. Assim como</w:t>
      </w:r>
      <w:r>
        <w:t xml:space="preserve"> </w:t>
      </w:r>
      <w:r>
        <w:rPr>
          <w:i/>
          <w:iCs/>
        </w:rPr>
        <w:t xml:space="preserve">OncotypeDX</w:t>
      </w:r>
      <w:r>
        <w:t xml:space="preserve">,</w:t>
      </w:r>
      <w:r>
        <w:t xml:space="preserve"> </w:t>
      </w:r>
      <w:r>
        <w:rPr>
          <w:i/>
          <w:iCs/>
        </w:rPr>
        <w:t xml:space="preserve">Prosigna</w:t>
      </w:r>
      <w:r>
        <w:t xml:space="preserve"> </w:t>
      </w:r>
      <w:r>
        <w:t xml:space="preserve">e</w:t>
      </w:r>
      <w:r>
        <w:t xml:space="preserve"> </w:t>
      </w:r>
      <w:r>
        <w:rPr>
          <w:i/>
          <w:iCs/>
        </w:rPr>
        <w:t xml:space="preserve">EndoPredict</w:t>
      </w:r>
      <w:r>
        <w:t xml:space="preserve"> </w:t>
      </w:r>
      <w:r>
        <w:t xml:space="preserve">têm uso mais consolidado em doença RE+/HER2-, o CorePAM parece mais informativo no eixo luminal, onde proliferação e diferenciação hormonal modulam risco tardio e decisão de quimioterapia.</w:t>
      </w:r>
    </w:p>
    <w:bookmarkEnd w:id="183"/>
    <w:bookmarkEnd w:id="184"/>
    <w:bookmarkStart w:id="20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color w:val="0563C1"/>
            <w:u w:val="single"/>
          </w:rPr>
          <w:t xml:space="preserve">Tabela 17</w:t>
        </w:r>
      </w:hyperlink>
      <w:r>
        <w:t xml:space="preserve"> </w:t>
      </w:r>
      <w:r>
        <w:t xml:space="preserve">e a</w:t>
      </w:r>
      <w:r>
        <w:t xml:space="preserve"> </w:t>
      </w:r>
      <w:hyperlink w:anchor="fig-pcr-forest">
        <w:r>
          <w:rPr>
            <w:rStyle w:val="Hyperlink"/>
            <w:color w:val="0563C1"/>
            <w:u w:val="single"/>
          </w:rPr>
          <w:t xml:space="preserve">Figura 23</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color w:val="0563C1"/>
            <w:u w:val="single"/>
          </w:rPr>
          <w:t xml:space="preserve">Figura 24</w:t>
        </w:r>
      </w:hyperlink>
      <w:r>
        <w:t xml:space="preserve">, a</w:t>
      </w:r>
      <w:r>
        <w:t xml:space="preserve"> </w:t>
      </w:r>
      <w:hyperlink w:anchor="fig-pcr-dist">
        <w:r>
          <w:rPr>
            <w:rStyle w:val="Hyperlink"/>
            <w:color w:val="0563C1"/>
            <w:u w:val="single"/>
          </w:rPr>
          <w:t xml:space="preserve">Figura 25</w:t>
        </w:r>
      </w:hyperlink>
      <w:r>
        <w:t xml:space="preserve"> </w:t>
      </w:r>
      <w:r>
        <w:t xml:space="preserve">e a</w:t>
      </w:r>
      <w:r>
        <w:t xml:space="preserve"> </w:t>
      </w:r>
      <w:hyperlink w:anchor="fig-pcr-quartile">
        <w:r>
          <w:rPr>
            <w:rStyle w:val="Hyperlink"/>
            <w:color w:val="0563C1"/>
            <w:u w:val="single"/>
          </w:rPr>
          <w:t xml:space="preserve">Figura 26</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85" w:name="tbl-pcr"/>
      <w:r>
        <w:t xml:space="preserve">Tabela 17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85"/>
    <w:p/>
    <w:bookmarkStart w:id="189" w:name="fig-pcr-forest"/>
    <w:p>
      <w:pPr>
        <w:pStyle w:val="Compact"/>
        <w:jc w:val="center"/>
      </w:pPr>
      <w:r>
        <w:drawing>
          <wp:inline>
            <wp:extent cx="5687999" cy="3159999"/>
            <wp:effectExtent b="0" l="0" r="0" t="0"/>
            <wp:docPr descr="" title="" id="187" name="Picture"/>
            <a:graphic>
              <a:graphicData uri="http://schemas.openxmlformats.org/drawingml/2006/picture">
                <pic:pic>
                  <pic:nvPicPr>
                    <pic:cNvPr descr="../figures/pcr/pt/png/Fig_pCR1_Forest_OR_PT.png" id="188" name="Picture"/>
                    <pic:cNvPicPr>
                      <a:picLocks noChangeArrowheads="1" noChangeAspect="1"/>
                    </pic:cNvPicPr>
                  </pic:nvPicPr>
                  <pic:blipFill>
                    <a:blip r:embed="rId186"/>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23 — Forest plot de pCR (OR por 1-DP, K = 4 coortes primárias + I-SPY2 exploratória). Modelo de efeitos aleatórios. OR agrupado = 1,69 (IC 95% 1,39-2,05; p = 1,9 x 10^-7). I-quadrado = 0%, indicando consistência notável entre coortes de diferentes plataformas.</w:t>
      </w:r>
    </w:p>
    <w:bookmarkEnd w:id="189"/>
    <w:p>
      <w:pPr>
        <w:pStyle w:val="BodyText"/>
      </w:pPr>
      <w:r>
        <w:t xml:space="preserve">Na</w:t>
      </w:r>
      <w:r>
        <w:t xml:space="preserve"> </w:t>
      </w:r>
      <w:hyperlink w:anchor="fig-pcr-forest">
        <w:r>
          <w:rPr>
            <w:rStyle w:val="Hyperlink"/>
            <w:color w:val="0563C1"/>
            <w:u w:val="single"/>
          </w:rPr>
          <w:t xml:space="preserve">Figura 23</w:t>
        </w:r>
      </w:hyperlink>
      <w:r>
        <w:t xml:space="preserve">, cada linha corresponde a uma coorte neoadjuvante e o ponto mostra o aumento da chance de pCR para cada 1 desvio-padrão a mais no CorePAM. A linha vertical em OR = 1 indica ausência de associação. Todas as estimativas ficam à direita de 1, e o diamante agrupado resume OR = 1,69, com heterogeneidade I-quadrado = 0%. Esse padrão é clinicamente plausível: tumores mais proliferativos costumam ter pior prognóstico quando não erradicados, mas também podem responder melhor à quimioterapia citotóxica. É a mesma lógica observada na prática quando tumores biologicamente mais agressivos apresentam maior taxa de pCR, especialmente em fenótipos HER2-positivo e triplo-negativo, embora a tradução para decisão individual ainda exija validação prospectiva.</w:t>
      </w:r>
    </w:p>
    <w:p>
      <w:r>
        <w:br w:type="page"/>
      </w:r>
    </w:p>
    <w:p>
      <w:pPr>
        <w:pStyle w:val="Compact"/>
        <w:jc w:val="center"/>
      </w:pPr>
      <w:bookmarkStart w:id="193" w:name="fig-pcr-roc"/>
      <w:r>
        <w:drawing>
          <wp:inline>
            <wp:extent cx="5687999" cy="4976999"/>
            <wp:effectExtent b="0" l="0" r="0" t="0"/>
            <wp:docPr descr="" title="" id="191" name="Picture"/>
            <a:graphic>
              <a:graphicData uri="http://schemas.openxmlformats.org/drawingml/2006/picture">
                <pic:pic>
                  <pic:nvPicPr>
                    <pic:cNvPr descr="../figures/pcr/pt/png/Fig_pCR2_ROC_PT.png" id="192" name="Picture"/>
                    <pic:cNvPicPr>
                      <a:picLocks noChangeArrowheads="1" noChangeAspect="1"/>
                    </pic:cNvPicPr>
                  </pic:nvPicPr>
                  <pic:blipFill>
                    <a:blip r:embed="rId190"/>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24 — Curvas ROC para predição de pCR em cada coorte neoadjuvante. AUC variou de 0,576 (GSE25066) a 0,716 (GSE32646), indicando capacidade discriminativa moderada a boa — notável considerando que o escore foi derivado para sobrevida, não para pCR.</w:t>
      </w:r>
    </w:p>
    <w:bookmarkEnd w:id="193"/>
    <w:p>
      <w:pPr>
        <w:pStyle w:val="BodyText"/>
      </w:pPr>
      <w:r>
        <w:t xml:space="preserve">Na</w:t>
      </w:r>
      <w:r>
        <w:t xml:space="preserve"> </w:t>
      </w:r>
      <w:hyperlink w:anchor="fig-pcr-roc">
        <w:r>
          <w:rPr>
            <w:rStyle w:val="Hyperlink"/>
            <w:color w:val="0563C1"/>
            <w:u w:val="single"/>
          </w:rPr>
          <w:t xml:space="preserve">Figura 24</w:t>
        </w:r>
      </w:hyperlink>
      <w:r>
        <w:t xml:space="preserve">, cada curva mostra a capacidade do escore de separar pacientes que atingiram pCR daquelas que não atingiram. A diagonal de referência representa desempenho ao acaso; curvas acima dela indicam discriminação. As AUCs entre 0,58 e 0,72 são moderadas, não definitivas, mas relevantes porque o CorePAM não foi criado para pCR. Em termos clínicos, isso significa que o escore sozinho não deve decidir neoadjuvância, mas carrega informação compatível com quimiossensibilidade. Essa leitura é parecida com a de Ki67: útil para compor o quadro, insuficiente como juiz único.</w:t>
      </w:r>
    </w:p>
    <w:p>
      <w:r>
        <w:br w:type="page"/>
      </w:r>
    </w:p>
    <w:p>
      <w:pPr>
        <w:pStyle w:val="Compact"/>
        <w:jc w:val="center"/>
      </w:pPr>
      <w:bookmarkStart w:id="197" w:name="fig-pcr-dist"/>
      <w:r>
        <w:drawing>
          <wp:inline>
            <wp:extent cx="5687999" cy="4265999"/>
            <wp:effectExtent b="0" l="0" r="0" t="0"/>
            <wp:docPr descr="" title="" id="195" name="Picture"/>
            <a:graphic>
              <a:graphicData uri="http://schemas.openxmlformats.org/drawingml/2006/picture">
                <pic:pic>
                  <pic:nvPicPr>
                    <pic:cNvPr descr="../figures/pcr/pt/png/Fig_pCR4_ScoreDist_PT.png" id="196" name="Picture"/>
                    <pic:cNvPicPr>
                      <a:picLocks noChangeArrowheads="1" noChangeAspect="1"/>
                    </pic:cNvPicPr>
                  </pic:nvPicPr>
                  <pic:blipFill>
                    <a:blip r:embed="rId194"/>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25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7"/>
    <w:p>
      <w:pPr>
        <w:pStyle w:val="BodyText"/>
      </w:pPr>
      <w:r>
        <w:t xml:space="preserve">Na</w:t>
      </w:r>
      <w:r>
        <w:t xml:space="preserve"> </w:t>
      </w:r>
      <w:hyperlink w:anchor="fig-pcr-dist">
        <w:r>
          <w:rPr>
            <w:rStyle w:val="Hyperlink"/>
            <w:color w:val="0563C1"/>
            <w:u w:val="single"/>
          </w:rPr>
          <w:t xml:space="preserve">Figura 25</w:t>
        </w:r>
      </w:hyperlink>
      <w:r>
        <w:t xml:space="preserve">, o eixo horizontal é o escore CorePAM e as distribuições comparam pacientes com e sem pCR. O deslocamento das pacientes com pCR para escores mais altos mostra que o achado não depende apenas de um ponto de corte arbitrário; há mudança global da distribuição. Quando as curvas se sobrepõem, isso indica incerteza individual: muitas pacientes sem pCR também têm escore alto, e algumas com pCR têm escore baixo. Essa sobreposição é esperada em oncologia, porque resposta à quimioterapia depende de múltiplas dimensões além de proliferação, como subtipo, imunidade tumoral, reparo de DNA, esquema terapêutico e resistência farmacológica.</w:t>
      </w:r>
    </w:p>
    <w:p>
      <w:r>
        <w:br w:type="page"/>
      </w:r>
    </w:p>
    <w:p>
      <w:pPr>
        <w:pStyle w:val="Compact"/>
        <w:jc w:val="center"/>
      </w:pPr>
      <w:bookmarkStart w:id="201" w:name="fig-pcr-quartile"/>
      <w:r>
        <w:drawing>
          <wp:inline>
            <wp:extent cx="5687999" cy="3554999"/>
            <wp:effectExtent b="0" l="0" r="0" t="0"/>
            <wp:docPr descr="" title="" id="199" name="Picture"/>
            <a:graphic>
              <a:graphicData uri="http://schemas.openxmlformats.org/drawingml/2006/picture">
                <pic:pic>
                  <pic:nvPicPr>
                    <pic:cNvPr descr="../figures/pcr/pt/png/Fig_pCR3_QuartileRate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Taxa de pCR por quartil do escore CorePAM em cada coorte neoadjuvante. Gradiente dose-resposta consistente: quartis mais altos associados a maiores taxas de pCR.</w:t>
      </w:r>
    </w:p>
    <w:bookmarkEnd w:id="201"/>
    <w:p>
      <w:pPr>
        <w:pStyle w:val="BodyText"/>
      </w:pPr>
      <w:r>
        <w:t xml:space="preserve">Na</w:t>
      </w:r>
      <w:r>
        <w:t xml:space="preserve"> </w:t>
      </w:r>
      <w:hyperlink w:anchor="fig-pcr-quartile">
        <w:r>
          <w:rPr>
            <w:rStyle w:val="Hyperlink"/>
            <w:color w:val="0563C1"/>
            <w:u w:val="single"/>
          </w:rPr>
          <w:t xml:space="preserve">Figura 26</w:t>
        </w:r>
      </w:hyperlink>
      <w:r>
        <w:t xml:space="preserve">, o escore é dividido em quatro grupos ordenados. A pergunta é se existe gradiente dose-resposta: quanto maior o CorePAM, maior a taxa de pCR? Esse tipo de leitura é familiar na clínica, como comparar resposta por quartis de Ki67 ou por categorias de carga tumoral. O padrão ascendente reforça coerência biológica, porque uma associação verdadeira tende a aparecer como gradiente, não apenas como diferença entre dois grupos escolhidos depois. Ainda assim, quartis são ferramenta de visualização; a análise principal permanece contínua, usando o escore completo.</w:t>
      </w:r>
    </w:p>
    <w:p>
      <w:pPr>
        <w:pStyle w:val="BodyText"/>
      </w:pPr>
      <w:r>
        <w:t xml:space="preserve">A</w:t>
      </w:r>
      <w:r>
        <w:t xml:space="preserve"> </w:t>
      </w:r>
      <w:hyperlink w:anchor="fig-dca-pcr">
        <w:r>
          <w:rPr>
            <w:rStyle w:val="Hyperlink"/>
            <w:color w:val="0563C1"/>
            <w:u w:val="single"/>
          </w:rPr>
          <w:t xml:space="preserve">Figura 27</w:t>
        </w:r>
      </w:hyperlink>
      <w:r>
        <w:t xml:space="preserve"> </w:t>
      </w:r>
      <w:r>
        <w:t xml:space="preserve">traduz esse achado para decisão clínica exploratória em pCR. Aqui, o limiar não é risco de morte, mas probabilidade mínima de resposta completa que justificaria uma conduta, como priorizar neoadjuvância, discutir intensificação ou considerar entrada em protocolo. A linha</w:t>
      </w:r>
      <w:r>
        <w:t xml:space="preserve"> </w:t>
      </w:r>
      <w:r>
        <w:t xml:space="preserve">“tratar todos”</w:t>
      </w:r>
      <w:r>
        <w:t xml:space="preserve"> </w:t>
      </w:r>
      <w:r>
        <w:t xml:space="preserve">equivale a assumir que todas as pacientes seriam candidatas à estratégia; a linha</w:t>
      </w:r>
      <w:r>
        <w:t xml:space="preserve"> </w:t>
      </w:r>
      <w:r>
        <w:t xml:space="preserve">“tratar nenhum”</w:t>
      </w:r>
      <w:r>
        <w:t xml:space="preserve"> </w:t>
      </w:r>
      <w:r>
        <w:t xml:space="preserve">equivale a não usar o escore para selecionar ninguém. A curva do CorePAM mostra em que limiares a seleção pelo escore melhora o balanço entre identificar respondedoras e selecionar falsos positivos.</w:t>
      </w:r>
    </w:p>
    <w:p>
      <w:pPr>
        <w:pStyle w:val="Compact"/>
        <w:jc w:val="center"/>
      </w:pPr>
      <w:bookmarkStart w:id="205" w:name="fig-dca-pcr"/>
      <w:r>
        <w:drawing>
          <wp:inline>
            <wp:extent cx="5687999" cy="4136727"/>
            <wp:effectExtent b="0" l="0" r="0" t="0"/>
            <wp:docPr descr="" title="" id="203" name="Picture"/>
            <a:graphic>
              <a:graphicData uri="http://schemas.openxmlformats.org/drawingml/2006/picture">
                <pic:pic>
                  <pic:nvPicPr>
                    <pic:cNvPr descr="../figures/supp/pt/png/FigS_DCA_pCR_PT.png" id="204" name="Picture"/>
                    <pic:cNvPicPr>
                      <a:picLocks noChangeArrowheads="1" noChangeAspect="1"/>
                    </pic:cNvPicPr>
                  </pic:nvPicPr>
                  <pic:blipFill>
                    <a:blip r:embed="rId202"/>
                    <a:stretch>
                      <a:fillRect/>
                    </a:stretch>
                  </pic:blipFill>
                  <pic:spPr bwMode="auto">
                    <a:xfrm>
                      <a:off x="0" y="0"/>
                      <a:ext cx="5687999" cy="4136727"/>
                    </a:xfrm>
                    <a:prstGeom prst="rect">
                      <a:avLst/>
                    </a:prstGeom>
                    <a:noFill/>
                    <a:ln w="9525">
                      <a:noFill/>
                      <a:headEnd/>
                      <a:tailEnd/>
                    </a:ln>
                  </pic:spPr>
                </pic:pic>
              </a:graphicData>
            </a:graphic>
          </wp:inline>
        </w:drawing>
      </w:r>
    </w:p>
    <w:p>
      <w:pPr>
        <w:jc w:val="left"/>
        <w:spacing w:before="200"/>
        <w:pStyle w:val="ImageCaption"/>
      </w:pPr>
      <w:r>
        <w:t xml:space="preserve">Figura 27 — Análise de curva de decisão para predição de pCR nas quatro coortes neoadjuvantes primárias. A curva do CorePAM é comparada com as estratégias de tratar todos e tratar nenhum em limiares de decisão de 0% a 60%.</w:t>
      </w:r>
    </w:p>
    <w:bookmarkEnd w:id="205"/>
    <w:p>
      <w:pPr>
        <w:pStyle w:val="BodyText"/>
      </w:pPr>
      <w:r>
        <w:t xml:space="preserve">Na</w:t>
      </w:r>
      <w:r>
        <w:t xml:space="preserve"> </w:t>
      </w:r>
      <w:hyperlink w:anchor="fig-dca-pcr">
        <w:r>
          <w:rPr>
            <w:rStyle w:val="Hyperlink"/>
            <w:color w:val="0563C1"/>
            <w:u w:val="single"/>
          </w:rPr>
          <w:t xml:space="preserve">Figura 27</w:t>
        </w:r>
      </w:hyperlink>
      <w:r>
        <w:t xml:space="preserve">, o painel GSE25066 mostra benefício líquido modesto em limiares baixos a intermediários, com perda de utilidade quando o limiar ultrapassa a faixa em que o escore separa respondedoras de não respondedoras. Em GSE20194, o benefício se estende por faixa um pouco maior, compatível com a AUC mais alta dessa coorte. Em GSE32646 e I-SPY1, a curva permanece acima de</w:t>
      </w:r>
      <w:r>
        <w:t xml:space="preserve"> </w:t>
      </w:r>
      <w:r>
        <w:t xml:space="preserve">“tratar todos”</w:t>
      </w:r>
      <w:r>
        <w:t xml:space="preserve"> </w:t>
      </w:r>
      <w:r>
        <w:t xml:space="preserve">e</w:t>
      </w:r>
      <w:r>
        <w:t xml:space="preserve"> </w:t>
      </w:r>
      <w:r>
        <w:t xml:space="preserve">“tratar nenhum”</w:t>
      </w:r>
      <w:r>
        <w:t xml:space="preserve"> </w:t>
      </w:r>
      <w:r>
        <w:t xml:space="preserve">em parte relevante dos limiares, mas oscila em limiares altos, onde o número de pacientes selecionadas cai e a incerteza aumenta. A mensagem clínica é deliberadamente conservadora: o CorePAM sugere utilidade para enriquecer populações com maior chance de pCR, mas não deve ser interpretado como teste autônomo para escolher quimioterapia neoadjuvante.</w:t>
      </w:r>
    </w:p>
    <w:bookmarkEnd w:id="206"/>
    <w:bookmarkStart w:id="21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color w:val="0563C1"/>
            <w:u w:val="single"/>
          </w:rPr>
          <w:t xml:space="preserve">Tabela 18</w:t>
        </w:r>
      </w:hyperlink>
      <w:r>
        <w:t xml:space="preserve"> </w:t>
      </w:r>
      <w:r>
        <w:t xml:space="preserve">e a</w:t>
      </w:r>
      <w:r>
        <w:t xml:space="preserve"> </w:t>
      </w:r>
      <w:hyperlink w:anchor="fig-headtohead">
        <w:r>
          <w:rPr>
            <w:rStyle w:val="Hyperlink"/>
            <w:color w:val="0563C1"/>
            <w:u w:val="single"/>
          </w:rPr>
          <w:t xml:space="preserve">Figura 28</w:t>
        </w:r>
      </w:hyperlink>
      <w:r>
        <w:t xml:space="preserve"> </w:t>
      </w:r>
      <w:r>
        <w:t xml:space="preserve">confrontam diretamente o CorePAM (24 genes) contra o comparador PAM50-full penalizado no mesmo</w:t>
      </w:r>
      <w:r>
        <w:t xml:space="preserve"> </w:t>
      </w:r>
      <w:r>
        <w:rPr>
          <w:i/>
          <w:iCs/>
        </w:rPr>
        <w:t xml:space="preserve">pipeline</w:t>
      </w:r>
      <w:r>
        <w:t xml:space="preserve"> </w:t>
      </w:r>
      <w:r>
        <w:t xml:space="preserve">de derivação. Para evitar ambiguidade, vale repetir: o PAM50 original tem 50 genes; o comparador desta tabela tem 49 porque o ajuste</w:t>
      </w:r>
      <w:r>
        <w:t xml:space="preserve"> </w:t>
      </w:r>
      <w:r>
        <w:rPr>
          <w:i/>
          <w:iCs/>
        </w:rPr>
        <w:t xml:space="preserve">elastic-net</w:t>
      </w:r>
      <w:r>
        <w:t xml:space="preserve"> </w:t>
      </w:r>
      <w:r>
        <w:t xml:space="preserve">completo, feito no SCAN-B com os 50 genes candidatos, manteve 49 coeficientes não-zero no maior ponto da trajetória. Isso é comportamento esperado de um modelo penalizado e não indica gene ausente nem erro de cobertura.</w:t>
      </w:r>
    </w:p>
    <w:p>
      <w:pPr>
        <w:pStyle w:val="BodyText"/>
      </w:pPr>
      <w:r>
        <w:t xml:space="preserve">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é o</w:t>
      </w:r>
      <w:r>
        <w:t xml:space="preserve"> </w:t>
      </w:r>
      <w:r>
        <w:rPr>
          <w:i/>
          <w:iCs/>
        </w:rPr>
        <w:t xml:space="preserve">C-index</w:t>
      </w:r>
      <w:r>
        <w:t xml:space="preserve"> </w:t>
      </w:r>
      <w:r>
        <w:t xml:space="preserve">do comparador PAM50-full penalizado. Delta-C positivo significa vantagem do modelo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A vantagem cresce à medida que a distância de plataforma em relação ao SCAN-B aumenta, sugerindo que genes adicionais podem carregar ruído técnico que se transporta mal. A coluna r mostra a correlação entre os dois escores paciente-a-paciente; apesar da correlação alta, pequenas divergências em regiões decisivas do ranking explicam a diferença de desempenho.</w:t>
      </w:r>
    </w:p>
    <w:p>
      <w:pPr>
        <w:jc w:val="left"/>
        <w:spacing w:before="200"/>
        <w:pStyle w:val="ImageCaption"/>
      </w:pPr>
      <w:bookmarkStart w:id="207" w:name="tbl-head-to-head"/>
      <w:r>
        <w:t xml:space="preserve">Tabela 18 — Comparação</w:t>
      </w:r>
      <w:r>
        <w:t xml:space="preserve"> </w:t>
      </w:r>
      <w:r>
        <w:rPr>
          <w:i/>
          <w:iCs/>
        </w:rPr>
        <w:t xml:space="preserve">head-to-head</w:t>
      </w:r>
      <w:r>
        <w:t xml:space="preserve">: CorePAM (24 genes) vs comparador PAM50-full</w:t>
      </w:r>
      <w:r>
        <w:t xml:space="preserve"> </w:t>
      </w:r>
      <w:r>
        <w:rPr>
          <w:i/>
          <w:iCs/>
        </w:rPr>
        <w:t xml:space="preserve">elastic-net</w:t>
      </w:r>
      <w:r>
        <w:t xml:space="preserve"> </w:t>
      </w:r>
      <w:r>
        <w:t xml:space="preserve">com 49 coeficientes não-zero. O PAM50 canônico permanece definido por 50 genes; o número 49 refere-se apenas ao maior modelo penalizado efetivamente obtido neste</w:t>
      </w:r>
      <w:r>
        <w:t xml:space="preserve"> </w:t>
      </w:r>
      <w:r>
        <w:rPr>
          <w:i/>
          <w:iCs/>
        </w:rPr>
        <w:t xml:space="preserve">pipeline</w:t>
      </w:r>
      <w:r>
        <w:t xml:space="preserve">.</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207"/>
    <w:p/>
    <w:bookmarkStart w:id="211" w:name="fig-headtohead"/>
    <w:p>
      <w:pPr>
        <w:pStyle w:val="Compact"/>
        <w:jc w:val="center"/>
      </w:pPr>
      <w:r>
        <w:drawing>
          <wp:inline>
            <wp:extent cx="5687999" cy="3554999"/>
            <wp:effectExtent b="0" l="0" r="0" t="0"/>
            <wp:docPr descr="" title="" id="209" name="Picture"/>
            <a:graphic>
              <a:graphicData uri="http://schemas.openxmlformats.org/drawingml/2006/picture">
                <pic:pic>
                  <pic:nvPicPr>
                    <pic:cNvPr descr="../figures/supp/pt/png/FigS_HeadToHead_24vs50_PT.png" id="210" name="Picture"/>
                    <pic:cNvPicPr>
                      <a:picLocks noChangeArrowheads="1" noChangeAspect="1"/>
                    </pic:cNvPicPr>
                  </pic:nvPicPr>
                  <pic:blipFill>
                    <a:blip r:embed="rId20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28 — Comparação head-to-head CorePAM (24 genes) vs PAM50-full penalizado (49 coeficientes não-zero) por coorte e modo de pontuação. Em TCGA-BRCA, desempenho equivalente. Nas três coortes restantes, o CorePAM superou significativamente o comparador penalizado, com vantagem crescente com a distância de plataforma em relação ao SCAN-B.</w:t>
      </w:r>
    </w:p>
    <w:bookmarkEnd w:id="211"/>
    <w:p>
      <w:pPr>
        <w:pStyle w:val="BodyText"/>
      </w:pPr>
      <w:r>
        <w:t xml:space="preserve">Na</w:t>
      </w:r>
      <w:r>
        <w:t xml:space="preserve"> </w:t>
      </w:r>
      <w:hyperlink w:anchor="fig-headtohead">
        <w:r>
          <w:rPr>
            <w:rStyle w:val="Hyperlink"/>
            <w:color w:val="0563C1"/>
            <w:u w:val="single"/>
          </w:rPr>
          <w:t xml:space="preserve">Figura 28</w:t>
        </w:r>
      </w:hyperlink>
      <w:r>
        <w:t xml:space="preserve">, cada ponto compara diretamente os dois modelos na mesma coorte. Quando o Delta-C fica próximo de zero, os modelos se comportam de forma semelhante; quando fica positivo, o CorePAM ordena melhor o risco. TCGA-BRCA fica perto da equivalência, o que faz sentido por ser</w:t>
      </w:r>
      <w:r>
        <w:t xml:space="preserve"> </w:t>
      </w:r>
      <w:r>
        <w:rPr>
          <w:i/>
          <w:iCs/>
        </w:rPr>
        <w:t xml:space="preserve">RNA-seq</w:t>
      </w:r>
      <w:r>
        <w:t xml:space="preserve">, tecnologia mais próxima da coorte de treinamento. METABRIC, GSE20685 e GSE1456 mostram vantagem do modelo menor. A ponte com a prática clínica é simples: um exame maior nem sempre é melhor se parte da informação adicional é instável entre laboratórios. Em um cenário de implantação real, menos genes podem significar não apenas menor custo, mas menor exposição a ruído de plataforma.</w:t>
      </w:r>
    </w:p>
    <w:bookmarkEnd w:id="212"/>
    <w:bookmarkStart w:id="21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color w:val="0563C1"/>
            <w:u w:val="single"/>
          </w:rPr>
          <w:t xml:space="preserve">Tabela 19</w:t>
        </w:r>
      </w:hyperlink>
      <w:r>
        <w:t xml:space="preserve"> </w:t>
      </w:r>
      <w:r>
        <w:t xml:space="preserve">e a</w:t>
      </w:r>
      <w:r>
        <w:t xml:space="preserve"> </w:t>
      </w:r>
      <w:hyperlink w:anchor="fig-cindex-comparison">
        <w:r>
          <w:rPr>
            <w:rStyle w:val="Hyperlink"/>
            <w:color w:val="0563C1"/>
            <w:u w:val="single"/>
          </w:rPr>
          <w:t xml:space="preserve">Figura 29</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13" w:name="tbl-comparison"/>
      <w:r>
        <w:t xml:space="preserve">Tabela 19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13"/>
    <w:p/>
    <w:bookmarkStart w:id="217" w:name="fig-cindex-comparison"/>
    <w:p>
      <w:pPr>
        <w:pStyle w:val="Compact"/>
        <w:jc w:val="center"/>
      </w:pPr>
      <w:r>
        <w:drawing>
          <wp:inline>
            <wp:extent cx="5687999" cy="4062857"/>
            <wp:effectExtent b="0" l="0" r="0" t="0"/>
            <wp:docPr descr="" title="" id="215" name="Picture"/>
            <a:graphic>
              <a:graphicData uri="http://schemas.openxmlformats.org/drawingml/2006/picture">
                <pic:pic>
                  <pic:nvPicPr>
                    <pic:cNvPr descr="../figures/supp/pt/png/FigS_Cindex_ByCohort_PT.png" id="216" name="Picture"/>
                    <pic:cNvPicPr>
                      <a:picLocks noChangeArrowheads="1" noChangeAspect="1"/>
                    </pic:cNvPicPr>
                  </pic:nvPicPr>
                  <pic:blipFill>
                    <a:blip r:embed="rId214"/>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29 — Comparação de C-index: CorePAM vs ROR-S vs OncotypeDX-RS (implementações genefu) por coorte. O CorePAM demonstra desempenho competitivo, com vantagem nas coortes RNA-seq e déficits nas coortes microarray — refletindo o domínio de treinamento.</w:t>
      </w:r>
    </w:p>
    <w:bookmarkEnd w:id="217"/>
    <w:p>
      <w:pPr>
        <w:pStyle w:val="BodyText"/>
      </w:pPr>
      <w:r>
        <w:t xml:space="preserve">Na</w:t>
      </w:r>
      <w:r>
        <w:t xml:space="preserve"> </w:t>
      </w:r>
      <w:hyperlink w:anchor="fig-cindex-comparison">
        <w:r>
          <w:rPr>
            <w:rStyle w:val="Hyperlink"/>
            <w:color w:val="0563C1"/>
            <w:u w:val="single"/>
          </w:rPr>
          <w:t xml:space="preserve">Figura 29</w:t>
        </w:r>
      </w:hyperlink>
      <w:r>
        <w:t xml:space="preserve">, o eixo vertical resume a discriminação de cada assinatura por coorte. A leitura importante não é declarar um vencedor universal, porque isso seria artificial. O CorePAM performa melhor nas coortes</w:t>
      </w:r>
      <w:r>
        <w:t xml:space="preserve"> </w:t>
      </w:r>
      <w:r>
        <w:rPr>
          <w:i/>
          <w:iCs/>
        </w:rPr>
        <w:t xml:space="preserve">RNA-seq</w:t>
      </w:r>
      <w:r>
        <w:t xml:space="preserve">, enquanto</w:t>
      </w:r>
      <w:r>
        <w:t xml:space="preserve"> </w:t>
      </w:r>
      <w:r>
        <w:rPr>
          <w:i/>
          <w:iCs/>
        </w:rPr>
        <w:t xml:space="preserve">OncotypeDX</w:t>
      </w:r>
      <w:r>
        <w:t xml:space="preserve">-RS tende a performar melhor nas coortes</w:t>
      </w:r>
      <w:r>
        <w:t xml:space="preserve"> </w:t>
      </w:r>
      <w:r>
        <w:rPr>
          <w:i/>
          <w:iCs/>
        </w:rPr>
        <w:t xml:space="preserve">microarray</w:t>
      </w:r>
      <w:r>
        <w:t xml:space="preserve">. Essa alternância é compatível com a literatura de assinaturas gênicas: testes diferentes capturam dimensões parcialmente sobrepostas, mas não idênticas, e sua performance depende de população, plataforma, desfecho e implementação. Para a prática clínica, a mensagem é que o CorePAM é competitivo como prova de conceito, mas ainda não substitui ensaios comerciais validados prospectivamente. Ele aponta um caminho de desenvolvimento de ensaio mais simples e potencialmente mais acessível.</w:t>
      </w:r>
    </w:p>
    <w:bookmarkEnd w:id="218"/>
    <w:bookmarkEnd w:id="219"/>
    <w:bookmarkStart w:id="234" w:name="discussão"/>
    <w:p>
      <w:pPr>
        <w:pageBreakBefore/>
        <w:pStyle w:val="Heading1"/>
      </w:pPr>
      <w:r>
        <w:t xml:space="preserve">5. DISCUSSÃO</w:t>
      </w:r>
    </w:p>
    <w:bookmarkStart w:id="22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ao maior comparador PAM50-full penalizado obtido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20"/>
    <w:bookmarkStart w:id="22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21"/>
    <w:bookmarkStart w:id="22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22"/>
    <w:bookmarkStart w:id="22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23"/>
    <w:bookmarkStart w:id="22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comparador PAM50-full penalizado, que manteve 49 coeficientes não-zero, em discriminação (</w:t>
      </w:r>
      <w:r>
        <w:rPr>
          <w:i/>
          <w:iCs/>
        </w:rPr>
        <w:t xml:space="preserve">C-index</w:t>
      </w:r>
      <w:r>
        <w:t xml:space="preserve">). O PAM50 canônico continua sendo um painel de 50 genes; o número 49 aqui pertence apenas ao comparador estatístico ajustado no nosso</w:t>
      </w:r>
      <w:r>
        <w:t xml:space="preserve"> </w:t>
      </w:r>
      <w:r>
        <w:rPr>
          <w:i/>
          <w:iCs/>
        </w:rPr>
        <w:t xml:space="preserve">pipeline</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até 49 coeficientes não-zero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comparador penalizado maior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24"/>
    <w:bookmarkStart w:id="22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25"/>
    <w:bookmarkStart w:id="22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26"/>
    <w:bookmarkStart w:id="22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27"/>
    <w:bookmarkStart w:id="22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28"/>
    <w:bookmarkStart w:id="22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29"/>
    <w:bookmarkStart w:id="23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30"/>
    <w:bookmarkStart w:id="23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31"/>
    <w:bookmarkStart w:id="23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32"/>
    <w:bookmarkStart w:id="23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33"/>
    <w:bookmarkEnd w:id="234"/>
    <w:bookmarkStart w:id="23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comparador PAM50-full penalizado com 49 coeficientes não-zero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35"/>
    <w:bookmarkStart w:id="388" w:name="referências-bibliográficas"/>
    <w:p>
      <w:pPr>
        <w:pageBreakBefore/>
        <w:pStyle w:val="Heading1"/>
      </w:pPr>
      <w:r>
        <w:t xml:space="preserve">REFERÊNCIAS BIBLIOGRÁFICAS</w:t>
      </w:r>
    </w:p>
    <w:bookmarkStart w:id="387" w:name="refs"/>
    <w:bookmarkStart w:id="23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36">
        <w:r>
          <w:rPr>
            <w:rStyle w:val="Hyperlink"/>
            <w:color w:val="0563C1"/>
            <w:u w:val="single"/>
          </w:rPr>
          <w:t xml:space="preserve">https://doi.org/10.3322/caac.21660</w:t>
        </w:r>
      </w:hyperlink>
    </w:p>
    <w:bookmarkEnd w:id="237"/>
    <w:bookmarkStart w:id="23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38">
        <w:r>
          <w:rPr>
            <w:rStyle w:val="Hyperlink"/>
            <w:color w:val="0563C1"/>
            <w:u w:val="single"/>
          </w:rPr>
          <w:t xml:space="preserve">https://doi.org/10.3322/caac.21834</w:t>
        </w:r>
      </w:hyperlink>
    </w:p>
    <w:bookmarkEnd w:id="239"/>
    <w:bookmarkStart w:id="24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40">
        <w:r>
          <w:rPr>
            <w:rStyle w:val="Hyperlink"/>
            <w:color w:val="0563C1"/>
            <w:u w:val="single"/>
          </w:rPr>
          <w:t xml:space="preserve">https://doi.org/10.1016/S0140-6736(11)61625-5</w:t>
        </w:r>
      </w:hyperlink>
    </w:p>
    <w:bookmarkEnd w:id="241"/>
    <w:bookmarkStart w:id="24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42">
        <w:r>
          <w:rPr>
            <w:rStyle w:val="Hyperlink"/>
            <w:color w:val="0563C1"/>
            <w:u w:val="single"/>
          </w:rPr>
          <w:t xml:space="preserve">https://doi.org/10.1016/S0140-6736(11)60993-8</w:t>
        </w:r>
      </w:hyperlink>
    </w:p>
    <w:bookmarkEnd w:id="243"/>
    <w:bookmarkStart w:id="24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44"/>
    <w:bookmarkStart w:id="24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45">
        <w:r>
          <w:rPr>
            <w:rStyle w:val="Hyperlink"/>
            <w:color w:val="0563C1"/>
            <w:u w:val="single"/>
          </w:rPr>
          <w:t xml:space="preserve">https://doi.org/10.1590/0102-311X00074817</w:t>
        </w:r>
      </w:hyperlink>
    </w:p>
    <w:bookmarkEnd w:id="246"/>
    <w:bookmarkStart w:id="24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47">
        <w:r>
          <w:rPr>
            <w:rStyle w:val="Hyperlink"/>
            <w:color w:val="0563C1"/>
            <w:u w:val="single"/>
          </w:rPr>
          <w:t xml:space="preserve">https://doi.org/10.1038/s41572-019-0111-2</w:t>
        </w:r>
      </w:hyperlink>
    </w:p>
    <w:bookmarkEnd w:id="248"/>
    <w:bookmarkStart w:id="25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49">
        <w:r>
          <w:rPr>
            <w:rStyle w:val="Hyperlink"/>
            <w:color w:val="0563C1"/>
            <w:u w:val="single"/>
          </w:rPr>
          <w:t xml:space="preserve">https://doi.org/10.1038/35021093</w:t>
        </w:r>
      </w:hyperlink>
    </w:p>
    <w:bookmarkEnd w:id="250"/>
    <w:bookmarkStart w:id="25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51">
        <w:r>
          <w:rPr>
            <w:rStyle w:val="Hyperlink"/>
            <w:color w:val="0563C1"/>
            <w:u w:val="single"/>
          </w:rPr>
          <w:t xml:space="preserve">https://doi.org/10.1073/pnas.191367098</w:t>
        </w:r>
      </w:hyperlink>
    </w:p>
    <w:bookmarkEnd w:id="252"/>
    <w:bookmarkStart w:id="25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53">
        <w:r>
          <w:rPr>
            <w:rStyle w:val="Hyperlink"/>
            <w:color w:val="0563C1"/>
            <w:u w:val="single"/>
          </w:rPr>
          <w:t xml:space="preserve">https://doi.org/10.1016/j.molonc.2010.11.003</w:t>
        </w:r>
      </w:hyperlink>
    </w:p>
    <w:bookmarkEnd w:id="254"/>
    <w:bookmarkStart w:id="25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55">
        <w:r>
          <w:rPr>
            <w:rStyle w:val="Hyperlink"/>
            <w:color w:val="0563C1"/>
            <w:u w:val="single"/>
          </w:rPr>
          <w:t xml:space="preserve">https://doi.org/10.1038/nature10983</w:t>
        </w:r>
      </w:hyperlink>
    </w:p>
    <w:bookmarkEnd w:id="256"/>
    <w:bookmarkStart w:id="25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57">
        <w:r>
          <w:rPr>
            <w:rStyle w:val="Hyperlink"/>
            <w:color w:val="0563C1"/>
            <w:u w:val="single"/>
          </w:rPr>
          <w:t xml:space="preserve">https://doi.org/10.1038/ncomms11479</w:t>
        </w:r>
      </w:hyperlink>
    </w:p>
    <w:bookmarkEnd w:id="258"/>
    <w:bookmarkStart w:id="26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59">
        <w:r>
          <w:rPr>
            <w:rStyle w:val="Hyperlink"/>
            <w:color w:val="0563C1"/>
            <w:u w:val="single"/>
          </w:rPr>
          <w:t xml:space="preserve">https://doi.org/10.1200/JCO.2008.18.1370</w:t>
        </w:r>
      </w:hyperlink>
    </w:p>
    <w:bookmarkEnd w:id="260"/>
    <w:bookmarkStart w:id="26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61">
        <w:r>
          <w:rPr>
            <w:rStyle w:val="Hyperlink"/>
            <w:color w:val="0563C1"/>
            <w:u w:val="single"/>
          </w:rPr>
          <w:t xml:space="preserve">https://doi.org/10.1158/1078-0432.CCR-10-1282</w:t>
        </w:r>
      </w:hyperlink>
    </w:p>
    <w:bookmarkEnd w:id="262"/>
    <w:bookmarkStart w:id="26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63">
        <w:r>
          <w:rPr>
            <w:rStyle w:val="Hyperlink"/>
            <w:color w:val="0563C1"/>
            <w:u w:val="single"/>
          </w:rPr>
          <w:t xml:space="preserve">https://doi.org/10.1158/1078-0432.CCR-12-0286</w:t>
        </w:r>
      </w:hyperlink>
    </w:p>
    <w:bookmarkEnd w:id="264"/>
    <w:bookmarkStart w:id="26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65">
        <w:r>
          <w:rPr>
            <w:rStyle w:val="Hyperlink"/>
            <w:color w:val="0563C1"/>
            <w:u w:val="single"/>
          </w:rPr>
          <w:t xml:space="preserve">https://doi.org/10.1186/s12920-015-0129-6</w:t>
        </w:r>
      </w:hyperlink>
    </w:p>
    <w:bookmarkEnd w:id="266"/>
    <w:bookmarkStart w:id="26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67">
        <w:r>
          <w:rPr>
            <w:rStyle w:val="Hyperlink"/>
            <w:color w:val="0563C1"/>
            <w:u w:val="single"/>
          </w:rPr>
          <w:t xml:space="preserve">https://doi.org/10.1200/JCO.2009.24.4798</w:t>
        </w:r>
      </w:hyperlink>
    </w:p>
    <w:bookmarkEnd w:id="268"/>
    <w:bookmarkStart w:id="27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69">
        <w:r>
          <w:rPr>
            <w:rStyle w:val="Hyperlink"/>
            <w:color w:val="0563C1"/>
            <w:u w:val="single"/>
          </w:rPr>
          <w:t xml:space="preserve">https://doi.org/10.1093/annonc/mdt494</w:t>
        </w:r>
      </w:hyperlink>
    </w:p>
    <w:bookmarkEnd w:id="270"/>
    <w:bookmarkStart w:id="27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71">
        <w:r>
          <w:rPr>
            <w:rStyle w:val="Hyperlink"/>
            <w:color w:val="0563C1"/>
            <w:u w:val="single"/>
          </w:rPr>
          <w:t xml:space="preserve">https://doi.org/10.1093/annonc/mdv221</w:t>
        </w:r>
      </w:hyperlink>
    </w:p>
    <w:bookmarkEnd w:id="272"/>
    <w:bookmarkStart w:id="27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73">
        <w:r>
          <w:rPr>
            <w:rStyle w:val="Hyperlink"/>
            <w:color w:val="0563C1"/>
            <w:u w:val="single"/>
          </w:rPr>
          <w:t xml:space="preserve">https://doi.org/10.1093/annonc/mdz235</w:t>
        </w:r>
      </w:hyperlink>
    </w:p>
    <w:bookmarkEnd w:id="274"/>
    <w:bookmarkStart w:id="27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75">
        <w:r>
          <w:rPr>
            <w:rStyle w:val="Hyperlink"/>
            <w:color w:val="0563C1"/>
            <w:u w:val="single"/>
          </w:rPr>
          <w:t xml:space="preserve">https://doi.org/10.1200/JCO.22.00069</w:t>
        </w:r>
      </w:hyperlink>
    </w:p>
    <w:bookmarkEnd w:id="276"/>
    <w:bookmarkStart w:id="27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77">
        <w:r>
          <w:rPr>
            <w:rStyle w:val="Hyperlink"/>
            <w:color w:val="0563C1"/>
            <w:u w:val="single"/>
          </w:rPr>
          <w:t xml:space="preserve">https://doi.org/10.1056/NEJMoa041588</w:t>
        </w:r>
      </w:hyperlink>
    </w:p>
    <w:bookmarkEnd w:id="278"/>
    <w:bookmarkStart w:id="28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79">
        <w:r>
          <w:rPr>
            <w:rStyle w:val="Hyperlink"/>
            <w:color w:val="0563C1"/>
            <w:u w:val="single"/>
          </w:rPr>
          <w:t xml:space="preserve">https://doi.org/10.1056/NEJMoa1804710</w:t>
        </w:r>
      </w:hyperlink>
    </w:p>
    <w:bookmarkEnd w:id="280"/>
    <w:bookmarkStart w:id="28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81">
        <w:r>
          <w:rPr>
            <w:rStyle w:val="Hyperlink"/>
            <w:color w:val="0563C1"/>
            <w:u w:val="single"/>
          </w:rPr>
          <w:t xml:space="preserve">https://doi.org/10.1056/NEJMoa1904819</w:t>
        </w:r>
      </w:hyperlink>
    </w:p>
    <w:bookmarkEnd w:id="282"/>
    <w:bookmarkStart w:id="28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83">
        <w:r>
          <w:rPr>
            <w:rStyle w:val="Hyperlink"/>
            <w:color w:val="0563C1"/>
            <w:u w:val="single"/>
          </w:rPr>
          <w:t xml:space="preserve">https://doi.org/10.1056/NEJMoa2108873</w:t>
        </w:r>
      </w:hyperlink>
    </w:p>
    <w:bookmarkEnd w:id="284"/>
    <w:bookmarkStart w:id="28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85">
        <w:r>
          <w:rPr>
            <w:rStyle w:val="Hyperlink"/>
            <w:color w:val="0563C1"/>
            <w:u w:val="single"/>
          </w:rPr>
          <w:t xml:space="preserve">https://doi.org/10.1038/415530a</w:t>
        </w:r>
      </w:hyperlink>
    </w:p>
    <w:bookmarkEnd w:id="286"/>
    <w:bookmarkStart w:id="28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87">
        <w:r>
          <w:rPr>
            <w:rStyle w:val="Hyperlink"/>
            <w:color w:val="0563C1"/>
            <w:u w:val="single"/>
          </w:rPr>
          <w:t xml:space="preserve">https://doi.org/10.1056/NEJMoa1602253</w:t>
        </w:r>
      </w:hyperlink>
    </w:p>
    <w:bookmarkEnd w:id="288"/>
    <w:bookmarkStart w:id="29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89">
        <w:r>
          <w:rPr>
            <w:rStyle w:val="Hyperlink"/>
            <w:color w:val="0563C1"/>
            <w:u w:val="single"/>
          </w:rPr>
          <w:t xml:space="preserve">https://doi.org/10.1016/S1470-2045(21)00007-3</w:t>
        </w:r>
      </w:hyperlink>
    </w:p>
    <w:bookmarkEnd w:id="290"/>
    <w:bookmarkStart w:id="29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91">
        <w:r>
          <w:rPr>
            <w:rStyle w:val="Hyperlink"/>
            <w:color w:val="0563C1"/>
            <w:u w:val="single"/>
          </w:rPr>
          <w:t xml:space="preserve">https://doi.org/10.1158/1078-0432.CCR-11-0926</w:t>
        </w:r>
      </w:hyperlink>
    </w:p>
    <w:bookmarkEnd w:id="292"/>
    <w:bookmarkStart w:id="29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93">
        <w:r>
          <w:rPr>
            <w:rStyle w:val="Hyperlink"/>
            <w:color w:val="0563C1"/>
            <w:u w:val="single"/>
          </w:rPr>
          <w:t xml:space="preserve">https://doi.org/10.1158/1078-0432.CCR-13-0804</w:t>
        </w:r>
      </w:hyperlink>
    </w:p>
    <w:bookmarkEnd w:id="294"/>
    <w:bookmarkStart w:id="29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95">
        <w:r>
          <w:rPr>
            <w:rStyle w:val="Hyperlink"/>
            <w:color w:val="0563C1"/>
            <w:u w:val="single"/>
          </w:rPr>
          <w:t xml:space="preserve">https://doi.org/10.1001/jamaoncol.2017.5524</w:t>
        </w:r>
      </w:hyperlink>
    </w:p>
    <w:bookmarkEnd w:id="296"/>
    <w:bookmarkStart w:id="29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97">
        <w:r>
          <w:rPr>
            <w:rStyle w:val="Hyperlink"/>
            <w:color w:val="0563C1"/>
            <w:u w:val="single"/>
          </w:rPr>
          <w:t xml:space="preserve">https://doi.org/10.1186/s13059-014-0550-8</w:t>
        </w:r>
      </w:hyperlink>
    </w:p>
    <w:bookmarkEnd w:id="298"/>
    <w:bookmarkStart w:id="30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99">
        <w:r>
          <w:rPr>
            <w:rStyle w:val="Hyperlink"/>
            <w:color w:val="0563C1"/>
            <w:u w:val="single"/>
          </w:rPr>
          <w:t xml:space="preserve">https://doi.org/10.1093/nar/gkv007</w:t>
        </w:r>
      </w:hyperlink>
    </w:p>
    <w:bookmarkEnd w:id="300"/>
    <w:bookmarkStart w:id="302" w:name="ref-maqc2010"/>
    <w:p>
      <w:pPr>
        <w:pStyle w:val="Bibliography"/>
      </w:pPr>
      <w:r>
        <w:t xml:space="preserve">34.</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1">
        <w:r>
          <w:rPr>
            <w:rStyle w:val="Hyperlink"/>
            <w:color w:val="0563C1"/>
            <w:u w:val="single"/>
          </w:rPr>
          <w:t xml:space="preserve">https://doi.org/10.1038/nbt.1665</w:t>
        </w:r>
      </w:hyperlink>
    </w:p>
    <w:bookmarkEnd w:id="302"/>
    <w:bookmarkStart w:id="30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303">
        <w:r>
          <w:rPr>
            <w:rStyle w:val="Hyperlink"/>
            <w:color w:val="0563C1"/>
            <w:u w:val="single"/>
          </w:rPr>
          <w:t xml:space="preserve">https://doi.org/10.1093/biostatistics/kxj037</w:t>
        </w:r>
      </w:hyperlink>
    </w:p>
    <w:bookmarkEnd w:id="304"/>
    <w:bookmarkStart w:id="306" w:name="ref-leek2010"/>
    <w:p>
      <w:pPr>
        <w:pStyle w:val="Bibliography"/>
      </w:pPr>
      <w:r>
        <w:t xml:space="preserve">36.</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305">
        <w:r>
          <w:rPr>
            <w:rStyle w:val="Hyperlink"/>
            <w:color w:val="0563C1"/>
            <w:u w:val="single"/>
          </w:rPr>
          <w:t xml:space="preserve">https://doi.org/10.1038/nrg2825</w:t>
        </w:r>
      </w:hyperlink>
    </w:p>
    <w:bookmarkEnd w:id="306"/>
    <w:bookmarkStart w:id="308" w:name="ref-saal2015"/>
    <w:p>
      <w:pPr>
        <w:pStyle w:val="Bibliography"/>
      </w:pPr>
      <w:r>
        <w:t xml:space="preserve">37.</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307">
        <w:r>
          <w:rPr>
            <w:rStyle w:val="Hyperlink"/>
            <w:color w:val="0563C1"/>
            <w:u w:val="single"/>
          </w:rPr>
          <w:t xml:space="preserve">https://doi.org/10.1186/s13073-015-0131-9</w:t>
        </w:r>
      </w:hyperlink>
    </w:p>
    <w:bookmarkEnd w:id="308"/>
    <w:bookmarkStart w:id="310" w:name="ref-brueffer2018"/>
    <w:p>
      <w:pPr>
        <w:pStyle w:val="Bibliography"/>
      </w:pPr>
      <w:r>
        <w:t xml:space="preserve">38.</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309">
        <w:r>
          <w:rPr>
            <w:rStyle w:val="Hyperlink"/>
            <w:color w:val="0563C1"/>
            <w:u w:val="single"/>
          </w:rPr>
          <w:t xml:space="preserve">https://doi.org/10.1200/PO.17.00135</w:t>
        </w:r>
      </w:hyperlink>
    </w:p>
    <w:bookmarkEnd w:id="310"/>
    <w:bookmarkStart w:id="312" w:name="ref-tcga2012"/>
    <w:p>
      <w:pPr>
        <w:pStyle w:val="Bibliography"/>
      </w:pPr>
      <w:r>
        <w:t xml:space="preserve">39.</w:t>
      </w:r>
      <w:r>
        <w:t xml:space="preserve"> </w:t>
      </w:r>
      <w:r>
        <w:t xml:space="preserve">	</w:t>
      </w:r>
      <w:r>
        <w:t xml:space="preserve">TCGA Network. Comprehensive molecular portraits of human breast tumours. Nature. 2012;490(7418):61–70.</w:t>
      </w:r>
      <w:r>
        <w:t xml:space="preserve"> </w:t>
      </w:r>
      <w:hyperlink r:id="rId311">
        <w:r>
          <w:rPr>
            <w:rStyle w:val="Hyperlink"/>
            <w:color w:val="0563C1"/>
            <w:u w:val="single"/>
          </w:rPr>
          <w:t xml:space="preserve">https://doi.org/10.1038/nature11412</w:t>
        </w:r>
      </w:hyperlink>
    </w:p>
    <w:bookmarkEnd w:id="312"/>
    <w:bookmarkStart w:id="314" w:name="ref-kao2011"/>
    <w:p>
      <w:pPr>
        <w:pStyle w:val="Bibliography"/>
      </w:pPr>
      <w:r>
        <w:t xml:space="preserve">40.</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13">
        <w:r>
          <w:rPr>
            <w:rStyle w:val="Hyperlink"/>
            <w:color w:val="0563C1"/>
            <w:u w:val="single"/>
          </w:rPr>
          <w:t xml:space="preserve">https://doi.org/10.1186/1471-2407-11-143</w:t>
        </w:r>
      </w:hyperlink>
    </w:p>
    <w:bookmarkEnd w:id="314"/>
    <w:bookmarkStart w:id="316" w:name="ref-pawitan2005"/>
    <w:p>
      <w:pPr>
        <w:pStyle w:val="Bibliography"/>
      </w:pPr>
      <w:r>
        <w:t xml:space="preserve">41.</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15">
        <w:r>
          <w:rPr>
            <w:rStyle w:val="Hyperlink"/>
            <w:color w:val="0563C1"/>
            <w:u w:val="single"/>
          </w:rPr>
          <w:t xml:space="preserve">https://doi.org/10.1186/bcr1325</w:t>
        </w:r>
      </w:hyperlink>
    </w:p>
    <w:bookmarkEnd w:id="316"/>
    <w:bookmarkStart w:id="318" w:name="ref-hatzis2011"/>
    <w:p>
      <w:pPr>
        <w:pStyle w:val="Bibliography"/>
      </w:pPr>
      <w:r>
        <w:t xml:space="preserve">42.</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17">
        <w:r>
          <w:rPr>
            <w:rStyle w:val="Hyperlink"/>
            <w:color w:val="0563C1"/>
            <w:u w:val="single"/>
          </w:rPr>
          <w:t xml:space="preserve">https://doi.org/10.1001/jama.2011.593</w:t>
        </w:r>
      </w:hyperlink>
    </w:p>
    <w:bookmarkEnd w:id="318"/>
    <w:bookmarkStart w:id="32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19">
        <w:r>
          <w:rPr>
            <w:rStyle w:val="Hyperlink"/>
            <w:color w:val="0563C1"/>
            <w:u w:val="single"/>
          </w:rPr>
          <w:t xml:space="preserve">https://doi.org/10.1111/j.1349-7006.2012.02241.x</w:t>
        </w:r>
      </w:hyperlink>
    </w:p>
    <w:bookmarkEnd w:id="320"/>
    <w:bookmarkStart w:id="32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21">
        <w:r>
          <w:rPr>
            <w:rStyle w:val="Hyperlink"/>
            <w:color w:val="0563C1"/>
            <w:u w:val="single"/>
          </w:rPr>
          <w:t xml:space="preserve">https://doi.org/10.1007/s10549-011-1895-2</w:t>
        </w:r>
      </w:hyperlink>
    </w:p>
    <w:bookmarkEnd w:id="322"/>
    <w:bookmarkStart w:id="32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23">
        <w:r>
          <w:rPr>
            <w:rStyle w:val="Hyperlink"/>
            <w:color w:val="0563C1"/>
            <w:u w:val="single"/>
          </w:rPr>
          <w:t xml:space="preserve">https://doi.org/10.1016/j.ccell.2022.05.005</w:t>
        </w:r>
      </w:hyperlink>
    </w:p>
    <w:bookmarkEnd w:id="324"/>
    <w:bookmarkStart w:id="32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25">
        <w:r>
          <w:rPr>
            <w:rStyle w:val="Hyperlink"/>
            <w:color w:val="0563C1"/>
            <w:u w:val="single"/>
          </w:rPr>
          <w:t xml:space="preserve">https://doi.org/10.7326/M14-0698</w:t>
        </w:r>
      </w:hyperlink>
    </w:p>
    <w:bookmarkEnd w:id="326"/>
    <w:bookmarkStart w:id="32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27">
        <w:r>
          <w:rPr>
            <w:rStyle w:val="Hyperlink"/>
            <w:color w:val="0563C1"/>
            <w:u w:val="single"/>
          </w:rPr>
          <w:t xml:space="preserve">https://doi.org/10.1136/bmj.g7594</w:t>
        </w:r>
      </w:hyperlink>
    </w:p>
    <w:bookmarkEnd w:id="328"/>
    <w:bookmarkStart w:id="33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29">
        <w:r>
          <w:rPr>
            <w:rStyle w:val="Hyperlink"/>
            <w:color w:val="0563C1"/>
            <w:u w:val="single"/>
          </w:rPr>
          <w:t xml:space="preserve">https://doi.org/10.1186/1471-2288-13-33</w:t>
        </w:r>
      </w:hyperlink>
    </w:p>
    <w:bookmarkEnd w:id="330"/>
    <w:bookmarkStart w:id="33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31">
        <w:r>
          <w:rPr>
            <w:rStyle w:val="Hyperlink"/>
            <w:color w:val="0563C1"/>
            <w:u w:val="single"/>
          </w:rPr>
          <w:t xml:space="preserve">https://doi.org/10.1016/j.jclinepi.2015.04.005</w:t>
        </w:r>
      </w:hyperlink>
    </w:p>
    <w:bookmarkEnd w:id="332"/>
    <w:bookmarkStart w:id="33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33">
        <w:r>
          <w:rPr>
            <w:rStyle w:val="Hyperlink"/>
            <w:color w:val="0563C1"/>
            <w:u w:val="single"/>
          </w:rPr>
          <w:t xml:space="preserve">https://doi.org/10.1093/bioinformatics/btp616</w:t>
        </w:r>
      </w:hyperlink>
    </w:p>
    <w:bookmarkEnd w:id="334"/>
    <w:bookmarkStart w:id="33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35">
        <w:r>
          <w:rPr>
            <w:rStyle w:val="Hyperlink"/>
            <w:color w:val="0563C1"/>
            <w:u w:val="single"/>
          </w:rPr>
          <w:t xml:space="preserve">https://doi.org/10.1186/gb-2010-11-3-r25</w:t>
        </w:r>
      </w:hyperlink>
    </w:p>
    <w:bookmarkEnd w:id="336"/>
    <w:bookmarkStart w:id="33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37">
        <w:r>
          <w:rPr>
            <w:rStyle w:val="Hyperlink"/>
            <w:color w:val="0563C1"/>
            <w:u w:val="single"/>
          </w:rPr>
          <w:t xml:space="preserve">https://doi.org/10.1111/j.1467-9868.2005.00503.x</w:t>
        </w:r>
      </w:hyperlink>
    </w:p>
    <w:bookmarkEnd w:id="338"/>
    <w:bookmarkStart w:id="34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39">
        <w:r>
          <w:rPr>
            <w:rStyle w:val="Hyperlink"/>
            <w:color w:val="0563C1"/>
            <w:u w:val="single"/>
          </w:rPr>
          <w:t xml:space="preserve">https://doi.org/10.1111/j.2517-6161.1996.tb02080.x</w:t>
        </w:r>
      </w:hyperlink>
    </w:p>
    <w:bookmarkEnd w:id="340"/>
    <w:bookmarkStart w:id="34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41">
        <w:r>
          <w:rPr>
            <w:rStyle w:val="Hyperlink"/>
            <w:color w:val="0563C1"/>
            <w:u w:val="single"/>
          </w:rPr>
          <w:t xml:space="preserve">https://doi.org/10.1002/(SICI)1097-0258(19970228)16:4&lt;385::AID-SIM380&gt;3.0.CO;2-3</w:t>
        </w:r>
      </w:hyperlink>
    </w:p>
    <w:bookmarkEnd w:id="342"/>
    <w:bookmarkStart w:id="34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43">
        <w:r>
          <w:rPr>
            <w:rStyle w:val="Hyperlink"/>
            <w:color w:val="0563C1"/>
            <w:u w:val="single"/>
          </w:rPr>
          <w:t xml:space="preserve">https://doi.org/10.18637/jss.v033.i01</w:t>
        </w:r>
      </w:hyperlink>
    </w:p>
    <w:bookmarkEnd w:id="344"/>
    <w:bookmarkStart w:id="34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45">
        <w:r>
          <w:rPr>
            <w:rStyle w:val="Hyperlink"/>
            <w:color w:val="0563C1"/>
            <w:u w:val="single"/>
          </w:rPr>
          <w:t xml:space="preserve">https://doi.org/10.18637/jss.v039.i05</w:t>
        </w:r>
      </w:hyperlink>
    </w:p>
    <w:bookmarkEnd w:id="346"/>
    <w:bookmarkStart w:id="34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47">
        <w:r>
          <w:rPr>
            <w:rStyle w:val="Hyperlink"/>
            <w:color w:val="0563C1"/>
            <w:u w:val="single"/>
          </w:rPr>
          <w:t xml:space="preserve">https://doi.org/10.1093/biomet/81.3.515</w:t>
        </w:r>
      </w:hyperlink>
    </w:p>
    <w:bookmarkEnd w:id="348"/>
    <w:bookmarkStart w:id="35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49">
        <w:r>
          <w:rPr>
            <w:rStyle w:val="Hyperlink"/>
            <w:color w:val="0563C1"/>
            <w:u w:val="single"/>
          </w:rPr>
          <w:t xml:space="preserve">https://doi.org/10.1007/978-1-4757-3294-8</w:t>
        </w:r>
      </w:hyperlink>
    </w:p>
    <w:bookmarkEnd w:id="350"/>
    <w:bookmarkStart w:id="35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51">
        <w:r>
          <w:rPr>
            <w:rStyle w:val="Hyperlink"/>
            <w:color w:val="0563C1"/>
            <w:u w:val="single"/>
          </w:rPr>
          <w:t xml:space="preserve">https://doi.org/10.1001/jama.1982.03320430047030</w:t>
        </w:r>
      </w:hyperlink>
    </w:p>
    <w:bookmarkEnd w:id="352"/>
    <w:bookmarkStart w:id="35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53">
        <w:r>
          <w:rPr>
            <w:rStyle w:val="Hyperlink"/>
            <w:color w:val="0563C1"/>
            <w:u w:val="single"/>
          </w:rPr>
          <w:t xml:space="preserve">https://doi.org/10.1214/aos/1176344552</w:t>
        </w:r>
      </w:hyperlink>
    </w:p>
    <w:bookmarkEnd w:id="354"/>
    <w:bookmarkStart w:id="35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55">
        <w:r>
          <w:rPr>
            <w:rStyle w:val="Hyperlink"/>
            <w:color w:val="0563C1"/>
            <w:u w:val="single"/>
          </w:rPr>
          <w:t xml:space="preserve">https://doi.org/10.1002/sim.4154</w:t>
        </w:r>
      </w:hyperlink>
    </w:p>
    <w:bookmarkEnd w:id="356"/>
    <w:bookmarkStart w:id="35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57">
        <w:r>
          <w:rPr>
            <w:rStyle w:val="Hyperlink"/>
            <w:color w:val="0563C1"/>
            <w:u w:val="single"/>
          </w:rPr>
          <w:t xml:space="preserve">https://doi.org/10.1002/sim.5958</w:t>
        </w:r>
      </w:hyperlink>
    </w:p>
    <w:bookmarkEnd w:id="358"/>
    <w:bookmarkStart w:id="36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59">
        <w:r>
          <w:rPr>
            <w:rStyle w:val="Hyperlink"/>
            <w:color w:val="0563C1"/>
            <w:u w:val="single"/>
          </w:rPr>
          <w:t xml:space="preserve">https://doi.org/10.1080/01621459.1999.10474144</w:t>
        </w:r>
      </w:hyperlink>
    </w:p>
    <w:bookmarkEnd w:id="360"/>
    <w:bookmarkStart w:id="36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61">
        <w:r>
          <w:rPr>
            <w:rStyle w:val="Hyperlink"/>
            <w:color w:val="0563C1"/>
            <w:u w:val="single"/>
          </w:rPr>
          <w:t xml:space="preserve">https://doi.org/10.1016/j.jclinepi.2015.12.005</w:t>
        </w:r>
      </w:hyperlink>
    </w:p>
    <w:bookmarkEnd w:id="362"/>
    <w:bookmarkStart w:id="36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63">
        <w:r>
          <w:rPr>
            <w:rStyle w:val="Hyperlink"/>
            <w:color w:val="0563C1"/>
            <w:u w:val="single"/>
          </w:rPr>
          <w:t xml:space="preserve">https://doi.org/10.1186/s12916-019-1466-7</w:t>
        </w:r>
      </w:hyperlink>
    </w:p>
    <w:bookmarkEnd w:id="364"/>
    <w:bookmarkStart w:id="36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65">
        <w:r>
          <w:rPr>
            <w:rStyle w:val="Hyperlink"/>
            <w:color w:val="0563C1"/>
            <w:u w:val="single"/>
          </w:rPr>
          <w:t xml:space="preserve">https://doi.org/10.1177/0272989X06295361</w:t>
        </w:r>
      </w:hyperlink>
    </w:p>
    <w:bookmarkEnd w:id="366"/>
    <w:bookmarkStart w:id="36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67">
        <w:r>
          <w:rPr>
            <w:rStyle w:val="Hyperlink"/>
            <w:color w:val="0563C1"/>
            <w:u w:val="single"/>
          </w:rPr>
          <w:t xml:space="preserve">https://doi.org/10.18637/jss.v036.i03</w:t>
        </w:r>
      </w:hyperlink>
    </w:p>
    <w:bookmarkEnd w:id="368"/>
    <w:bookmarkStart w:id="37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69">
        <w:r>
          <w:rPr>
            <w:rStyle w:val="Hyperlink"/>
            <w:color w:val="0563C1"/>
            <w:u w:val="single"/>
          </w:rPr>
          <w:t xml:space="preserve">https://doi.org/10.1136/bmj.327.7414.557</w:t>
        </w:r>
      </w:hyperlink>
    </w:p>
    <w:bookmarkEnd w:id="370"/>
    <w:bookmarkStart w:id="37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71">
        <w:r>
          <w:rPr>
            <w:rStyle w:val="Hyperlink"/>
            <w:color w:val="0563C1"/>
            <w:u w:val="single"/>
          </w:rPr>
          <w:t xml:space="preserve">https://doi.org/10.1002/sim.1009</w:t>
        </w:r>
      </w:hyperlink>
    </w:p>
    <w:bookmarkEnd w:id="372"/>
    <w:bookmarkStart w:id="37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73">
        <w:r>
          <w:rPr>
            <w:rStyle w:val="Hyperlink"/>
            <w:color w:val="0563C1"/>
            <w:u w:val="single"/>
          </w:rPr>
          <w:t xml:space="preserve">https://doi.org/10.1016/0197-2456(86)90046-2</w:t>
        </w:r>
      </w:hyperlink>
    </w:p>
    <w:bookmarkEnd w:id="374"/>
    <w:bookmarkStart w:id="37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75">
        <w:r>
          <w:rPr>
            <w:rStyle w:val="Hyperlink"/>
            <w:color w:val="0563C1"/>
            <w:u w:val="single"/>
          </w:rPr>
          <w:t xml:space="preserve">https://doi.org/10.1093/bioinformatics/btv693</w:t>
        </w:r>
      </w:hyperlink>
    </w:p>
    <w:bookmarkEnd w:id="376"/>
    <w:bookmarkStart w:id="37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77">
        <w:r>
          <w:rPr>
            <w:rStyle w:val="Hyperlink"/>
            <w:color w:val="0563C1"/>
            <w:u w:val="single"/>
          </w:rPr>
          <w:t xml:space="preserve">https://doi.org/10.1093/jnci/djp082</w:t>
        </w:r>
      </w:hyperlink>
    </w:p>
    <w:bookmarkEnd w:id="378"/>
    <w:bookmarkStart w:id="38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79">
        <w:r>
          <w:rPr>
            <w:rStyle w:val="Hyperlink"/>
            <w:color w:val="0563C1"/>
            <w:u w:val="single"/>
          </w:rPr>
          <w:t xml:space="preserve">https://doi.org/10.1016/S1470-2045(17)30904-X</w:t>
        </w:r>
      </w:hyperlink>
    </w:p>
    <w:bookmarkEnd w:id="380"/>
    <w:bookmarkStart w:id="38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81">
        <w:r>
          <w:rPr>
            <w:rStyle w:val="Hyperlink"/>
            <w:color w:val="0563C1"/>
            <w:u w:val="single"/>
          </w:rPr>
          <w:t xml:space="preserve">https://doi.org/10.1016/S0140-6736(13)62422-8</w:t>
        </w:r>
      </w:hyperlink>
    </w:p>
    <w:bookmarkEnd w:id="382"/>
    <w:bookmarkStart w:id="38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83">
        <w:r>
          <w:rPr>
            <w:rStyle w:val="Hyperlink"/>
            <w:color w:val="0563C1"/>
            <w:u w:val="single"/>
          </w:rPr>
          <w:t xml:space="preserve">https://doi.org/10.1186/s12916-015-0540-z</w:t>
        </w:r>
      </w:hyperlink>
    </w:p>
    <w:bookmarkEnd w:id="384"/>
    <w:bookmarkStart w:id="386" w:name="ref-botan2026"/>
    <w:p>
      <w:pPr>
        <w:pStyle w:val="Bibliography"/>
      </w:pPr>
      <w:r>
        <w:t xml:space="preserve">76.</w:t>
      </w:r>
      <w:r>
        <w:t xml:space="preserve"> </w:t>
      </w:r>
      <w:r>
        <w:t xml:space="preserve">	</w:t>
      </w:r>
      <w:r>
        <w:t xml:space="preserve">Botan, RN, Sousa, JB.</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Artigo aceito após revisão por pares; ainda não publicado.</w:t>
      </w:r>
      <w:r>
        <w:t xml:space="preserve"> </w:t>
      </w:r>
      <w:hyperlink r:id="rId385">
        <w:r>
          <w:rPr>
            <w:rStyle w:val="Hyperlink"/>
            <w:color w:val="0563C1"/>
            <w:u w:val="single"/>
          </w:rPr>
          <w:t xml:space="preserve">https://doi.org/10.1186/s13058-026-02298-5</w:t>
        </w:r>
      </w:hyperlink>
    </w:p>
    <w:bookmarkEnd w:id="386"/>
    <w:bookmarkEnd w:id="387"/>
    <w:bookmarkEnd w:id="388"/>
    <w:bookmarkStart w:id="38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após revisão por pares,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hyperlink r:id="rId385">
        <w:r>
          <w:rPr>
            <w:rStyle w:val="Hyperlink"/>
            <w:color w:val="0563C1"/>
            <w:u w:val="single"/>
          </w:rPr>
          <w:t xml:space="preserve">10.1186/s13058-026-02298-5</w:t>
        </w:r>
      </w:hyperlink>
      <w:r>
        <w:t xml:space="preserve">. Em conferência realizada em 18 de maio de 2026, o DOI ainda não resolvia publicamente em</w:t>
      </w:r>
      <w:r>
        <w:t xml:space="preserve"> </w:t>
      </w:r>
      <w:r>
        <w:rPr>
          <w:rStyle w:val="VerbatimChar"/>
        </w:rPr>
        <w:t xml:space="preserve">doi.org</w:t>
      </w:r>
      <w:r>
        <w:t xml:space="preserve"> </w:t>
      </w:r>
      <w:r>
        <w:t xml:space="preserve">e a consulta à API Crossref não retornava versão de registro; portanto, trata-se de artigo</w:t>
      </w:r>
      <w:r>
        <w:t xml:space="preserve"> </w:t>
      </w:r>
      <w:r>
        <w:rPr>
          <w:b/>
          <w:bCs/>
        </w:rPr>
        <w:t xml:space="preserve">aceito após revisão por pares, mas ainda não publicado</w:t>
      </w:r>
      <w:r>
        <w:t xml:space="preserve"> </w:t>
      </w:r>
      <w:r>
        <w:t xml:space="preserve">em versão final no momento da preparação desta tese.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89"/>
    <w:bookmarkStart w:id="39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color w:val="0563C1"/>
            <w:u w:val="single"/>
          </w:rPr>
          <w:t xml:space="preserve">Tabela 20</w:t>
        </w:r>
      </w:hyperlink>
      <w:r>
        <w:t xml:space="preserve">; a lista integral, com descrição objetiva de cada script, segue na</w:t>
      </w:r>
      <w:r>
        <w:t xml:space="preserve"> </w:t>
      </w:r>
      <w:hyperlink w:anchor="tbl-pipeline-full">
        <w:r>
          <w:rPr>
            <w:rStyle w:val="Hyperlink"/>
            <w:color w:val="0563C1"/>
            <w:u w:val="single"/>
          </w:rPr>
          <w:t xml:space="preserve">Tabela 21</w:t>
        </w:r>
      </w:hyperlink>
      <w:r>
        <w:t xml:space="preserve">.</w:t>
      </w:r>
    </w:p>
    <w:p>
      <w:pPr>
        <w:pStyle w:val="BodyText"/>
      </w:pPr>
      <w:r>
        <w:t xml:space="preserve">Para o leitor médico, um</w:t>
      </w:r>
      <w:r>
        <w:t xml:space="preserve"> </w:t>
      </w:r>
      <w:r>
        <w:rPr>
          <w:b/>
          <w:bCs/>
        </w:rPr>
        <w:t xml:space="preserve">script</w:t>
      </w:r>
      <w:r>
        <w:t xml:space="preserve"> </w:t>
      </w:r>
      <w:r>
        <w:t xml:space="preserve">pode ser entendido como uma prescrição executável da análise. Em vez de dizer</w:t>
      </w:r>
      <w:r>
        <w:t xml:space="preserve"> </w:t>
      </w:r>
      <w:r>
        <w:t xml:space="preserve">“fazer Cox, calcular</w:t>
      </w:r>
      <w:r>
        <w:t xml:space="preserve"> </w:t>
      </w:r>
      <w:r>
        <w:rPr>
          <w:i/>
          <w:iCs/>
        </w:rPr>
        <w:t xml:space="preserve">C-index</w:t>
      </w:r>
      <w:r>
        <w:t xml:space="preserve"> </w:t>
      </w:r>
      <w:r>
        <w:t xml:space="preserve">e gerar figura”</w:t>
      </w:r>
      <w:r>
        <w:t xml:space="preserve">, o script contém as instruções exatas que o computador executa para fazer isso sempre do mesmo modo. Ele é semelhante a um protocolo assistencial escrito em detalhes: define entrada, sequência, critérios de exclusão, cálculos, checagens e produto final. A diferença é que, no caso do script, a</w:t>
      </w:r>
      <w:r>
        <w:t xml:space="preserve"> </w:t>
      </w:r>
      <w:r>
        <w:t xml:space="preserve">“equipe”</w:t>
      </w:r>
      <w:r>
        <w:t xml:space="preserve"> </w:t>
      </w:r>
      <w:r>
        <w:t xml:space="preserve">que executa é o computador, sem improviso.</w:t>
      </w:r>
    </w:p>
    <w:p>
      <w:pPr>
        <w:pStyle w:val="BodyText"/>
      </w:pPr>
      <w:r>
        <w:t xml:space="preserve">Um</w:t>
      </w:r>
      <w:r>
        <w:t xml:space="preserve"> </w:t>
      </w:r>
      <w:r>
        <w:rPr>
          <w:b/>
          <w:bCs/>
        </w:rPr>
        <w:t xml:space="preserve">pipeline</w:t>
      </w:r>
      <w:r>
        <w:t xml:space="preserve"> </w:t>
      </w:r>
      <w:r>
        <w:t xml:space="preserve">é a sequência organizada desses scripts. A lógica é parecida com uma linha de cuidado: primeiro entram os dados brutos, depois vêm limpeza e harmonização, depois cálculo do escore, análise estatística, figuras, tabelas e verificações finais. Cada script deixa um produto rastreável para o próximo. Se uma tabela da tese mostra um HR, um</w:t>
      </w:r>
      <w:r>
        <w:t xml:space="preserve"> </w:t>
      </w:r>
      <w:r>
        <w:rPr>
          <w:i/>
          <w:iCs/>
        </w:rPr>
        <w:t xml:space="preserve">C-index</w:t>
      </w:r>
      <w:r>
        <w:t xml:space="preserve"> </w:t>
      </w:r>
      <w:r>
        <w:t xml:space="preserve">ou uma curva de Kaplan-Meier, deve existir um script que gerou aquele número ou aquela figura. Essa rastreabilidade é importante porque transforma o resultado em algo auditável: outro pesquisador pode baixar os dados públicos, executar os scripts e verificar se chega ao mesmo resultado.</w:t>
      </w:r>
    </w:p>
    <w:p>
      <w:pPr>
        <w:pStyle w:val="BodyText"/>
      </w:pPr>
      <w:r>
        <w:t xml:space="preserve">O</w:t>
      </w:r>
      <w:r>
        <w:t xml:space="preserve"> </w:t>
      </w:r>
      <w:r>
        <w:rPr>
          <w:b/>
          <w:bCs/>
        </w:rPr>
        <w:t xml:space="preserve">pseudocódigo</w:t>
      </w:r>
      <w:r>
        <w:t xml:space="preserve"> </w:t>
      </w:r>
      <w:r>
        <w:t xml:space="preserve">apresentado ao final deste apêndice tem outra função. Ele não é para ser executado; é uma tradução do raciocínio dos scripts para linguagem humana, independente de R, Python ou qualquer software. Serve como mapa para entender a análise sem precisar ler código. Em termos clínicos, o pseudocódigo está para o script assim como a descrição de uma técnica cirúrgica está para o ato operatório: não substitui a execução real, mas explica as etapas, a ordem e o motivo de cada passo.</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90" w:name="tbl-pipeline-org"/>
      <w:r>
        <w:t xml:space="preserve">Tabela 20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90"/>
    <w:p/>
    <w:p>
      <w:pPr>
        <w:pStyle w:val="BodyText"/>
      </w:pPr>
      <w:r>
        <w:t xml:space="preserve"> </w:t>
      </w:r>
    </w:p>
    <w:p>
      <w:pPr>
        <w:jc w:val="left"/>
        <w:spacing w:before="200"/>
        <w:pStyle w:val="ImageCaption"/>
      </w:pPr>
      <w:bookmarkStart w:id="391" w:name="tbl-pipeline-full"/>
      <w:r>
        <w:t xml:space="preserve">Tabela 21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91"/>
    <w:p/>
    <w:bookmarkStart w:id="39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 A leitura recomendada não é tentar memorizar símbolos, mas seguir a pergunta clínica de cada algoritmo: como o escore foi criado, como ele é aplicado a uma nova coorte, como se garantiu reprodutibilidade e como os resultados foram combinados.</w:t>
      </w:r>
    </w:p>
    <w:p>
      <w:r>
        <w:br w:type="page"/>
      </w:r>
    </w:p>
    <w:p>
      <w:pPr>
        <w:pStyle w:val="BodyText"/>
      </w:pPr>
      <w:r>
        <w:rPr>
          <w:b/>
          <w:bCs/>
        </w:rPr>
        <w:t xml:space="preserve">Algoritmo 1 — Derivação do CorePAM</w:t>
      </w:r>
      <w:r>
        <w:t xml:space="preserve"> </w:t>
      </w:r>
      <w:r>
        <w:rPr>
          <w:i/>
          <w:iCs/>
        </w:rPr>
        <w:t xml:space="preserve">(script 05_derivation.R)</w:t>
      </w:r>
    </w:p>
    <w:p>
      <w:pPr>
        <w:pStyle w:val="BodyText"/>
      </w:pPr>
      <w:r>
        <w:t xml:space="preserve">Este algoritmo é a etapa em que o CorePAM nasce. Ele parte da SCAN-B, que é a coorte de treinamento, e pergunta quais genes do PAM50 realmente ajudam a ordenar risco de sobrevida. A validação cruzada funciona como um ensaio interno de honestidade: cada paciente é predita por um modelo que não a viu. A seleção final não escolhe o modelo</w:t>
      </w:r>
      <w:r>
        <w:t xml:space="preserve"> </w:t>
      </w:r>
      <w:r>
        <w:t xml:space="preserve">“mais bonito”</w:t>
      </w:r>
      <w:r>
        <w:t xml:space="preserve">, mas o menor conjunto que fica dentro da margem de desempenho aceitável.</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BodyText"/>
      </w:pPr>
      <w:r>
        <w:t xml:space="preserve">Este algoritmo descreve como o CorePAM é aplicado depois de pronto. A coorte externa não escolhe novos genes e não muda os pesos; ela apenas recebe o escore congelado. O ponto mais importante é o</w:t>
      </w:r>
      <w:r>
        <w:t xml:space="preserve"> </w:t>
      </w:r>
      <w:r>
        <w:rPr>
          <w:i/>
          <w:iCs/>
        </w:rPr>
        <w:t xml:space="preserve">z-score</w:t>
      </w:r>
      <w:r>
        <w:t xml:space="preserve">: cada gene é colocado em escala relativa dentro da própria coorte, permitindo comparar plataformas que medem expressão em unidades diferentes. Quando algum gene não está presente, o denominador é recalculado com os pesos disponíveis, evitando imputação artificial.</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BodyText"/>
      </w:pPr>
      <w:r>
        <w:t xml:space="preserve">Este algoritmo explica como as pacientes foram divididas nos 10 grupos da validação cruzada. Em muitos estudos, essa divisão depende de uma semente aleatória; mudar a semente pode mudar discretamente o resultado. Aqui, a divisão depende de uma transformação fixa do identificador da paciente. Isso torna a análise reprodutível: a mesma paciente sempre cai no mesmo grupo, em qualquer computador, desde que os mesmos dados sejam usados.</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BodyText"/>
      </w:pPr>
      <w:r>
        <w:t xml:space="preserve">Este algoritmo explica como os resultados das coortes externas foram combinados. Ele não assume que todas as coortes são iguais. Pelo contrário: reconhece que TCGA-BRCA, METABRIC, GSE20685 e GSE1456 diferem em população, plataforma, seguimento e desfecho. O modelo de efeitos aleatórios calcula uma estimativa média levando em conta tanto a incerteza dentro de cada coorte quanto a variação real entre coortes. Essa é a forma estatística de dizer:</w:t>
      </w:r>
      <w:r>
        <w:t xml:space="preserve"> </w:t>
      </w:r>
      <w:r>
        <w:t xml:space="preserve">“o efeito é consistente o bastante para ser resumido, mas as coortes não são cópias umas das outras”</w:t>
      </w:r>
      <w:r>
        <w:t xml:space="preserve">.</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92"/>
    <w:bookmarkEnd w:id="39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563C1"/>
      <w:u w:val="single"/>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image" Id="rId54" Target="media/rId54.png" /><Relationship Type="http://schemas.openxmlformats.org/officeDocument/2006/relationships/image" Id="rId137" Target="media/rId137.png" /><Relationship Type="http://schemas.openxmlformats.org/officeDocument/2006/relationships/image" Id="rId133" Target="media/rId133.png" /><Relationship Type="http://schemas.openxmlformats.org/officeDocument/2006/relationships/image" Id="rId121" Target="media/rId121.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8" Target="media/rId198.png" /><Relationship Type="http://schemas.openxmlformats.org/officeDocument/2006/relationships/image" Id="rId194" Target="media/rId194.png" /><Relationship Type="http://schemas.openxmlformats.org/officeDocument/2006/relationships/image" Id="rId162" Target="media/rId162.png" /><Relationship Type="http://schemas.openxmlformats.org/officeDocument/2006/relationships/image" Id="rId172" Target="media/rId172.png"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168" Target="media/rId168.png" /><Relationship Type="http://schemas.openxmlformats.org/officeDocument/2006/relationships/image" Id="rId202" Target="media/rId202.png" /><Relationship Type="http://schemas.openxmlformats.org/officeDocument/2006/relationships/image" Id="rId115" Target="media/rId115.png" /><Relationship Type="http://schemas.openxmlformats.org/officeDocument/2006/relationships/image" Id="rId179" Target="media/rId179.png" /><Relationship Type="http://schemas.openxmlformats.org/officeDocument/2006/relationships/image" Id="rId208" Target="media/rId208.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hyperlink" Id="rId351" Target="https://doi.org/10.1001/jama.1982.03320430047030" TargetMode="External" /><Relationship Type="http://schemas.openxmlformats.org/officeDocument/2006/relationships/hyperlink" Id="rId317" Target="https://doi.org/10.1001/jama.2011.593" TargetMode="External" /><Relationship Type="http://schemas.openxmlformats.org/officeDocument/2006/relationships/hyperlink" Id="rId295" Target="https://doi.org/10.1001/jamaoncol.2017.5524" TargetMode="External" /><Relationship Type="http://schemas.openxmlformats.org/officeDocument/2006/relationships/hyperlink" Id="rId341" Target="https://doi.org/10.1002/(SICI)1097-0258(19970228)16:4&lt;385::AID-SIM380&gt;3.0.CO;2-3" TargetMode="External" /><Relationship Type="http://schemas.openxmlformats.org/officeDocument/2006/relationships/hyperlink" Id="rId371" Target="https://doi.org/10.1002/sim.1009" TargetMode="External" /><Relationship Type="http://schemas.openxmlformats.org/officeDocument/2006/relationships/hyperlink" Id="rId355" Target="https://doi.org/10.1002/sim.4154" TargetMode="External" /><Relationship Type="http://schemas.openxmlformats.org/officeDocument/2006/relationships/hyperlink" Id="rId357" Target="https://doi.org/10.1002/sim.5958" TargetMode="External" /><Relationship Type="http://schemas.openxmlformats.org/officeDocument/2006/relationships/hyperlink" Id="rId349" Target="https://doi.org/10.1007/978-1-4757-3294-8" TargetMode="External" /><Relationship Type="http://schemas.openxmlformats.org/officeDocument/2006/relationships/hyperlink" Id="rId321" Target="https://doi.org/10.1007/s10549-011-1895-2" TargetMode="External" /><Relationship Type="http://schemas.openxmlformats.org/officeDocument/2006/relationships/hyperlink" Id="rId373" Target="https://doi.org/10.1016/0197-2456(86)90046-2" TargetMode="External" /><Relationship Type="http://schemas.openxmlformats.org/officeDocument/2006/relationships/hyperlink" Id="rId242" Target="https://doi.org/10.1016/S0140-6736(11)60993-8" TargetMode="External" /><Relationship Type="http://schemas.openxmlformats.org/officeDocument/2006/relationships/hyperlink" Id="rId240" Target="https://doi.org/10.1016/S0140-6736(11)61625-5" TargetMode="External" /><Relationship Type="http://schemas.openxmlformats.org/officeDocument/2006/relationships/hyperlink" Id="rId381" Target="https://doi.org/10.1016/S0140-6736(13)62422-8" TargetMode="External" /><Relationship Type="http://schemas.openxmlformats.org/officeDocument/2006/relationships/hyperlink" Id="rId379" Target="https://doi.org/10.1016/S1470-2045(17)30904-X" TargetMode="External" /><Relationship Type="http://schemas.openxmlformats.org/officeDocument/2006/relationships/hyperlink" Id="rId289" Target="https://doi.org/10.1016/S1470-2045(21)00007-3" TargetMode="External" /><Relationship Type="http://schemas.openxmlformats.org/officeDocument/2006/relationships/hyperlink" Id="rId323" Target="https://doi.org/10.1016/j.ccell.2022.05.005" TargetMode="External" /><Relationship Type="http://schemas.openxmlformats.org/officeDocument/2006/relationships/hyperlink" Id="rId331" Target="https://doi.org/10.1016/j.jclinepi.2015.04.005" TargetMode="External" /><Relationship Type="http://schemas.openxmlformats.org/officeDocument/2006/relationships/hyperlink" Id="rId361" Target="https://doi.org/10.1016/j.jclinepi.2015.12.005" TargetMode="External" /><Relationship Type="http://schemas.openxmlformats.org/officeDocument/2006/relationships/hyperlink" Id="rId253" Target="https://doi.org/10.1016/j.molonc.2010.11.003" TargetMode="External" /><Relationship Type="http://schemas.openxmlformats.org/officeDocument/2006/relationships/hyperlink" Id="rId249" Target="https://doi.org/10.1038/35021093" TargetMode="External" /><Relationship Type="http://schemas.openxmlformats.org/officeDocument/2006/relationships/hyperlink" Id="rId285" Target="https://doi.org/10.1038/415530a" TargetMode="External" /><Relationship Type="http://schemas.openxmlformats.org/officeDocument/2006/relationships/hyperlink" Id="rId255" Target="https://doi.org/10.1038/nature10983" TargetMode="External" /><Relationship Type="http://schemas.openxmlformats.org/officeDocument/2006/relationships/hyperlink" Id="rId311" Target="https://doi.org/10.1038/nature11412" TargetMode="External" /><Relationship Type="http://schemas.openxmlformats.org/officeDocument/2006/relationships/hyperlink" Id="rId301" Target="https://doi.org/10.1038/nbt.1665" TargetMode="External" /><Relationship Type="http://schemas.openxmlformats.org/officeDocument/2006/relationships/hyperlink" Id="rId257" Target="https://doi.org/10.1038/ncomms11479" TargetMode="External" /><Relationship Type="http://schemas.openxmlformats.org/officeDocument/2006/relationships/hyperlink" Id="rId305" Target="https://doi.org/10.1038/nrg2825" TargetMode="External" /><Relationship Type="http://schemas.openxmlformats.org/officeDocument/2006/relationships/hyperlink" Id="rId247" Target="https://doi.org/10.1038/s41572-019-0111-2" TargetMode="External" /><Relationship Type="http://schemas.openxmlformats.org/officeDocument/2006/relationships/hyperlink" Id="rId277" Target="https://doi.org/10.1056/NEJMoa041588" TargetMode="External" /><Relationship Type="http://schemas.openxmlformats.org/officeDocument/2006/relationships/hyperlink" Id="rId287" Target="https://doi.org/10.1056/NEJMoa1602253" TargetMode="External" /><Relationship Type="http://schemas.openxmlformats.org/officeDocument/2006/relationships/hyperlink" Id="rId279" Target="https://doi.org/10.1056/NEJMoa1804710" TargetMode="External" /><Relationship Type="http://schemas.openxmlformats.org/officeDocument/2006/relationships/hyperlink" Id="rId281" Target="https://doi.org/10.1056/NEJMoa1904819" TargetMode="External" /><Relationship Type="http://schemas.openxmlformats.org/officeDocument/2006/relationships/hyperlink" Id="rId283" Target="https://doi.org/10.1056/NEJMoa2108873" TargetMode="External" /><Relationship Type="http://schemas.openxmlformats.org/officeDocument/2006/relationships/hyperlink" Id="rId251" Target="https://doi.org/10.1073/pnas.191367098" TargetMode="External" /><Relationship Type="http://schemas.openxmlformats.org/officeDocument/2006/relationships/hyperlink" Id="rId359" Target="https://doi.org/10.1080/01621459.1999.10474144" TargetMode="External" /><Relationship Type="http://schemas.openxmlformats.org/officeDocument/2006/relationships/hyperlink" Id="rId269" Target="https://doi.org/10.1093/annonc/mdt494" TargetMode="External" /><Relationship Type="http://schemas.openxmlformats.org/officeDocument/2006/relationships/hyperlink" Id="rId271" Target="https://doi.org/10.1093/annonc/mdv221" TargetMode="External" /><Relationship Type="http://schemas.openxmlformats.org/officeDocument/2006/relationships/hyperlink" Id="rId273" Target="https://doi.org/10.1093/annonc/mdz235" TargetMode="External" /><Relationship Type="http://schemas.openxmlformats.org/officeDocument/2006/relationships/hyperlink" Id="rId333" Target="https://doi.org/10.1093/bioinformatics/btp616" TargetMode="External" /><Relationship Type="http://schemas.openxmlformats.org/officeDocument/2006/relationships/hyperlink" Id="rId375" Target="https://doi.org/10.1093/bioinformatics/btv693" TargetMode="External" /><Relationship Type="http://schemas.openxmlformats.org/officeDocument/2006/relationships/hyperlink" Id="rId347" Target="https://doi.org/10.1093/biomet/81.3.515" TargetMode="External" /><Relationship Type="http://schemas.openxmlformats.org/officeDocument/2006/relationships/hyperlink" Id="rId303" Target="https://doi.org/10.1093/biostatistics/kxj037" TargetMode="External" /><Relationship Type="http://schemas.openxmlformats.org/officeDocument/2006/relationships/hyperlink" Id="rId377" Target="https://doi.org/10.1093/jnci/djp082" TargetMode="External" /><Relationship Type="http://schemas.openxmlformats.org/officeDocument/2006/relationships/hyperlink" Id="rId299" Target="https://doi.org/10.1093/nar/gkv007" TargetMode="External" /><Relationship Type="http://schemas.openxmlformats.org/officeDocument/2006/relationships/hyperlink" Id="rId319" Target="https://doi.org/10.1111/j.1349-7006.2012.02241.x" TargetMode="External" /><Relationship Type="http://schemas.openxmlformats.org/officeDocument/2006/relationships/hyperlink" Id="rId337" Target="https://doi.org/10.1111/j.1467-9868.2005.00503.x" TargetMode="External" /><Relationship Type="http://schemas.openxmlformats.org/officeDocument/2006/relationships/hyperlink" Id="rId339" Target="https://doi.org/10.1111/j.2517-6161.1996.tb02080.x" TargetMode="External" /><Relationship Type="http://schemas.openxmlformats.org/officeDocument/2006/relationships/hyperlink" Id="rId369" Target="https://doi.org/10.1136/bmj.327.7414.557" TargetMode="External" /><Relationship Type="http://schemas.openxmlformats.org/officeDocument/2006/relationships/hyperlink" Id="rId327" Target="https://doi.org/10.1136/bmj.g7594" TargetMode="External" /><Relationship Type="http://schemas.openxmlformats.org/officeDocument/2006/relationships/hyperlink" Id="rId261" Target="https://doi.org/10.1158/1078-0432.CCR-10-1282" TargetMode="External" /><Relationship Type="http://schemas.openxmlformats.org/officeDocument/2006/relationships/hyperlink" Id="rId291" Target="https://doi.org/10.1158/1078-0432.CCR-11-0926" TargetMode="External" /><Relationship Type="http://schemas.openxmlformats.org/officeDocument/2006/relationships/hyperlink" Id="rId263" Target="https://doi.org/10.1158/1078-0432.CCR-12-0286" TargetMode="External" /><Relationship Type="http://schemas.openxmlformats.org/officeDocument/2006/relationships/hyperlink" Id="rId293" Target="https://doi.org/10.1158/1078-0432.CCR-13-0804" TargetMode="External" /><Relationship Type="http://schemas.openxmlformats.org/officeDocument/2006/relationships/hyperlink" Id="rId365" Target="https://doi.org/10.1177/0272989X06295361" TargetMode="External" /><Relationship Type="http://schemas.openxmlformats.org/officeDocument/2006/relationships/hyperlink" Id="rId329" Target="https://doi.org/10.1186/1471-2288-13-33" TargetMode="External" /><Relationship Type="http://schemas.openxmlformats.org/officeDocument/2006/relationships/hyperlink" Id="rId313" Target="https://doi.org/10.1186/1471-2407-11-143" TargetMode="External" /><Relationship Type="http://schemas.openxmlformats.org/officeDocument/2006/relationships/hyperlink" Id="rId315" Target="https://doi.org/10.1186/bcr1325" TargetMode="External" /><Relationship Type="http://schemas.openxmlformats.org/officeDocument/2006/relationships/hyperlink" Id="rId335" Target="https://doi.org/10.1186/gb-2010-11-3-r25" TargetMode="External" /><Relationship Type="http://schemas.openxmlformats.org/officeDocument/2006/relationships/hyperlink" Id="rId383" Target="https://doi.org/10.1186/s12916-015-0540-z" TargetMode="External" /><Relationship Type="http://schemas.openxmlformats.org/officeDocument/2006/relationships/hyperlink" Id="rId363" Target="https://doi.org/10.1186/s12916-019-1466-7" TargetMode="External" /><Relationship Type="http://schemas.openxmlformats.org/officeDocument/2006/relationships/hyperlink" Id="rId265" Target="https://doi.org/10.1186/s12920-015-0129-6" TargetMode="External" /><Relationship Type="http://schemas.openxmlformats.org/officeDocument/2006/relationships/hyperlink" Id="rId385" Target="https://doi.org/10.1186/s13058-026-02298-5" TargetMode="External" /><Relationship Type="http://schemas.openxmlformats.org/officeDocument/2006/relationships/hyperlink" Id="rId297" Target="https://doi.org/10.1186/s13059-014-0550-8" TargetMode="External" /><Relationship Type="http://schemas.openxmlformats.org/officeDocument/2006/relationships/hyperlink" Id="rId307" Target="https://doi.org/10.1186/s13073-015-0131-9" TargetMode="External" /><Relationship Type="http://schemas.openxmlformats.org/officeDocument/2006/relationships/hyperlink" Id="rId259" Target="https://doi.org/10.1200/JCO.2008.18.1370" TargetMode="External" /><Relationship Type="http://schemas.openxmlformats.org/officeDocument/2006/relationships/hyperlink" Id="rId267" Target="https://doi.org/10.1200/JCO.2009.24.4798" TargetMode="External" /><Relationship Type="http://schemas.openxmlformats.org/officeDocument/2006/relationships/hyperlink" Id="rId275" Target="https://doi.org/10.1200/JCO.22.00069" TargetMode="External" /><Relationship Type="http://schemas.openxmlformats.org/officeDocument/2006/relationships/hyperlink" Id="rId309" Target="https://doi.org/10.1200/PO.17.00135" TargetMode="External" /><Relationship Type="http://schemas.openxmlformats.org/officeDocument/2006/relationships/hyperlink" Id="rId353" Target="https://doi.org/10.1214/aos/1176344552" TargetMode="External" /><Relationship Type="http://schemas.openxmlformats.org/officeDocument/2006/relationships/hyperlink" Id="rId245" Target="https://doi.org/10.1590/0102-311X00074817" TargetMode="External" /><Relationship Type="http://schemas.openxmlformats.org/officeDocument/2006/relationships/hyperlink" Id="rId343" Target="https://doi.org/10.18637/jss.v033.i01" TargetMode="External" /><Relationship Type="http://schemas.openxmlformats.org/officeDocument/2006/relationships/hyperlink" Id="rId367" Target="https://doi.org/10.18637/jss.v036.i03" TargetMode="External" /><Relationship Type="http://schemas.openxmlformats.org/officeDocument/2006/relationships/hyperlink" Id="rId345" Target="https://doi.org/10.18637/jss.v039.i05" TargetMode="External" /><Relationship Type="http://schemas.openxmlformats.org/officeDocument/2006/relationships/hyperlink" Id="rId236" Target="https://doi.org/10.3322/caac.21660" TargetMode="External" /><Relationship Type="http://schemas.openxmlformats.org/officeDocument/2006/relationships/hyperlink" Id="rId238" Target="https://doi.org/10.3322/caac.21834" TargetMode="External" /><Relationship Type="http://schemas.openxmlformats.org/officeDocument/2006/relationships/hyperlink" Id="rId32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51" Target="https://doi.org/10.1001/jama.1982.03320430047030" TargetMode="External" /><Relationship Type="http://schemas.openxmlformats.org/officeDocument/2006/relationships/hyperlink" Id="rId317" Target="https://doi.org/10.1001/jama.2011.593" TargetMode="External" /><Relationship Type="http://schemas.openxmlformats.org/officeDocument/2006/relationships/hyperlink" Id="rId295" Target="https://doi.org/10.1001/jamaoncol.2017.5524" TargetMode="External" /><Relationship Type="http://schemas.openxmlformats.org/officeDocument/2006/relationships/hyperlink" Id="rId341" Target="https://doi.org/10.1002/(SICI)1097-0258(19970228)16:4&lt;385::AID-SIM380&gt;3.0.CO;2-3" TargetMode="External" /><Relationship Type="http://schemas.openxmlformats.org/officeDocument/2006/relationships/hyperlink" Id="rId371" Target="https://doi.org/10.1002/sim.1009" TargetMode="External" /><Relationship Type="http://schemas.openxmlformats.org/officeDocument/2006/relationships/hyperlink" Id="rId355" Target="https://doi.org/10.1002/sim.4154" TargetMode="External" /><Relationship Type="http://schemas.openxmlformats.org/officeDocument/2006/relationships/hyperlink" Id="rId357" Target="https://doi.org/10.1002/sim.5958" TargetMode="External" /><Relationship Type="http://schemas.openxmlformats.org/officeDocument/2006/relationships/hyperlink" Id="rId349" Target="https://doi.org/10.1007/978-1-4757-3294-8" TargetMode="External" /><Relationship Type="http://schemas.openxmlformats.org/officeDocument/2006/relationships/hyperlink" Id="rId321" Target="https://doi.org/10.1007/s10549-011-1895-2" TargetMode="External" /><Relationship Type="http://schemas.openxmlformats.org/officeDocument/2006/relationships/hyperlink" Id="rId373" Target="https://doi.org/10.1016/0197-2456(86)90046-2" TargetMode="External" /><Relationship Type="http://schemas.openxmlformats.org/officeDocument/2006/relationships/hyperlink" Id="rId242" Target="https://doi.org/10.1016/S0140-6736(11)60993-8" TargetMode="External" /><Relationship Type="http://schemas.openxmlformats.org/officeDocument/2006/relationships/hyperlink" Id="rId240" Target="https://doi.org/10.1016/S0140-6736(11)61625-5" TargetMode="External" /><Relationship Type="http://schemas.openxmlformats.org/officeDocument/2006/relationships/hyperlink" Id="rId381" Target="https://doi.org/10.1016/S0140-6736(13)62422-8" TargetMode="External" /><Relationship Type="http://schemas.openxmlformats.org/officeDocument/2006/relationships/hyperlink" Id="rId379" Target="https://doi.org/10.1016/S1470-2045(17)30904-X" TargetMode="External" /><Relationship Type="http://schemas.openxmlformats.org/officeDocument/2006/relationships/hyperlink" Id="rId289" Target="https://doi.org/10.1016/S1470-2045(21)00007-3" TargetMode="External" /><Relationship Type="http://schemas.openxmlformats.org/officeDocument/2006/relationships/hyperlink" Id="rId323" Target="https://doi.org/10.1016/j.ccell.2022.05.005" TargetMode="External" /><Relationship Type="http://schemas.openxmlformats.org/officeDocument/2006/relationships/hyperlink" Id="rId331" Target="https://doi.org/10.1016/j.jclinepi.2015.04.005" TargetMode="External" /><Relationship Type="http://schemas.openxmlformats.org/officeDocument/2006/relationships/hyperlink" Id="rId361" Target="https://doi.org/10.1016/j.jclinepi.2015.12.005" TargetMode="External" /><Relationship Type="http://schemas.openxmlformats.org/officeDocument/2006/relationships/hyperlink" Id="rId253" Target="https://doi.org/10.1016/j.molonc.2010.11.003" TargetMode="External" /><Relationship Type="http://schemas.openxmlformats.org/officeDocument/2006/relationships/hyperlink" Id="rId249" Target="https://doi.org/10.1038/35021093" TargetMode="External" /><Relationship Type="http://schemas.openxmlformats.org/officeDocument/2006/relationships/hyperlink" Id="rId285" Target="https://doi.org/10.1038/415530a" TargetMode="External" /><Relationship Type="http://schemas.openxmlformats.org/officeDocument/2006/relationships/hyperlink" Id="rId255" Target="https://doi.org/10.1038/nature10983" TargetMode="External" /><Relationship Type="http://schemas.openxmlformats.org/officeDocument/2006/relationships/hyperlink" Id="rId311" Target="https://doi.org/10.1038/nature11412" TargetMode="External" /><Relationship Type="http://schemas.openxmlformats.org/officeDocument/2006/relationships/hyperlink" Id="rId301" Target="https://doi.org/10.1038/nbt.1665" TargetMode="External" /><Relationship Type="http://schemas.openxmlformats.org/officeDocument/2006/relationships/hyperlink" Id="rId257" Target="https://doi.org/10.1038/ncomms11479" TargetMode="External" /><Relationship Type="http://schemas.openxmlformats.org/officeDocument/2006/relationships/hyperlink" Id="rId305" Target="https://doi.org/10.1038/nrg2825" TargetMode="External" /><Relationship Type="http://schemas.openxmlformats.org/officeDocument/2006/relationships/hyperlink" Id="rId247" Target="https://doi.org/10.1038/s41572-019-0111-2" TargetMode="External" /><Relationship Type="http://schemas.openxmlformats.org/officeDocument/2006/relationships/hyperlink" Id="rId277" Target="https://doi.org/10.1056/NEJMoa041588" TargetMode="External" /><Relationship Type="http://schemas.openxmlformats.org/officeDocument/2006/relationships/hyperlink" Id="rId287" Target="https://doi.org/10.1056/NEJMoa1602253" TargetMode="External" /><Relationship Type="http://schemas.openxmlformats.org/officeDocument/2006/relationships/hyperlink" Id="rId279" Target="https://doi.org/10.1056/NEJMoa1804710" TargetMode="External" /><Relationship Type="http://schemas.openxmlformats.org/officeDocument/2006/relationships/hyperlink" Id="rId281" Target="https://doi.org/10.1056/NEJMoa1904819" TargetMode="External" /><Relationship Type="http://schemas.openxmlformats.org/officeDocument/2006/relationships/hyperlink" Id="rId283" Target="https://doi.org/10.1056/NEJMoa2108873" TargetMode="External" /><Relationship Type="http://schemas.openxmlformats.org/officeDocument/2006/relationships/hyperlink" Id="rId251" Target="https://doi.org/10.1073/pnas.191367098" TargetMode="External" /><Relationship Type="http://schemas.openxmlformats.org/officeDocument/2006/relationships/hyperlink" Id="rId359" Target="https://doi.org/10.1080/01621459.1999.10474144" TargetMode="External" /><Relationship Type="http://schemas.openxmlformats.org/officeDocument/2006/relationships/hyperlink" Id="rId269" Target="https://doi.org/10.1093/annonc/mdt494" TargetMode="External" /><Relationship Type="http://schemas.openxmlformats.org/officeDocument/2006/relationships/hyperlink" Id="rId271" Target="https://doi.org/10.1093/annonc/mdv221" TargetMode="External" /><Relationship Type="http://schemas.openxmlformats.org/officeDocument/2006/relationships/hyperlink" Id="rId273" Target="https://doi.org/10.1093/annonc/mdz235" TargetMode="External" /><Relationship Type="http://schemas.openxmlformats.org/officeDocument/2006/relationships/hyperlink" Id="rId333" Target="https://doi.org/10.1093/bioinformatics/btp616" TargetMode="External" /><Relationship Type="http://schemas.openxmlformats.org/officeDocument/2006/relationships/hyperlink" Id="rId375" Target="https://doi.org/10.1093/bioinformatics/btv693" TargetMode="External" /><Relationship Type="http://schemas.openxmlformats.org/officeDocument/2006/relationships/hyperlink" Id="rId347" Target="https://doi.org/10.1093/biomet/81.3.515" TargetMode="External" /><Relationship Type="http://schemas.openxmlformats.org/officeDocument/2006/relationships/hyperlink" Id="rId303" Target="https://doi.org/10.1093/biostatistics/kxj037" TargetMode="External" /><Relationship Type="http://schemas.openxmlformats.org/officeDocument/2006/relationships/hyperlink" Id="rId377" Target="https://doi.org/10.1093/jnci/djp082" TargetMode="External" /><Relationship Type="http://schemas.openxmlformats.org/officeDocument/2006/relationships/hyperlink" Id="rId299" Target="https://doi.org/10.1093/nar/gkv007" TargetMode="External" /><Relationship Type="http://schemas.openxmlformats.org/officeDocument/2006/relationships/hyperlink" Id="rId319" Target="https://doi.org/10.1111/j.1349-7006.2012.02241.x" TargetMode="External" /><Relationship Type="http://schemas.openxmlformats.org/officeDocument/2006/relationships/hyperlink" Id="rId337" Target="https://doi.org/10.1111/j.1467-9868.2005.00503.x" TargetMode="External" /><Relationship Type="http://schemas.openxmlformats.org/officeDocument/2006/relationships/hyperlink" Id="rId339" Target="https://doi.org/10.1111/j.2517-6161.1996.tb02080.x" TargetMode="External" /><Relationship Type="http://schemas.openxmlformats.org/officeDocument/2006/relationships/hyperlink" Id="rId369" Target="https://doi.org/10.1136/bmj.327.7414.557" TargetMode="External" /><Relationship Type="http://schemas.openxmlformats.org/officeDocument/2006/relationships/hyperlink" Id="rId327" Target="https://doi.org/10.1136/bmj.g7594" TargetMode="External" /><Relationship Type="http://schemas.openxmlformats.org/officeDocument/2006/relationships/hyperlink" Id="rId261" Target="https://doi.org/10.1158/1078-0432.CCR-10-1282" TargetMode="External" /><Relationship Type="http://schemas.openxmlformats.org/officeDocument/2006/relationships/hyperlink" Id="rId291" Target="https://doi.org/10.1158/1078-0432.CCR-11-0926" TargetMode="External" /><Relationship Type="http://schemas.openxmlformats.org/officeDocument/2006/relationships/hyperlink" Id="rId263" Target="https://doi.org/10.1158/1078-0432.CCR-12-0286" TargetMode="External" /><Relationship Type="http://schemas.openxmlformats.org/officeDocument/2006/relationships/hyperlink" Id="rId293" Target="https://doi.org/10.1158/1078-0432.CCR-13-0804" TargetMode="External" /><Relationship Type="http://schemas.openxmlformats.org/officeDocument/2006/relationships/hyperlink" Id="rId365" Target="https://doi.org/10.1177/0272989X06295361" TargetMode="External" /><Relationship Type="http://schemas.openxmlformats.org/officeDocument/2006/relationships/hyperlink" Id="rId329" Target="https://doi.org/10.1186/1471-2288-13-33" TargetMode="External" /><Relationship Type="http://schemas.openxmlformats.org/officeDocument/2006/relationships/hyperlink" Id="rId313" Target="https://doi.org/10.1186/1471-2407-11-143" TargetMode="External" /><Relationship Type="http://schemas.openxmlformats.org/officeDocument/2006/relationships/hyperlink" Id="rId315" Target="https://doi.org/10.1186/bcr1325" TargetMode="External" /><Relationship Type="http://schemas.openxmlformats.org/officeDocument/2006/relationships/hyperlink" Id="rId335" Target="https://doi.org/10.1186/gb-2010-11-3-r25" TargetMode="External" /><Relationship Type="http://schemas.openxmlformats.org/officeDocument/2006/relationships/hyperlink" Id="rId383" Target="https://doi.org/10.1186/s12916-015-0540-z" TargetMode="External" /><Relationship Type="http://schemas.openxmlformats.org/officeDocument/2006/relationships/hyperlink" Id="rId363" Target="https://doi.org/10.1186/s12916-019-1466-7" TargetMode="External" /><Relationship Type="http://schemas.openxmlformats.org/officeDocument/2006/relationships/hyperlink" Id="rId265" Target="https://doi.org/10.1186/s12920-015-0129-6" TargetMode="External" /><Relationship Type="http://schemas.openxmlformats.org/officeDocument/2006/relationships/hyperlink" Id="rId385" Target="https://doi.org/10.1186/s13058-026-02298-5" TargetMode="External" /><Relationship Type="http://schemas.openxmlformats.org/officeDocument/2006/relationships/hyperlink" Id="rId297" Target="https://doi.org/10.1186/s13059-014-0550-8" TargetMode="External" /><Relationship Type="http://schemas.openxmlformats.org/officeDocument/2006/relationships/hyperlink" Id="rId307" Target="https://doi.org/10.1186/s13073-015-0131-9" TargetMode="External" /><Relationship Type="http://schemas.openxmlformats.org/officeDocument/2006/relationships/hyperlink" Id="rId259" Target="https://doi.org/10.1200/JCO.2008.18.1370" TargetMode="External" /><Relationship Type="http://schemas.openxmlformats.org/officeDocument/2006/relationships/hyperlink" Id="rId267" Target="https://doi.org/10.1200/JCO.2009.24.4798" TargetMode="External" /><Relationship Type="http://schemas.openxmlformats.org/officeDocument/2006/relationships/hyperlink" Id="rId275" Target="https://doi.org/10.1200/JCO.22.00069" TargetMode="External" /><Relationship Type="http://schemas.openxmlformats.org/officeDocument/2006/relationships/hyperlink" Id="rId309" Target="https://doi.org/10.1200/PO.17.00135" TargetMode="External" /><Relationship Type="http://schemas.openxmlformats.org/officeDocument/2006/relationships/hyperlink" Id="rId353" Target="https://doi.org/10.1214/aos/1176344552" TargetMode="External" /><Relationship Type="http://schemas.openxmlformats.org/officeDocument/2006/relationships/hyperlink" Id="rId245" Target="https://doi.org/10.1590/0102-311X00074817" TargetMode="External" /><Relationship Type="http://schemas.openxmlformats.org/officeDocument/2006/relationships/hyperlink" Id="rId343" Target="https://doi.org/10.18637/jss.v033.i01" TargetMode="External" /><Relationship Type="http://schemas.openxmlformats.org/officeDocument/2006/relationships/hyperlink" Id="rId367" Target="https://doi.org/10.18637/jss.v036.i03" TargetMode="External" /><Relationship Type="http://schemas.openxmlformats.org/officeDocument/2006/relationships/hyperlink" Id="rId345" Target="https://doi.org/10.18637/jss.v039.i05" TargetMode="External" /><Relationship Type="http://schemas.openxmlformats.org/officeDocument/2006/relationships/hyperlink" Id="rId236" Target="https://doi.org/10.3322/caac.21660" TargetMode="External" /><Relationship Type="http://schemas.openxmlformats.org/officeDocument/2006/relationships/hyperlink" Id="rId238" Target="https://doi.org/10.3322/caac.21834" TargetMode="External" /><Relationship Type="http://schemas.openxmlformats.org/officeDocument/2006/relationships/hyperlink" Id="rId32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2026-05-18T19:19:08Z</dcterms:created>
  <dcterms:modified xsi:type="dcterms:W3CDTF">2026-05-18T19:19:08Z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tese_references_FINAL_envio_Dr_Joao.bib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