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dedicatória"/>
    <w:p>
      <w:pPr>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p>
      <w:r>
        <w:br w:type="page"/>
      </w:r>
    </w:p>
    <w:bookmarkEnd w:id="20"/>
    <w:bookmarkStart w:id="21"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2"/>
    <w:bookmarkStart w:id="23"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p>
      <w:r>
        <w:br w:type="page"/>
      </w:r>
    </w:p>
    <w:bookmarkEnd w:id="23"/>
    <w:bookmarkStart w:id="24"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4"/>
    <w:bookmarkStart w:id="25" w:name="lista-de-figuras"/>
    <w:p>
      <w:pPr>
        <w:pStyle w:val="Heading1"/>
      </w:pPr>
      <w:r>
        <w:t xml:space="preserve">LISTA DE FIGURAS</w:t>
      </w:r>
    </w:p>
    <w:p>
      <w:pPr>
        <w:pStyle w:val="FirstParagraph"/>
      </w:pPr>
      <w:r>
        <w:t xml:space="preserve">Placeholder técnico: gerar a lista de figuras após a paginação final.</w:t>
      </w:r>
    </w:p>
    <w:p>
      <w:r>
        <w:br w:type="page"/>
      </w:r>
    </w:p>
    <w:bookmarkEnd w:id="25"/>
    <w:bookmarkStart w:id="26" w:name="lista-de-tabelas"/>
    <w:p>
      <w:pPr>
        <w:pStyle w:val="Heading1"/>
      </w:pPr>
      <w:r>
        <w:t xml:space="preserve">LISTA DE TABELAS</w:t>
      </w:r>
    </w:p>
    <w:p>
      <w:pPr>
        <w:pStyle w:val="FirstParagraph"/>
      </w:pPr>
      <w:r>
        <w:t xml:space="preserve">Placeholder técnico: gerar a lista de tabelas após a paginação final.</w:t>
      </w:r>
    </w:p>
    <w:p>
      <w:r>
        <w:br w:type="page"/>
      </w:r>
    </w:p>
    <w:bookmarkEnd w:id="26"/>
    <w:bookmarkStart w:id="27" w:name="lista-de-abreviaturas-e-siglas"/>
    <w:p>
      <w:pPr>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p>
      <w:r>
        <w:br w:type="page"/>
      </w:r>
    </w:p>
    <w:bookmarkEnd w:id="27"/>
    <w:bookmarkStart w:id="28" w:name="sumário"/>
    <w:p>
      <w:pPr>
        <w:pStyle w:val="Heading1"/>
      </w:pPr>
      <w:r>
        <w:t xml:space="preserve">SUMÁRIO</w:t>
      </w:r>
    </w:p>
    <w:p>
      <w:pPr>
        <w:pStyle w:val="FirstParagraph"/>
      </w:pPr>
      <w:r>
        <w:t xml:space="preserve">Placeholder técnico: gerar o sumário após a paginação final.</w:t>
      </w:r>
    </w:p>
    <w:bookmarkEnd w:id="28"/>
    <w:bookmarkStart w:id="44" w:name="introdução"/>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tbl>
      <w:tblPr>
        <w:tblStyle w:val="Table"/>
        <w:tblW w:type="pct" w:w="5000"/>
        <w:tblLayout w:type="fixed"/>
        <w:tblLook w:firstRow="0" w:lastRow="0" w:firstColumn="0" w:lastColumn="0" w:noHBand="0" w:noVBand="0" w:val="0000"/>
      </w:tblPr>
      <w:tblGrid>
        <w:gridCol w:w="7920"/>
      </w:tblGrid>
      <w:tr>
        <w:tc>
          <w:tcPr/>
          <w:bookmarkStart w:id="34" w:name="fig-subtipos"/>
          <w:p>
            <w:pPr>
              <w:pStyle w:val="Compact"/>
              <w:jc w:val="center"/>
            </w:pPr>
            <w:r>
              <w:drawing>
                <wp:inline>
                  <wp:extent cx="5687999" cy="4517315"/>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5687999" cy="4517315"/>
                          </a:xfrm>
                          <a:prstGeom prst="rect">
                            <a:avLst/>
                          </a:prstGeom>
                          <a:noFill/>
                          <a:ln w="9525">
                            <a:noFill/>
                            <a:headEnd/>
                            <a:tailEnd/>
                          </a:ln>
                        </pic:spPr>
                      </pic:pic>
                    </a:graphicData>
                  </a:graphic>
                </wp:inline>
              </w:drawing>
            </w:r>
          </w:p>
          <w:p>
            <w:pPr>
              <w:jc w:val="center"/>
            </w:pPr>
            <w:pPr>
              <w:jc w:val="left"/>
              <w:spacing w:before="200"/>
              <w:pStyle w:val="ImageCaption"/>
            </w:pPr>
            <w:r>
              <w:t xml:space="preserve">Figura 1—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4"/>
        </w:tc>
      </w:tr>
    </w:tbl>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tbl>
      <w:tblPr>
        <w:tblStyle w:val="Table"/>
        <w:tblW w:type="pct" w:w="5000"/>
        <w:tblLayout w:type="fixed"/>
        <w:tblLook w:firstRow="0" w:lastRow="0" w:firstColumn="0" w:lastColumn="0" w:noHBand="0" w:noVBand="0" w:val="0000"/>
      </w:tblPr>
      <w:tblGrid>
        <w:gridCol w:w="7920"/>
      </w:tblGrid>
      <w:tr>
        <w:tc>
          <w:tcPr/>
          <w:bookmarkStart w:id="39" w:name="fig-timeline"/>
          <w:p>
            <w:pPr>
              <w:pStyle w:val="Compact"/>
              <w:jc w:val="center"/>
            </w:pPr>
            <w:r>
              <w:drawing>
                <wp:inline>
                  <wp:extent cx="5687999" cy="2940304"/>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5687999" cy="2940304"/>
                          </a:xfrm>
                          <a:prstGeom prst="rect">
                            <a:avLst/>
                          </a:prstGeom>
                          <a:noFill/>
                          <a:ln w="9525">
                            <a:noFill/>
                            <a:headEnd/>
                            <a:tailEnd/>
                          </a:ln>
                        </pic:spPr>
                      </pic:pic>
                    </a:graphicData>
                  </a:graphic>
                </wp:inline>
              </w:drawing>
            </w:r>
          </w:p>
          <w:p>
            <w:pPr>
              <w:jc w:val="center"/>
            </w:pPr>
            <w:pPr>
              <w:jc w:val="left"/>
              <w:spacing w:before="200"/>
              <w:pStyle w:val="ImageCaption"/>
            </w:pPr>
            <w:r>
              <w:t xml:space="preserve">Figura 2—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tc>
      </w:tr>
    </w:tbl>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famílias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abundância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metodológica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3"/>
    <w:bookmarkEnd w:id="44"/>
    <w:bookmarkStart w:id="47" w:name="objetivos"/>
    <w:p>
      <w:pPr>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6"/>
    <w:bookmarkEnd w:id="47"/>
    <w:bookmarkStart w:id="95" w:name="método"/>
    <w:p>
      <w:pPr>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tbl>
      <w:tblPr>
        <w:tblStyle w:val="Table"/>
        <w:tblW w:type="pct" w:w="5000"/>
        <w:tblLayout w:type="fixed"/>
        <w:tblLook w:firstRow="0" w:lastRow="0" w:firstColumn="0" w:lastColumn="0" w:noHBand="0" w:noVBand="0" w:val="0000"/>
      </w:tblPr>
      <w:tblGrid>
        <w:gridCol w:w="7920"/>
      </w:tblGrid>
      <w:tr>
        <w:tc>
          <w:tcPr/>
          <w:bookmarkStart w:id="51" w:name="fig-study-design"/>
          <w:p>
            <w:pPr>
              <w:pStyle w:val="Compact"/>
              <w:jc w:val="center"/>
            </w:pPr>
            <w:r>
              <w:drawing>
                <wp:inline>
                  <wp:extent cx="5687999" cy="4159880"/>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5687999" cy="415988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tc>
      </w:tr>
    </w:tbl>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36,37</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38</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39</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40</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41–44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resumem os dados essenciais. Na</w:t>
      </w:r>
      <w:r>
        <w:t xml:space="preserve"> </w:t>
      </w:r>
      <w:hyperlink w:anchor="tbl-cohorts-survival">
        <w:r>
          <w:rPr>
            <w:rStyle w:val="Hyperlink"/>
          </w:rPr>
          <w:t xml:space="preserve">Tabela 1</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tbl>
      <w:tblPr>
        <w:tblStyle w:val="Table"/>
        <w:tblW w:type="pct" w:w="5000"/>
        <w:tblLayout w:type="fixed"/>
        <w:tblLook w:firstRow="0" w:lastRow="0" w:firstColumn="0" w:lastColumn="0" w:noHBand="0" w:noVBand="0" w:val="0000"/>
      </w:tblPr>
      <w:tblGrid>
        <w:gridCol w:w="7920"/>
      </w:tblGrid>
      <w:tr>
        <w:tc>
          <w:tcPr/>
          <w:bookmarkStart w:id="58" w:name="tbl-cohorts-survival"/>
          <w:p>
            <w:pPr>
              <w:jc w:val="center"/>
            </w:pPr>
            <w:pPr>
              <w:jc w:val="left"/>
              <w:spacing w:before="200"/>
              <w:pStyle w:val="ImageCaption"/>
            </w:pPr>
            <w:r>
              <w:t xml:space="preserve">Tabela 1— Características das coortes de sobrevida</w:t>
            </w:r>
          </w:p>
          <w:tbl>
            <w:tblPr>
              <w:tblStyle w:val="Table"/>
              <w:tblW w:type="pct" w:w="5000"/>
              <w:tblLayout w:type="fixed"/>
              <w:tblLook w:firstRow="1" w:lastRow="0" w:firstColumn="0" w:lastColumn="0" w:noHBand="0" w:noVBand="0" w:val="0020"/>
            </w:tblPr>
            <w:tblGrid>
              <w:gridCol w:w="1425"/>
              <w:gridCol w:w="1188"/>
              <w:gridCol w:w="2455"/>
              <w:gridCol w:w="1267"/>
              <w:gridCol w:w="1584"/>
            </w:tblGrid>
            <w:tr>
              <w:trPr>
                <w:tblHeader w:val="on"/>
              </w:trPr>
              <w:tc>
                <w:tcPr/>
                <w:p>
                  <w:pPr>
                    <w:pStyle w:val="Compact"/>
                    <w:jc w:val="left"/>
                    <w:jc w:val="center"/>
                  </w:pPr>
                  <w:r>
                    <w:t xml:space="preserve">Coorte</w:t>
                  </w:r>
                </w:p>
              </w:tc>
              <w:tc>
                <w:tcPr/>
                <w:p>
                  <w:pPr>
                    <w:pStyle w:val="Compact"/>
                    <w:jc w:val="left"/>
                    <w:jc w:val="center"/>
                  </w:pPr>
                  <w:r>
                    <w:t xml:space="preserve">Papel</w:t>
                  </w:r>
                </w:p>
              </w:tc>
              <w:tc>
                <w:tcPr/>
                <w:p>
                  <w:pPr>
                    <w:pStyle w:val="Compact"/>
                    <w:jc w:val="left"/>
                    <w:jc w:val="center"/>
                  </w:pPr>
                  <w:r>
                    <w:t xml:space="preserve">Tecnologia e desfecho</w:t>
                  </w:r>
                </w:p>
              </w:tc>
              <w:tc>
                <w:tcPr/>
                <w:p>
                  <w:pPr>
                    <w:pStyle w:val="Compact"/>
                    <w:jc w:val="left"/>
                    <w:jc w:val="center"/>
                  </w:pPr>
                  <w:r>
                    <w:t xml:space="preserve">N/eventos</w:t>
                  </w:r>
                </w:p>
              </w:tc>
              <w:tc>
                <w:tcPr/>
                <w:p>
                  <w:pPr>
                    <w:pStyle w:val="Compact"/>
                    <w:jc w:val="left"/>
                    <w:jc w:val="center"/>
                  </w:pPr>
                  <w:r>
                    <w:t xml:space="preserve">Seguimento</w:t>
                  </w:r>
                </w:p>
              </w:tc>
            </w:tr>
            <w:tr>
              <w:tc>
                <w:tcPr/>
                <w:p>
                  <w:pPr>
                    <w:pStyle w:val="Compact"/>
                    <w:jc w:val="left"/>
                    <w:jc w:val="center"/>
                  </w:pPr>
                  <w:r>
                    <w:t xml:space="preserve">SCAN-B</w:t>
                  </w:r>
                </w:p>
              </w:tc>
              <w:tc>
                <w:tcPr/>
                <w:p>
                  <w:pPr>
                    <w:pStyle w:val="Compact"/>
                    <w:jc w:val="left"/>
                    <w:jc w:val="center"/>
                  </w:pPr>
                  <w:r>
                    <w:t xml:space="preserve">Derivação</w:t>
                  </w:r>
                </w:p>
              </w:tc>
              <w:tc>
                <w:tcPr/>
                <w:p>
                  <w:pPr>
                    <w:pStyle w:val="Compact"/>
                    <w:jc w:val="left"/>
                    <w:jc w:val="center"/>
                  </w:pPr>
                  <w:r>
                    <w:rPr>
                      <w:i/>
                      <w:iCs/>
                    </w:rPr>
                    <w:t xml:space="preserve">RNA-seq</w:t>
                  </w:r>
                  <w:r>
                    <w:t xml:space="preserve"> </w:t>
                  </w:r>
                  <w:r>
                    <w:rPr>
                      <w:i/>
                      <w:iCs/>
                    </w:rPr>
                    <w:t xml:space="preserve">Illumina</w:t>
                  </w:r>
                  <w:r>
                    <w:t xml:space="preserve">; OS</w:t>
                  </w:r>
                </w:p>
              </w:tc>
              <w:tc>
                <w:tcPr/>
                <w:p>
                  <w:pPr>
                    <w:pStyle w:val="Compact"/>
                    <w:jc w:val="left"/>
                    <w:jc w:val="center"/>
                  </w:pPr>
                  <w:r>
                    <w:t xml:space="preserve">3.069/322</w:t>
                  </w:r>
                </w:p>
              </w:tc>
              <w:tc>
                <w:tcPr/>
                <w:p>
                  <w:pPr>
                    <w:pStyle w:val="Compact"/>
                    <w:jc w:val="left"/>
                    <w:jc w:val="center"/>
                  </w:pPr>
                  <w:r>
                    <w:t xml:space="preserve">54,9 meses</w:t>
                  </w:r>
                </w:p>
              </w:tc>
            </w:tr>
            <w:tr>
              <w:tc>
                <w:tcPr/>
                <w:p>
                  <w:pPr>
                    <w:pStyle w:val="Compact"/>
                    <w:jc w:val="left"/>
                    <w:jc w:val="center"/>
                  </w:pPr>
                  <w:r>
                    <w:t xml:space="preserve">TCGA-BRCA</w:t>
                  </w:r>
                </w:p>
              </w:tc>
              <w:tc>
                <w:tcPr/>
                <w:p>
                  <w:pPr>
                    <w:pStyle w:val="Compact"/>
                    <w:jc w:val="left"/>
                    <w:jc w:val="center"/>
                  </w:pPr>
                  <w:r>
                    <w:t xml:space="preserve">Validação</w:t>
                  </w:r>
                </w:p>
              </w:tc>
              <w:tc>
                <w:tcPr/>
                <w:p>
                  <w:pPr>
                    <w:pStyle w:val="Compact"/>
                    <w:jc w:val="left"/>
                    <w:jc w:val="center"/>
                  </w:pPr>
                  <w:r>
                    <w:rPr>
                      <w:i/>
                      <w:iCs/>
                    </w:rPr>
                    <w:t xml:space="preserve">RNA-seq</w:t>
                  </w:r>
                  <w:r>
                    <w:t xml:space="preserve"> </w:t>
                  </w:r>
                  <w:r>
                    <w:t xml:space="preserve">GDC; OS</w:t>
                  </w:r>
                </w:p>
              </w:tc>
              <w:tc>
                <w:tcPr/>
                <w:p>
                  <w:pPr>
                    <w:pStyle w:val="Compact"/>
                    <w:jc w:val="left"/>
                    <w:jc w:val="center"/>
                  </w:pPr>
                  <w:r>
                    <w:t xml:space="preserve">1.072/150</w:t>
                  </w:r>
                </w:p>
              </w:tc>
              <w:tc>
                <w:tcPr/>
                <w:p>
                  <w:pPr>
                    <w:pStyle w:val="Compact"/>
                    <w:jc w:val="left"/>
                    <w:jc w:val="center"/>
                  </w:pPr>
                  <w:r>
                    <w:t xml:space="preserve">32,0 meses</w:t>
                  </w:r>
                </w:p>
              </w:tc>
            </w:tr>
            <w:tr>
              <w:tc>
                <w:tcPr/>
                <w:p>
                  <w:pPr>
                    <w:pStyle w:val="Compact"/>
                    <w:jc w:val="left"/>
                    <w:jc w:val="center"/>
                  </w:pPr>
                  <w:r>
                    <w:t xml:space="preserve">METABRIC</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Illumina</w:t>
                  </w:r>
                  <w:r>
                    <w:t xml:space="preserve">; DSS</w:t>
                  </w:r>
                </w:p>
              </w:tc>
              <w:tc>
                <w:tcPr/>
                <w:p>
                  <w:pPr>
                    <w:pStyle w:val="Compact"/>
                    <w:jc w:val="left"/>
                    <w:jc w:val="center"/>
                  </w:pPr>
                  <w:r>
                    <w:t xml:space="preserve">1.978/646</w:t>
                  </w:r>
                </w:p>
              </w:tc>
              <w:tc>
                <w:tcPr/>
                <w:p>
                  <w:pPr>
                    <w:pStyle w:val="Compact"/>
                    <w:jc w:val="left"/>
                    <w:jc w:val="center"/>
                  </w:pPr>
                  <w:r>
                    <w:t xml:space="preserve">159,0 meses</w:t>
                  </w:r>
                </w:p>
              </w:tc>
            </w:tr>
            <w:tr>
              <w:tc>
                <w:tcPr/>
                <w:p>
                  <w:pPr>
                    <w:pStyle w:val="Compact"/>
                    <w:jc w:val="left"/>
                    <w:jc w:val="center"/>
                  </w:pPr>
                  <w:r>
                    <w:t xml:space="preserve">GSE20685</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327/83</w:t>
                  </w:r>
                </w:p>
              </w:tc>
              <w:tc>
                <w:tcPr/>
                <w:p>
                  <w:pPr>
                    <w:pStyle w:val="Compact"/>
                    <w:jc w:val="left"/>
                    <w:jc w:val="center"/>
                  </w:pPr>
                  <w:r>
                    <w:t xml:space="preserve">112,8 meses</w:t>
                  </w:r>
                </w:p>
              </w:tc>
            </w:tr>
            <w:tr>
              <w:tc>
                <w:tcPr/>
                <w:p>
                  <w:pPr>
                    <w:pStyle w:val="Compact"/>
                    <w:jc w:val="left"/>
                    <w:jc w:val="center"/>
                  </w:pPr>
                  <w:r>
                    <w:t xml:space="preserve">GSE1456</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159/40</w:t>
                  </w:r>
                </w:p>
              </w:tc>
              <w:tc>
                <w:tcPr/>
                <w:p>
                  <w:pPr>
                    <w:pStyle w:val="Compact"/>
                    <w:jc w:val="left"/>
                    <w:jc w:val="center"/>
                  </w:pPr>
                  <w:r>
                    <w:t xml:space="preserve">91,0 meses</w:t>
                  </w:r>
                </w:p>
              </w:tc>
            </w:tr>
          </w:tbl>
          <w:bookmarkEnd w:id="58"/>
          <w:p/>
        </w:tc>
      </w:tr>
    </w:tbl>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tbl>
      <w:tblPr>
        <w:tblStyle w:val="Table"/>
        <w:tblW w:type="pct" w:w="5000"/>
        <w:tblLayout w:type="fixed"/>
        <w:tblLook w:firstRow="0" w:lastRow="0" w:firstColumn="0" w:lastColumn="0" w:noHBand="0" w:noVBand="0" w:val="0000"/>
      </w:tblPr>
      <w:tblGrid>
        <w:gridCol w:w="7920"/>
      </w:tblGrid>
      <w:tr>
        <w:tc>
          <w:tcPr/>
          <w:bookmarkStart w:id="59" w:name="tbl-cohorts-pcr"/>
          <w:p>
            <w:pPr>
              <w:jc w:val="center"/>
            </w:pPr>
            <w:pPr>
              <w:jc w:val="left"/>
              <w:spacing w:before="200"/>
              <w:pStyle w:val="ImageCaption"/>
            </w:pPr>
            <w:r>
              <w:t xml:space="preserve">Tabela 2— Características das coortes neoadjuvantes (pCR)</w:t>
            </w:r>
          </w:p>
          <w:tbl>
            <w:tblPr>
              <w:tblStyle w:val="Table"/>
              <w:tblW w:type="pct" w:w="5000"/>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left"/>
                    <w:jc w:val="center"/>
                  </w:pPr>
                  <w:r>
                    <w:t xml:space="preserve">N/pCR</w:t>
                  </w:r>
                </w:p>
              </w:tc>
              <w:tc>
                <w:tcPr/>
                <w:p>
                  <w:pPr>
                    <w:pStyle w:val="Compact"/>
                    <w:jc w:val="left"/>
                    <w:jc w:val="center"/>
                  </w:pPr>
                  <w:r>
                    <w:t xml:space="preserve">Papel</w:t>
                  </w:r>
                </w:p>
              </w:tc>
            </w:tr>
            <w:tr>
              <w:tc>
                <w:tcPr/>
                <w:p>
                  <w:pPr>
                    <w:pStyle w:val="Compact"/>
                    <w:jc w:val="left"/>
                    <w:jc w:val="center"/>
                  </w:pPr>
                  <w:r>
                    <w:t xml:space="preserve">GSE25066</w:t>
                  </w:r>
                </w:p>
              </w:tc>
              <w:tc>
                <w:tcPr/>
                <w:p>
                  <w:pPr>
                    <w:pStyle w:val="Compact"/>
                    <w:jc w:val="left"/>
                    <w:jc w:val="center"/>
                  </w:pPr>
                  <w:r>
                    <w:t xml:space="preserve">HGU133A</w:t>
                  </w:r>
                </w:p>
              </w:tc>
              <w:tc>
                <w:tcPr/>
                <w:p>
                  <w:pPr>
                    <w:pStyle w:val="Compact"/>
                    <w:jc w:val="left"/>
                    <w:jc w:val="center"/>
                  </w:pPr>
                  <w:r>
                    <w:t xml:space="preserve">182/42 (23,1%)</w:t>
                  </w:r>
                </w:p>
              </w:tc>
              <w:tc>
                <w:tcPr/>
                <w:p>
                  <w:pPr>
                    <w:pStyle w:val="Compact"/>
                    <w:jc w:val="left"/>
                    <w:jc w:val="center"/>
                  </w:pPr>
                  <w:r>
                    <w:t xml:space="preserve">Primária</w:t>
                  </w:r>
                </w:p>
              </w:tc>
            </w:tr>
            <w:tr>
              <w:tc>
                <w:tcPr/>
                <w:p>
                  <w:pPr>
                    <w:pStyle w:val="Compact"/>
                    <w:jc w:val="left"/>
                    <w:jc w:val="center"/>
                  </w:pPr>
                  <w:r>
                    <w:t xml:space="preserve">GSE20194</w:t>
                  </w:r>
                </w:p>
              </w:tc>
              <w:tc>
                <w:tcPr/>
                <w:p>
                  <w:pPr>
                    <w:pStyle w:val="Compact"/>
                    <w:jc w:val="left"/>
                    <w:jc w:val="center"/>
                  </w:pPr>
                  <w:r>
                    <w:t xml:space="preserve">HGU133Plus2</w:t>
                  </w:r>
                </w:p>
              </w:tc>
              <w:tc>
                <w:tcPr/>
                <w:p>
                  <w:pPr>
                    <w:pStyle w:val="Compact"/>
                    <w:jc w:val="left"/>
                    <w:jc w:val="center"/>
                  </w:pPr>
                  <w:r>
                    <w:t xml:space="preserve">278/56 (20,1%)</w:t>
                  </w:r>
                </w:p>
              </w:tc>
              <w:tc>
                <w:tcPr/>
                <w:p>
                  <w:pPr>
                    <w:pStyle w:val="Compact"/>
                    <w:jc w:val="left"/>
                    <w:jc w:val="center"/>
                  </w:pPr>
                  <w:r>
                    <w:t xml:space="preserve">Primária</w:t>
                  </w:r>
                </w:p>
              </w:tc>
            </w:tr>
            <w:tr>
              <w:tc>
                <w:tcPr/>
                <w:p>
                  <w:pPr>
                    <w:pStyle w:val="Compact"/>
                    <w:jc w:val="left"/>
                    <w:jc w:val="center"/>
                  </w:pPr>
                  <w:r>
                    <w:t xml:space="preserve">GSE32646</w:t>
                  </w:r>
                </w:p>
              </w:tc>
              <w:tc>
                <w:tcPr/>
                <w:p>
                  <w:pPr>
                    <w:pStyle w:val="Compact"/>
                    <w:jc w:val="left"/>
                    <w:jc w:val="center"/>
                  </w:pPr>
                  <w:r>
                    <w:t xml:space="preserve">HGU133Plus2</w:t>
                  </w:r>
                </w:p>
              </w:tc>
              <w:tc>
                <w:tcPr/>
                <w:p>
                  <w:pPr>
                    <w:pStyle w:val="Compact"/>
                    <w:jc w:val="left"/>
                    <w:jc w:val="center"/>
                  </w:pPr>
                  <w:r>
                    <w:t xml:space="preserve">115/27 (23,5%)</w:t>
                  </w:r>
                </w:p>
              </w:tc>
              <w:tc>
                <w:tcPr/>
                <w:p>
                  <w:pPr>
                    <w:pStyle w:val="Compact"/>
                    <w:jc w:val="left"/>
                    <w:jc w:val="center"/>
                  </w:pPr>
                  <w:r>
                    <w:t xml:space="preserve">Primária</w:t>
                  </w:r>
                </w:p>
              </w:tc>
            </w:tr>
            <w:tr>
              <w:tc>
                <w:tcPr/>
                <w:p>
                  <w:pPr>
                    <w:pStyle w:val="Compact"/>
                    <w:jc w:val="left"/>
                    <w:jc w:val="center"/>
                  </w:pPr>
                  <w:r>
                    <w:t xml:space="preserve">I-SPY1</w:t>
                  </w:r>
                </w:p>
              </w:tc>
              <w:tc>
                <w:tcPr/>
                <w:p>
                  <w:pPr>
                    <w:pStyle w:val="Compact"/>
                    <w:jc w:val="left"/>
                    <w:jc w:val="center"/>
                  </w:pPr>
                  <w:r>
                    <w:rPr>
                      <w:i/>
                      <w:iCs/>
                    </w:rPr>
                    <w:t xml:space="preserve">Agilent</w:t>
                  </w:r>
                  <w:r>
                    <w:t xml:space="preserve"> </w:t>
                  </w:r>
                  <w:r>
                    <w:t xml:space="preserve">44K</w:t>
                  </w:r>
                </w:p>
              </w:tc>
              <w:tc>
                <w:tcPr/>
                <w:p>
                  <w:pPr>
                    <w:pStyle w:val="Compact"/>
                    <w:jc w:val="left"/>
                    <w:jc w:val="center"/>
                  </w:pPr>
                  <w:r>
                    <w:t xml:space="preserve">122/32 (26,2%)</w:t>
                  </w:r>
                </w:p>
              </w:tc>
              <w:tc>
                <w:tcPr/>
                <w:p>
                  <w:pPr>
                    <w:pStyle w:val="Compact"/>
                    <w:jc w:val="left"/>
                    <w:jc w:val="center"/>
                  </w:pPr>
                  <w:r>
                    <w:t xml:space="preserve">Primária</w:t>
                  </w:r>
                </w:p>
              </w:tc>
            </w:tr>
            <w:tr>
              <w:tc>
                <w:tcPr/>
                <w:p>
                  <w:pPr>
                    <w:pStyle w:val="Compact"/>
                    <w:jc w:val="left"/>
                    <w:jc w:val="center"/>
                  </w:pPr>
                  <w:r>
                    <w:t xml:space="preserve">I-SPY2</w:t>
                  </w:r>
                </w:p>
              </w:tc>
              <w:tc>
                <w:tcPr/>
                <w:p>
                  <w:pPr>
                    <w:pStyle w:val="Compact"/>
                    <w:jc w:val="left"/>
                    <w:jc w:val="center"/>
                  </w:pPr>
                  <w:r>
                    <w:rPr>
                      <w:i/>
                      <w:iCs/>
                    </w:rPr>
                    <w:t xml:space="preserve">RNA-seq</w:t>
                  </w:r>
                </w:p>
              </w:tc>
              <w:tc>
                <w:tcPr/>
                <w:p>
                  <w:pPr>
                    <w:pStyle w:val="Compact"/>
                    <w:jc w:val="left"/>
                    <w:jc w:val="center"/>
                  </w:pPr>
                  <w:r>
                    <w:t xml:space="preserve">986/319 (32,4%)</w:t>
                  </w:r>
                </w:p>
              </w:tc>
              <w:tc>
                <w:tcPr/>
                <w:p>
                  <w:pPr>
                    <w:pStyle w:val="Compact"/>
                    <w:jc w:val="left"/>
                    <w:jc w:val="center"/>
                  </w:pPr>
                  <w:r>
                    <w:t xml:space="preserve">Exploratória</w:t>
                  </w:r>
                </w:p>
              </w:tc>
            </w:tr>
          </w:tbl>
          <w:bookmarkEnd w:id="59"/>
          <w:p/>
        </w:tc>
      </w:tr>
    </w:tbl>
    <w:tbl>
      <w:tblPr>
        <w:tblStyle w:val="Table"/>
        <w:tblW w:type="pct" w:w="5000"/>
        <w:tblLayout w:type="fixed"/>
        <w:tblLook w:firstRow="0" w:lastRow="0" w:firstColumn="0" w:lastColumn="0" w:noHBand="0" w:noVBand="0" w:val="0000"/>
      </w:tblPr>
      <w:tblGrid>
        <w:gridCol w:w="7920"/>
      </w:tblGrid>
      <w:tr>
        <w:tc>
          <w:tcPr/>
          <w:bookmarkStart w:id="63" w:name="fig-fluxograma-coortes"/>
          <w:p>
            <w:pPr>
              <w:pStyle w:val="Compact"/>
              <w:jc w:val="center"/>
            </w:pPr>
            <w:r>
              <w:drawing>
                <wp:inline>
                  <wp:extent cx="5687999" cy="4800288"/>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687999" cy="4800288"/>
                          </a:xfrm>
                          <a:prstGeom prst="rect">
                            <a:avLst/>
                          </a:prstGeom>
                          <a:noFill/>
                          <a:ln w="9525">
                            <a:noFill/>
                            <a:headEnd/>
                            <a:tailEnd/>
                          </a:ln>
                        </pic:spPr>
                      </pic:pic>
                    </a:graphicData>
                  </a:graphic>
                </wp:inline>
              </w:drawing>
            </w:r>
          </w:p>
          <w:p>
            <w:pPr>
              <w:jc w:val="center"/>
            </w:pPr>
            <w:pPr>
              <w:jc w:val="left"/>
              <w:spacing w:before="200"/>
              <w:pStyle w:val="ImageCaption"/>
            </w:pPr>
            <w:r>
              <w:t xml:space="preserve">Figura 4—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tc>
      </w:tr>
    </w:tbl>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tbl>
      <w:tblPr>
        <w:tblStyle w:val="Table"/>
        <w:tblW w:type="pct" w:w="5000"/>
        <w:tblLayout w:type="fixed"/>
        <w:tblLook w:firstRow="0" w:lastRow="0" w:firstColumn="0" w:lastColumn="0" w:noHBand="0" w:noVBand="0" w:val="0000"/>
      </w:tblPr>
      <w:tblGrid>
        <w:gridCol w:w="7920"/>
      </w:tblGrid>
      <w:tr>
        <w:tc>
          <w:tcPr/>
          <w:bookmarkStart w:id="65" w:name="tbl-freeze"/>
          <w:p>
            <w:pPr>
              <w:jc w:val="center"/>
            </w:pPr>
            <w:pPr>
              <w:jc w:val="left"/>
              <w:spacing w:before="200"/>
              <w:pStyle w:val="ImageCaption"/>
            </w:pPr>
            <w:r>
              <w:t xml:space="preserve">Tabela 3— Parâmetros analíticos congelados antes da análise</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jc w:val="center"/>
                  </w:pPr>
                  <w:r>
                    <w:t xml:space="preserve">Parâmetro</w:t>
                  </w:r>
                </w:p>
              </w:tc>
              <w:tc>
                <w:tcPr/>
                <w:p>
                  <w:pPr>
                    <w:pStyle w:val="Compact"/>
                    <w:jc w:val="center"/>
                  </w:pPr>
                  <w:r>
                    <w:t xml:space="preserve">Valor</w:t>
                  </w:r>
                </w:p>
              </w:tc>
              <w:tc>
                <w:tcPr/>
                <w:p>
                  <w:pPr>
                    <w:pStyle w:val="Compact"/>
                    <w:jc w:val="center"/>
                  </w:pPr>
                  <w:r>
                    <w:t xml:space="preserve">Justificativa</w:t>
                  </w:r>
                </w:p>
              </w:tc>
            </w:tr>
            <w:tr>
              <w:tc>
                <w:tcPr/>
                <w:p>
                  <w:pPr>
                    <w:pStyle w:val="Compact"/>
                    <w:jc w:val="center"/>
                  </w:pPr>
                  <w:r>
                    <w:t xml:space="preserve">Margem de não inferioridade (Delta-</w:t>
                  </w:r>
                  <w:r>
                    <w:rPr>
                      <w:i/>
                      <w:iCs/>
                    </w:rPr>
                    <w:t xml:space="preserve">C-index</w:t>
                  </w:r>
                  <w:r>
                    <w:t xml:space="preserve">)</w:t>
                  </w:r>
                </w:p>
              </w:tc>
              <w:tc>
                <w:tcPr/>
                <w:p>
                  <w:pPr>
                    <w:pStyle w:val="Compact"/>
                    <w:jc w:val="center"/>
                  </w:pPr>
                  <w:r>
                    <w:t xml:space="preserve">0,010</w:t>
                  </w:r>
                </w:p>
              </w:tc>
              <w:tc>
                <w:tcPr/>
                <w:p>
                  <w:pPr>
                    <w:pStyle w:val="Compact"/>
                    <w:jc w:val="center"/>
                  </w:pPr>
                  <w:r>
                    <w:t xml:space="preserve">&lt; 1/2 EP do</w:t>
                  </w:r>
                  <w:r>
                    <w:t xml:space="preserve"> </w:t>
                  </w:r>
                  <w:r>
                    <w:rPr>
                      <w:i/>
                      <w:iCs/>
                    </w:rPr>
                    <w:t xml:space="preserve">C-index</w:t>
                  </w:r>
                  <w:r>
                    <w:t xml:space="preserve"> </w:t>
                  </w:r>
                  <w:r>
                    <w:t xml:space="preserve">OOF</w:t>
                  </w:r>
                </w:p>
              </w:tc>
            </w:tr>
            <w:tr>
              <w:tc>
                <w:tcPr/>
                <w:p>
                  <w:pPr>
                    <w:pStyle w:val="Compact"/>
                    <w:jc w:val="center"/>
                  </w:pPr>
                  <w:r>
                    <w:t xml:space="preserve">Parâmetro de mistura</w:t>
                  </w:r>
                  <w:r>
                    <w:t xml:space="preserve"> </w:t>
                  </w:r>
                  <w:r>
                    <w:rPr>
                      <w:i/>
                      <w:iCs/>
                    </w:rPr>
                    <w:t xml:space="preserve">elastic-net</w:t>
                  </w:r>
                  <w:r>
                    <w:t xml:space="preserve"> </w:t>
                  </w:r>
                  <w:r>
                    <w:t xml:space="preserve">(alpha)</w:t>
                  </w:r>
                </w:p>
              </w:tc>
              <w:tc>
                <w:tcPr/>
                <w:p>
                  <w:pPr>
                    <w:pStyle w:val="Compact"/>
                    <w:jc w:val="center"/>
                  </w:pPr>
                  <w:r>
                    <w:t xml:space="preserve">0,5</w:t>
                  </w:r>
                </w:p>
              </w:tc>
              <w:tc>
                <w:tcPr/>
                <w:p>
                  <w:pPr>
                    <w:pStyle w:val="Compact"/>
                    <w:jc w:val="center"/>
                  </w:pPr>
                  <w:r>
                    <w:t xml:space="preserve">Balanço entre esparsidade (L1) e estabilidade de grupo (L2)</w:t>
                  </w:r>
                </w:p>
              </w:tc>
            </w:tr>
            <w:tr>
              <w:tc>
                <w:tcPr/>
                <w:p>
                  <w:pPr>
                    <w:pStyle w:val="Compact"/>
                    <w:jc w:val="center"/>
                  </w:pPr>
                  <w:r>
                    <w:t xml:space="preserve">Folds de validação cruzada (K)</w:t>
                  </w:r>
                </w:p>
              </w:tc>
              <w:tc>
                <w:tcPr/>
                <w:p>
                  <w:pPr>
                    <w:pStyle w:val="Compact"/>
                    <w:jc w:val="center"/>
                  </w:pPr>
                  <w:r>
                    <w:t xml:space="preserve">10</w:t>
                  </w:r>
                </w:p>
              </w:tc>
              <w:tc>
                <w:tcPr/>
                <w:p>
                  <w:pPr>
                    <w:pStyle w:val="Compact"/>
                    <w:jc w:val="center"/>
                  </w:pPr>
                  <w:r>
                    <w:t xml:space="preserve">Padrão da literatura</w:t>
                  </w:r>
                </w:p>
              </w:tc>
            </w:tr>
            <w:tr>
              <w:tc>
                <w:tcPr/>
                <w:p>
                  <w:pPr>
                    <w:pStyle w:val="Compact"/>
                    <w:jc w:val="center"/>
                  </w:pPr>
                  <w:r>
                    <w:t xml:space="preserve">Atribuição de</w:t>
                  </w:r>
                  <w:r>
                    <w:t xml:space="preserve"> </w:t>
                  </w:r>
                  <w:r>
                    <w:rPr>
                      <w:i/>
                      <w:iCs/>
                    </w:rPr>
                    <w:t xml:space="preserve">folds</w:t>
                  </w:r>
                </w:p>
              </w:tc>
              <w:tc>
                <w:tcPr/>
                <w:p>
                  <w:pPr>
                    <w:pStyle w:val="Compact"/>
                    <w:jc w:val="center"/>
                  </w:pPr>
                  <w:r>
                    <w:t xml:space="preserve">Determinística: SHA-256 do ID do paciente</w:t>
                  </w:r>
                </w:p>
              </w:tc>
              <w:tc>
                <w:tcPr/>
                <w:p>
                  <w:pPr>
                    <w:pStyle w:val="Compact"/>
                    <w:jc w:val="center"/>
                  </w:pPr>
                  <w:r>
                    <w:t xml:space="preserve">Reprodutibilidade exata</w:t>
                  </w:r>
                </w:p>
              </w:tc>
            </w:tr>
            <w:tr>
              <w:tc>
                <w:tcPr/>
                <w:p>
                  <w:pPr>
                    <w:pStyle w:val="Compact"/>
                    <w:jc w:val="center"/>
                  </w:pPr>
                  <w:r>
                    <w:t xml:space="preserve">Estratificação de</w:t>
                  </w:r>
                  <w:r>
                    <w:t xml:space="preserve"> </w:t>
                  </w:r>
                  <w:r>
                    <w:rPr>
                      <w:i/>
                      <w:iCs/>
                    </w:rPr>
                    <w:t xml:space="preserve">folds</w:t>
                  </w:r>
                </w:p>
              </w:tc>
              <w:tc>
                <w:tcPr/>
                <w:p>
                  <w:pPr>
                    <w:pStyle w:val="Compact"/>
                    <w:jc w:val="center"/>
                  </w:pPr>
                  <w:r>
                    <w:t xml:space="preserve">Por status de evento</w:t>
                  </w:r>
                </w:p>
              </w:tc>
              <w:tc>
                <w:tcPr/>
                <w:p>
                  <w:pPr>
                    <w:pStyle w:val="Compact"/>
                    <w:jc w:val="center"/>
                  </w:pPr>
                  <w:r>
                    <w:t xml:space="preserve">Representatividade de eventos</w:t>
                  </w:r>
                </w:p>
              </w:tc>
            </w:tr>
            <w:tr>
              <w:tc>
                <w:tcPr/>
                <w:p>
                  <w:pPr>
                    <w:pStyle w:val="Compact"/>
                    <w:jc w:val="center"/>
                  </w:pPr>
                  <w:r>
                    <w:t xml:space="preserve">Cobertura mínima de genes</w:t>
                  </w:r>
                </w:p>
              </w:tc>
              <w:tc>
                <w:tcPr/>
                <w:p>
                  <w:pPr>
                    <w:pStyle w:val="Compact"/>
                    <w:jc w:val="center"/>
                  </w:pPr>
                  <w:r>
                    <w:t xml:space="preserve">80% dos 24 genes CorePAM</w:t>
                  </w:r>
                </w:p>
              </w:tc>
              <w:tc>
                <w:tcPr/>
                <w:p>
                  <w:pPr>
                    <w:pStyle w:val="Compact"/>
                    <w:jc w:val="center"/>
                  </w:pPr>
                  <w:r>
                    <w:t xml:space="preserve">Equilíbrio inclusividade/integridade</w:t>
                  </w:r>
                </w:p>
              </w:tc>
            </w:tr>
            <w:tr>
              <w:tc>
                <w:tcPr/>
                <w:p>
                  <w:pPr>
                    <w:pStyle w:val="Compact"/>
                    <w:jc w:val="center"/>
                  </w:pPr>
                  <w:r>
                    <w:t xml:space="preserve">Número de genes</w:t>
                  </w:r>
                </w:p>
              </w:tc>
              <w:tc>
                <w:tcPr/>
                <w:p>
                  <w:pPr>
                    <w:pStyle w:val="Compact"/>
                    <w:jc w:val="center"/>
                  </w:pPr>
                  <w:r>
                    <w:rPr>
                      <w:b/>
                      <w:bCs/>
                    </w:rPr>
                    <w:t xml:space="preserve">Não pré-especificado</w:t>
                  </w:r>
                </w:p>
              </w:tc>
              <w:tc>
                <w:tcPr/>
                <w:p>
                  <w:pPr>
                    <w:pStyle w:val="Compact"/>
                    <w:jc w:val="center"/>
                  </w:pPr>
                  <w:r>
                    <w:t xml:space="preserve">Resultado da análise, não parâmetro</w:t>
                  </w:r>
                </w:p>
              </w:tc>
            </w:tr>
          </w:tbl>
          <w:bookmarkEnd w:id="65"/>
          <w:p/>
        </w:tc>
      </w:tr>
    </w:tbl>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tbl>
      <w:tblPr>
        <w:tblStyle w:val="Table"/>
        <w:tblW w:type="pct" w:w="5000"/>
        <w:tblLayout w:type="fixed"/>
        <w:tblLook w:firstRow="0" w:lastRow="0" w:firstColumn="0" w:lastColumn="0" w:noHBand="0" w:noVBand="0" w:val="0000"/>
      </w:tblPr>
      <w:tblGrid>
        <w:gridCol w:w="7920"/>
      </w:tblGrid>
      <w:tr>
        <w:tc>
          <w:tcPr/>
          <w:bookmarkStart w:id="71" w:name="tbl-gene-coverage"/>
          <w:p>
            <w:pPr>
              <w:jc w:val="center"/>
            </w:pPr>
            <w:pPr>
              <w:jc w:val="left"/>
              <w:spacing w:before="200"/>
              <w:pStyle w:val="ImageCaption"/>
            </w:pPr>
            <w:r>
              <w:t xml:space="preserve">Tabela 4— Cobertura de genes CorePAM por coorte de validação</w:t>
            </w:r>
          </w:p>
          <w:tbl>
            <w:tblPr>
              <w:tblStyle w:val="Table"/>
              <w:tblW w:type="pct" w:w="5000"/>
              <w:tblLayout w:type="fixed"/>
              <w:tblLook w:firstRow="1" w:lastRow="0" w:firstColumn="0" w:lastColumn="0" w:noHBand="0" w:noVBand="0" w:val="0020"/>
            </w:tblPr>
            <w:tblGrid>
              <w:gridCol w:w="1425"/>
              <w:gridCol w:w="2376"/>
              <w:gridCol w:w="871"/>
              <w:gridCol w:w="1108"/>
              <w:gridCol w:w="2138"/>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center"/>
                    <w:jc w:val="center"/>
                  </w:pPr>
                  <w:r>
                    <w:t xml:space="preserve">Genes</w:t>
                  </w:r>
                </w:p>
              </w:tc>
              <w:tc>
                <w:tcPr/>
                <w:p>
                  <w:pPr>
                    <w:pStyle w:val="Compact"/>
                    <w:jc w:val="center"/>
                    <w:jc w:val="center"/>
                  </w:pPr>
                  <w:r>
                    <w:t xml:space="preserve">Cobertura</w:t>
                  </w:r>
                </w:p>
              </w:tc>
              <w:tc>
                <w:tcPr/>
                <w:p>
                  <w:pPr>
                    <w:pStyle w:val="Compact"/>
                    <w:jc w:val="left"/>
                    <w:jc w:val="center"/>
                  </w:pPr>
                  <w:r>
                    <w:t xml:space="preserve">Ausentes</w:t>
                  </w:r>
                </w:p>
              </w:tc>
            </w:tr>
            <w:tr>
              <w:tc>
                <w:tcPr/>
                <w:p>
                  <w:pPr>
                    <w:pStyle w:val="Compact"/>
                    <w:jc w:val="left"/>
                    <w:jc w:val="center"/>
                  </w:pPr>
                  <w:r>
                    <w:t xml:space="preserve">SCAN-B</w:t>
                  </w:r>
                </w:p>
              </w:tc>
              <w:tc>
                <w:tcPr/>
                <w:p>
                  <w:pPr>
                    <w:pStyle w:val="Compact"/>
                    <w:jc w:val="left"/>
                    <w:jc w:val="center"/>
                  </w:pPr>
                  <w:r>
                    <w:t xml:space="preserve">RNA-seq Illumina</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TCGA-BRCA</w:t>
                  </w:r>
                </w:p>
              </w:tc>
              <w:tc>
                <w:tcPr/>
                <w:p>
                  <w:pPr>
                    <w:pStyle w:val="Compact"/>
                    <w:jc w:val="left"/>
                    <w:jc w:val="center"/>
                  </w:pPr>
                  <w:r>
                    <w:t xml:space="preserve">RNA-seq STAR/GDC</w:t>
                  </w:r>
                </w:p>
              </w:tc>
              <w:tc>
                <w:tcPr/>
                <w:p>
                  <w:pPr>
                    <w:pStyle w:val="Compact"/>
                    <w:jc w:val="center"/>
                    <w:jc w:val="center"/>
                  </w:pPr>
                  <w:r>
                    <w:t xml:space="preserve">23/24</w:t>
                  </w:r>
                </w:p>
              </w:tc>
              <w:tc>
                <w:tcPr/>
                <w:p>
                  <w:pPr>
                    <w:pStyle w:val="Compact"/>
                    <w:jc w:val="center"/>
                    <w:jc w:val="center"/>
                  </w:pPr>
                  <w:r>
                    <w:t xml:space="preserve">95,8%</w:t>
                  </w:r>
                </w:p>
              </w:tc>
              <w:tc>
                <w:tcPr/>
                <w:p>
                  <w:pPr>
                    <w:pStyle w:val="Compact"/>
                    <w:jc w:val="left"/>
                    <w:jc w:val="center"/>
                  </w:pPr>
                  <w:r>
                    <w:t xml:space="preserve">MIA</w:t>
                  </w:r>
                </w:p>
              </w:tc>
            </w:tr>
            <w:tr>
              <w:tc>
                <w:tcPr/>
                <w:p>
                  <w:pPr>
                    <w:pStyle w:val="Compact"/>
                    <w:jc w:val="left"/>
                    <w:jc w:val="center"/>
                  </w:pPr>
                  <w:r>
                    <w:t xml:space="preserve">METABRIC</w:t>
                  </w:r>
                </w:p>
              </w:tc>
              <w:tc>
                <w:tcPr/>
                <w:p>
                  <w:pPr>
                    <w:pStyle w:val="Compact"/>
                    <w:jc w:val="left"/>
                    <w:jc w:val="center"/>
                  </w:pPr>
                  <w:r>
                    <w:t xml:space="preserve">Illumina HT-12</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GSE20685</w:t>
                  </w:r>
                </w:p>
              </w:tc>
              <w:tc>
                <w:tcPr/>
                <w:p>
                  <w:pPr>
                    <w:pStyle w:val="Compact"/>
                    <w:jc w:val="left"/>
                    <w:jc w:val="center"/>
                  </w:pPr>
                  <w:r>
                    <w:t xml:space="preserve">Affymetrix HG-U133+</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GSE1456</w:t>
                  </w:r>
                </w:p>
              </w:tc>
              <w:tc>
                <w:tcPr/>
                <w:p>
                  <w:pPr>
                    <w:pStyle w:val="Compact"/>
                    <w:jc w:val="left"/>
                    <w:jc w:val="center"/>
                  </w:pPr>
                  <w:r>
                    <w:t xml:space="preserve">Affymetrix HGU133A</w:t>
                  </w:r>
                </w:p>
              </w:tc>
              <w:tc>
                <w:tcPr/>
                <w:p>
                  <w:pPr>
                    <w:pStyle w:val="Compact"/>
                    <w:jc w:val="center"/>
                    <w:jc w:val="center"/>
                  </w:pPr>
                  <w:r>
                    <w:t xml:space="preserve">21/24</w:t>
                  </w:r>
                </w:p>
              </w:tc>
              <w:tc>
                <w:tcPr/>
                <w:p>
                  <w:pPr>
                    <w:pStyle w:val="Compact"/>
                    <w:jc w:val="center"/>
                    <w:jc w:val="center"/>
                  </w:pPr>
                  <w:r>
                    <w:t xml:space="preserve">87,5%</w:t>
                  </w:r>
                </w:p>
              </w:tc>
              <w:tc>
                <w:tcPr/>
                <w:p>
                  <w:pPr>
                    <w:pStyle w:val="Compact"/>
                    <w:jc w:val="left"/>
                    <w:jc w:val="center"/>
                  </w:pPr>
                  <w:r>
                    <w:t xml:space="preserve">GPR160; CXXC5; KRT17</w:t>
                  </w:r>
                </w:p>
              </w:tc>
            </w:tr>
          </w:tbl>
          <w:bookmarkEnd w:id="71"/>
          <w:p/>
        </w:tc>
      </w:tr>
    </w:tbl>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4</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2"/>
    <w:bookmarkEnd w:id="73"/>
    <w:bookmarkStart w:id="82" w:name="derivação-do-corepam"/>
    <w:p>
      <w:pPr>
        <w:pStyle w:val="Heading2"/>
      </w:pPr>
      <w:r>
        <w:t xml:space="preserve">3.5 Derivação do CorePAM</w:t>
      </w:r>
    </w:p>
    <w:tbl>
      <w:tblPr>
        <w:tblStyle w:val="Table"/>
        <w:tblW w:type="pct" w:w="5000"/>
        <w:tblLayout w:type="fixed"/>
        <w:tblLook w:firstRow="0" w:lastRow="0" w:firstColumn="0" w:lastColumn="0" w:noHBand="0" w:noVBand="0" w:val="0000"/>
      </w:tblPr>
      <w:tblGrid>
        <w:gridCol w:w="7920"/>
      </w:tblGrid>
      <w:tr>
        <w:tc>
          <w:tcPr/>
          <w:bookmarkStart w:id="77" w:name="fig-derivacao"/>
          <w:p>
            <w:pPr>
              <w:pStyle w:val="Compact"/>
              <w:jc w:val="center"/>
            </w:pPr>
            <w:r>
              <w:drawing>
                <wp:inline>
                  <wp:extent cx="5687999" cy="5191048"/>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687999" cy="519104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tc>
      </w:tr>
    </w:tbl>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0"/>
    <w:bookmarkStart w:id="81"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86"/>
    <w:bookmarkStart w:id="87"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89"/>
    <w:bookmarkStart w:id="90"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0"/>
    <w:bookmarkStart w:id="91"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1"/>
    <w:bookmarkEnd w:id="92"/>
    <w:bookmarkStart w:id="93"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e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4"/>
    <w:bookmarkEnd w:id="95"/>
    <w:bookmarkStart w:id="209" w:name="resultados"/>
    <w:p>
      <w:pPr>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tbl>
      <w:tblPr>
        <w:tblStyle w:val="Table"/>
        <w:tblW w:type="pct" w:w="5000"/>
        <w:tblLayout w:type="fixed"/>
        <w:tblLook w:firstRow="0" w:lastRow="0" w:firstColumn="0" w:lastColumn="0" w:noHBand="0" w:noVBand="0" w:val="0000"/>
      </w:tblPr>
      <w:tblGrid>
        <w:gridCol w:w="7920"/>
      </w:tblGrid>
      <w:tr>
        <w:tc>
          <w:tcPr/>
          <w:bookmarkStart w:id="99" w:name="fig-pareto"/>
          <w:p>
            <w:pPr>
              <w:pStyle w:val="Compact"/>
              <w:jc w:val="center"/>
            </w:pPr>
            <w:r>
              <w:drawing>
                <wp:inline>
                  <wp:extent cx="5687999" cy="3554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6—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99"/>
        </w:tc>
      </w:tr>
    </w:tbl>
    <w:p>
      <w:r>
        <w:br w:type="page"/>
      </w:r>
    </w:p>
    <w:tbl>
      <w:tblPr>
        <w:tblStyle w:val="Table"/>
        <w:tblW w:type="pct" w:w="5000"/>
        <w:tblLayout w:type="fixed"/>
        <w:tblLook w:firstRow="0" w:lastRow="0" w:firstColumn="0" w:lastColumn="0" w:noHBand="0" w:noVBand="0" w:val="0000"/>
      </w:tblPr>
      <w:tblGrid>
        <w:gridCol w:w="7920"/>
      </w:tblGrid>
      <w:tr>
        <w:tc>
          <w:tcPr/>
          <w:bookmarkStart w:id="100" w:name="tbl-genes"/>
          <w:p>
            <w:pPr>
              <w:jc w:val="center"/>
            </w:pPr>
            <w:pPr>
              <w:jc w:val="left"/>
              <w:spacing w:before="200"/>
              <w:pStyle w:val="ImageCaption"/>
            </w:pPr>
            <w:r>
              <w:t xml:space="preserve">Tabela 5— Lista completa dos 24 genes CorePAM com pesos</w:t>
            </w:r>
            <w:r>
              <w:t xml:space="preserve"> </w:t>
            </w:r>
            <w:r>
              <w:rPr>
                <w:i/>
                <w:iCs/>
              </w:rPr>
              <w:t xml:space="preserve">elastic-net</w:t>
            </w:r>
          </w:p>
          <w:tbl>
            <w:tblPr>
              <w:tblStyle w:val="Table"/>
              <w:tblW w:type="pct" w:w="5000"/>
              <w:tblLayout w:type="fixed"/>
              <w:tblLook w:firstRow="1" w:lastRow="0" w:firstColumn="0" w:lastColumn="0" w:noHBand="0" w:noVBand="0" w:val="0020"/>
            </w:tblPr>
            <w:tblGrid>
              <w:gridCol w:w="833"/>
              <w:gridCol w:w="833"/>
              <w:gridCol w:w="1667"/>
              <w:gridCol w:w="1250"/>
              <w:gridCol w:w="3334"/>
            </w:tblGrid>
            <w:tr>
              <w:trPr>
                <w:tblHeader w:val="on"/>
              </w:trPr>
              <w:tc>
                <w:tcPr/>
                <w:p>
                  <w:pPr>
                    <w:pStyle w:val="Compact"/>
                    <w:jc w:val="center"/>
                  </w:pPr>
                  <w:r>
                    <w:t xml:space="preserve">Rank</w:t>
                  </w:r>
                </w:p>
              </w:tc>
              <w:tc>
                <w:tcPr/>
                <w:p>
                  <w:pPr>
                    <w:pStyle w:val="Compact"/>
                    <w:jc w:val="center"/>
                  </w:pPr>
                  <w:r>
                    <w:t xml:space="preserve">Gene</w:t>
                  </w:r>
                </w:p>
              </w:tc>
              <w:tc>
                <w:tcPr/>
                <w:p>
                  <w:pPr>
                    <w:pStyle w:val="Compact"/>
                    <w:jc w:val="center"/>
                  </w:pPr>
                  <w:r>
                    <w:t xml:space="preserve">Peso (w</w:t>
                  </w:r>
                  <w:r>
                    <w:rPr>
                      <w:vertAlign w:val="subscript"/>
                    </w:rPr>
                    <w:t xml:space="preserve">i</w:t>
                  </w:r>
                  <w:r>
                    <w:t xml:space="preserve">)</w:t>
                  </w:r>
                </w:p>
              </w:tc>
              <w:tc>
                <w:tcPr/>
                <w:p>
                  <w:pPr>
                    <w:pStyle w:val="Compact"/>
                    <w:jc w:val="center"/>
                  </w:pPr>
                  <w:r>
                    <w:t xml:space="preserve">Direção</w:t>
                  </w:r>
                </w:p>
              </w:tc>
              <w:tc>
                <w:tcPr/>
                <w:p>
                  <w:pPr>
                    <w:pStyle w:val="Compact"/>
                    <w:jc w:val="center"/>
                  </w:pPr>
                  <w:r>
                    <w:t xml:space="preserve">Via biológica principal</w:t>
                  </w:r>
                </w:p>
              </w:tc>
            </w:tr>
            <w:tr>
              <w:tc>
                <w:tcPr/>
                <w:p>
                  <w:pPr>
                    <w:pStyle w:val="Compact"/>
                    <w:jc w:val="center"/>
                  </w:pPr>
                  <w:r>
                    <w:t xml:space="preserve">1</w:t>
                  </w:r>
                </w:p>
              </w:tc>
              <w:tc>
                <w:tcPr/>
                <w:p>
                  <w:pPr>
                    <w:pStyle w:val="Compact"/>
                    <w:jc w:val="center"/>
                  </w:pPr>
                  <w:r>
                    <w:t xml:space="preserve">EXO1</w:t>
                  </w:r>
                </w:p>
              </w:tc>
              <w:tc>
                <w:tcPr/>
                <w:p>
                  <w:pPr>
                    <w:pStyle w:val="Compact"/>
                    <w:jc w:val="center"/>
                  </w:pPr>
                  <w:r>
                    <w:t xml:space="preserve">+0,2174</w:t>
                  </w:r>
                </w:p>
              </w:tc>
              <w:tc>
                <w:tcPr/>
                <w:p>
                  <w:pPr>
                    <w:pStyle w:val="Compact"/>
                    <w:jc w:val="center"/>
                  </w:pPr>
                  <w:r>
                    <w:t xml:space="preserve">Risco (+)</w:t>
                  </w:r>
                </w:p>
              </w:tc>
              <w:tc>
                <w:tcPr/>
                <w:p>
                  <w:pPr>
                    <w:pStyle w:val="Compact"/>
                    <w:jc w:val="center"/>
                  </w:pPr>
                  <w:r>
                    <w:t xml:space="preserve">Proliferação / reparo de DNA</w:t>
                  </w:r>
                </w:p>
              </w:tc>
            </w:tr>
            <w:tr>
              <w:tc>
                <w:tcPr/>
                <w:p>
                  <w:pPr>
                    <w:pStyle w:val="Compact"/>
                    <w:jc w:val="center"/>
                  </w:pPr>
                  <w:r>
                    <w:t xml:space="preserve">2</w:t>
                  </w:r>
                </w:p>
              </w:tc>
              <w:tc>
                <w:tcPr/>
                <w:p>
                  <w:pPr>
                    <w:pStyle w:val="Compact"/>
                    <w:jc w:val="center"/>
                  </w:pPr>
                  <w:r>
                    <w:t xml:space="preserve">NAT1</w:t>
                  </w:r>
                </w:p>
              </w:tc>
              <w:tc>
                <w:tcPr/>
                <w:p>
                  <w:pPr>
                    <w:pStyle w:val="Compact"/>
                    <w:jc w:val="center"/>
                  </w:pPr>
                  <w:r>
                    <w:t xml:space="preserve">-0,2052</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3</w:t>
                  </w:r>
                </w:p>
              </w:tc>
              <w:tc>
                <w:tcPr/>
                <w:p>
                  <w:pPr>
                    <w:pStyle w:val="Compact"/>
                    <w:jc w:val="center"/>
                  </w:pPr>
                  <w:r>
                    <w:t xml:space="preserve">BLVRA</w:t>
                  </w:r>
                </w:p>
              </w:tc>
              <w:tc>
                <w:tcPr/>
                <w:p>
                  <w:pPr>
                    <w:pStyle w:val="Compact"/>
                    <w:jc w:val="center"/>
                  </w:pPr>
                  <w:r>
                    <w:t xml:space="preserve">-0,1848</w:t>
                  </w:r>
                </w:p>
              </w:tc>
              <w:tc>
                <w:tcPr/>
                <w:p>
                  <w:pPr>
                    <w:pStyle w:val="Compact"/>
                    <w:jc w:val="center"/>
                  </w:pPr>
                  <w:r>
                    <w:t xml:space="preserve">Protetor (-)</w:t>
                  </w:r>
                </w:p>
              </w:tc>
              <w:tc>
                <w:tcPr/>
                <w:p>
                  <w:pPr>
                    <w:pStyle w:val="Compact"/>
                    <w:jc w:val="center"/>
                  </w:pPr>
                  <w:r>
                    <w:t xml:space="preserve">Metabolismo / estresse oxidativo</w:t>
                  </w:r>
                </w:p>
              </w:tc>
            </w:tr>
            <w:tr>
              <w:tc>
                <w:tcPr/>
                <w:p>
                  <w:pPr>
                    <w:pStyle w:val="Compact"/>
                    <w:jc w:val="center"/>
                  </w:pPr>
                  <w:r>
                    <w:t xml:space="preserve">4</w:t>
                  </w:r>
                </w:p>
              </w:tc>
              <w:tc>
                <w:tcPr/>
                <w:p>
                  <w:pPr>
                    <w:pStyle w:val="Compact"/>
                    <w:jc w:val="center"/>
                  </w:pPr>
                  <w:r>
                    <w:t xml:space="preserve">ACTR3B</w:t>
                  </w:r>
                </w:p>
              </w:tc>
              <w:tc>
                <w:tcPr/>
                <w:p>
                  <w:pPr>
                    <w:pStyle w:val="Compact"/>
                    <w:jc w:val="center"/>
                  </w:pPr>
                  <w:r>
                    <w:t xml:space="preserve">-0,1405</w:t>
                  </w:r>
                </w:p>
              </w:tc>
              <w:tc>
                <w:tcPr/>
                <w:p>
                  <w:pPr>
                    <w:pStyle w:val="Compact"/>
                    <w:jc w:val="center"/>
                  </w:pPr>
                  <w:r>
                    <w:t xml:space="preserve">Protetor (-)</w:t>
                  </w:r>
                </w:p>
              </w:tc>
              <w:tc>
                <w:tcPr/>
                <w:p>
                  <w:pPr>
                    <w:pStyle w:val="Compact"/>
                    <w:jc w:val="center"/>
                  </w:pPr>
                  <w:r>
                    <w:t xml:space="preserve">Citoesqueleto / motilidade celular</w:t>
                  </w:r>
                </w:p>
              </w:tc>
            </w:tr>
            <w:tr>
              <w:tc>
                <w:tcPr/>
                <w:p>
                  <w:pPr>
                    <w:pStyle w:val="Compact"/>
                    <w:jc w:val="center"/>
                  </w:pPr>
                  <w:r>
                    <w:t xml:space="preserve">5</w:t>
                  </w:r>
                </w:p>
              </w:tc>
              <w:tc>
                <w:tcPr/>
                <w:p>
                  <w:pPr>
                    <w:pStyle w:val="Compact"/>
                    <w:jc w:val="center"/>
                  </w:pPr>
                  <w:r>
                    <w:t xml:space="preserve">MIA</w:t>
                  </w:r>
                </w:p>
              </w:tc>
              <w:tc>
                <w:tcPr/>
                <w:p>
                  <w:pPr>
                    <w:pStyle w:val="Compact"/>
                    <w:jc w:val="center"/>
                  </w:pPr>
                  <w:r>
                    <w:t xml:space="preserve">-0,1193</w:t>
                  </w:r>
                </w:p>
              </w:tc>
              <w:tc>
                <w:tcPr/>
                <w:p>
                  <w:pPr>
                    <w:pStyle w:val="Compact"/>
                    <w:jc w:val="center"/>
                  </w:pPr>
                  <w:r>
                    <w:t xml:space="preserve">Protetor (-)</w:t>
                  </w:r>
                </w:p>
              </w:tc>
              <w:tc>
                <w:tcPr/>
                <w:p>
                  <w:pPr>
                    <w:pStyle w:val="Compact"/>
                    <w:jc w:val="center"/>
                  </w:pPr>
                  <w:r>
                    <w:t xml:space="preserve">Marcador</w:t>
                  </w:r>
                  <w:r>
                    <w:t xml:space="preserve"> </w:t>
                  </w:r>
                  <w:r>
                    <w:rPr>
                      <w:i/>
                      <w:iCs/>
                    </w:rPr>
                    <w:t xml:space="preserve">HER2-enriched</w:t>
                  </w:r>
                </w:p>
              </w:tc>
            </w:tr>
            <w:tr>
              <w:tc>
                <w:tcPr/>
                <w:p>
                  <w:pPr>
                    <w:pStyle w:val="Compact"/>
                    <w:jc w:val="center"/>
                  </w:pPr>
                  <w:r>
                    <w:t xml:space="preserve">6</w:t>
                  </w:r>
                </w:p>
              </w:tc>
              <w:tc>
                <w:tcPr/>
                <w:p>
                  <w:pPr>
                    <w:pStyle w:val="Compact"/>
                    <w:jc w:val="center"/>
                  </w:pPr>
                  <w:r>
                    <w:t xml:space="preserve">MYBL2</w:t>
                  </w:r>
                </w:p>
              </w:tc>
              <w:tc>
                <w:tcPr/>
                <w:p>
                  <w:pPr>
                    <w:pStyle w:val="Compact"/>
                    <w:jc w:val="center"/>
                  </w:pPr>
                  <w:r>
                    <w:t xml:space="preserve">-0,1183</w:t>
                  </w:r>
                </w:p>
              </w:tc>
              <w:tc>
                <w:tcPr/>
                <w:p>
                  <w:pPr>
                    <w:pStyle w:val="Compact"/>
                    <w:jc w:val="center"/>
                  </w:pPr>
                  <w:r>
                    <w:t xml:space="preserve">Protetor (-)</w:t>
                  </w:r>
                </w:p>
              </w:tc>
              <w:tc>
                <w:tcPr/>
                <w:p>
                  <w:pPr>
                    <w:pStyle w:val="Compact"/>
                    <w:jc w:val="center"/>
                  </w:pPr>
                  <w:r>
                    <w:t xml:space="preserve">Proliferação / ciclo celular</w:t>
                  </w:r>
                </w:p>
              </w:tc>
            </w:tr>
            <w:tr>
              <w:tc>
                <w:tcPr/>
                <w:p>
                  <w:pPr>
                    <w:pStyle w:val="Compact"/>
                    <w:jc w:val="center"/>
                  </w:pPr>
                  <w:r>
                    <w:t xml:space="preserve">7</w:t>
                  </w:r>
                </w:p>
              </w:tc>
              <w:tc>
                <w:tcPr/>
                <w:p>
                  <w:pPr>
                    <w:pStyle w:val="Compact"/>
                    <w:jc w:val="center"/>
                  </w:pPr>
                  <w:r>
                    <w:t xml:space="preserve">PTTG1</w:t>
                  </w:r>
                </w:p>
              </w:tc>
              <w:tc>
                <w:tcPr/>
                <w:p>
                  <w:pPr>
                    <w:pStyle w:val="Compact"/>
                    <w:jc w:val="center"/>
                  </w:pPr>
                  <w:r>
                    <w:t xml:space="preserve">+0,1140</w:t>
                  </w:r>
                </w:p>
              </w:tc>
              <w:tc>
                <w:tcPr/>
                <w:p>
                  <w:pPr>
                    <w:pStyle w:val="Compact"/>
                    <w:jc w:val="center"/>
                  </w:pPr>
                  <w:r>
                    <w:t xml:space="preserve">Risco (+)</w:t>
                  </w:r>
                </w:p>
              </w:tc>
              <w:tc>
                <w:tcPr/>
                <w:p>
                  <w:pPr>
                    <w:pStyle w:val="Compact"/>
                    <w:jc w:val="center"/>
                  </w:pPr>
                  <w:r>
                    <w:t xml:space="preserve">Proliferação / instabilidade cromossômica</w:t>
                  </w:r>
                </w:p>
              </w:tc>
            </w:tr>
            <w:tr>
              <w:tc>
                <w:tcPr/>
                <w:p>
                  <w:pPr>
                    <w:pStyle w:val="Compact"/>
                    <w:jc w:val="center"/>
                  </w:pPr>
                  <w:r>
                    <w:t xml:space="preserve">8</w:t>
                  </w:r>
                </w:p>
              </w:tc>
              <w:tc>
                <w:tcPr/>
                <w:p>
                  <w:pPr>
                    <w:pStyle w:val="Compact"/>
                    <w:jc w:val="center"/>
                  </w:pPr>
                  <w:r>
                    <w:t xml:space="preserve">MDM2</w:t>
                  </w:r>
                </w:p>
              </w:tc>
              <w:tc>
                <w:tcPr/>
                <w:p>
                  <w:pPr>
                    <w:pStyle w:val="Compact"/>
                    <w:jc w:val="center"/>
                  </w:pPr>
                  <w:r>
                    <w:t xml:space="preserve">-0,1074</w:t>
                  </w:r>
                </w:p>
              </w:tc>
              <w:tc>
                <w:tcPr/>
                <w:p>
                  <w:pPr>
                    <w:pStyle w:val="Compact"/>
                    <w:jc w:val="center"/>
                  </w:pPr>
                  <w:r>
                    <w:t xml:space="preserve">Protetor (-)</w:t>
                  </w:r>
                </w:p>
              </w:tc>
              <w:tc>
                <w:tcPr/>
                <w:p>
                  <w:pPr>
                    <w:pStyle w:val="Compact"/>
                    <w:jc w:val="center"/>
                  </w:pPr>
                  <w:r>
                    <w:t xml:space="preserve">Regulação de p53</w:t>
                  </w:r>
                </w:p>
              </w:tc>
            </w:tr>
            <w:tr>
              <w:tc>
                <w:tcPr/>
                <w:p>
                  <w:pPr>
                    <w:pStyle w:val="Compact"/>
                    <w:jc w:val="center"/>
                  </w:pPr>
                  <w:r>
                    <w:t xml:space="preserve">9</w:t>
                  </w:r>
                </w:p>
              </w:tc>
              <w:tc>
                <w:tcPr/>
                <w:p>
                  <w:pPr>
                    <w:pStyle w:val="Compact"/>
                    <w:jc w:val="center"/>
                  </w:pPr>
                  <w:r>
                    <w:t xml:space="preserve">SFRP1</w:t>
                  </w:r>
                </w:p>
              </w:tc>
              <w:tc>
                <w:tcPr/>
                <w:p>
                  <w:pPr>
                    <w:pStyle w:val="Compact"/>
                    <w:jc w:val="center"/>
                  </w:pPr>
                  <w:r>
                    <w:t xml:space="preserve">-0,0907</w:t>
                  </w:r>
                </w:p>
              </w:tc>
              <w:tc>
                <w:tcPr/>
                <w:p>
                  <w:pPr>
                    <w:pStyle w:val="Compact"/>
                    <w:jc w:val="center"/>
                  </w:pPr>
                  <w:r>
                    <w:t xml:space="preserve">Protetor (-)</w:t>
                  </w:r>
                </w:p>
              </w:tc>
              <w:tc>
                <w:tcPr/>
                <w:p>
                  <w:pPr>
                    <w:pStyle w:val="Compact"/>
                    <w:jc w:val="center"/>
                  </w:pPr>
                  <w:r>
                    <w:t xml:space="preserve">Via Wnt / supressor tumoral</w:t>
                  </w:r>
                </w:p>
              </w:tc>
            </w:tr>
            <w:tr>
              <w:tc>
                <w:tcPr/>
                <w:p>
                  <w:pPr>
                    <w:pStyle w:val="Compact"/>
                    <w:jc w:val="center"/>
                  </w:pPr>
                  <w:r>
                    <w:t xml:space="preserve">10</w:t>
                  </w:r>
                </w:p>
              </w:tc>
              <w:tc>
                <w:tcPr/>
                <w:p>
                  <w:pPr>
                    <w:pStyle w:val="Compact"/>
                    <w:jc w:val="center"/>
                  </w:pPr>
                  <w:r>
                    <w:t xml:space="preserve">GPR160</w:t>
                  </w:r>
                </w:p>
              </w:tc>
              <w:tc>
                <w:tcPr/>
                <w:p>
                  <w:pPr>
                    <w:pStyle w:val="Compact"/>
                    <w:jc w:val="center"/>
                  </w:pPr>
                  <w:r>
                    <w:t xml:space="preserve">-0,0841</w:t>
                  </w:r>
                </w:p>
              </w:tc>
              <w:tc>
                <w:tcPr/>
                <w:p>
                  <w:pPr>
                    <w:pStyle w:val="Compact"/>
                    <w:jc w:val="center"/>
                  </w:pPr>
                  <w:r>
                    <w:t xml:space="preserve">Protetor (-)</w:t>
                  </w:r>
                </w:p>
              </w:tc>
              <w:tc>
                <w:tcPr/>
                <w:p>
                  <w:pPr>
                    <w:pStyle w:val="Compact"/>
                    <w:jc w:val="center"/>
                  </w:pPr>
                  <w:r>
                    <w:t xml:space="preserve">Receptor acoplado a proteina G</w:t>
                  </w:r>
                </w:p>
              </w:tc>
            </w:tr>
            <w:tr>
              <w:tc>
                <w:tcPr/>
                <w:p>
                  <w:pPr>
                    <w:pStyle w:val="Compact"/>
                    <w:jc w:val="center"/>
                  </w:pPr>
                  <w:r>
                    <w:t xml:space="preserve">11</w:t>
                  </w:r>
                </w:p>
              </w:tc>
              <w:tc>
                <w:tcPr/>
                <w:p>
                  <w:pPr>
                    <w:pStyle w:val="Compact"/>
                    <w:jc w:val="center"/>
                  </w:pPr>
                  <w:r>
                    <w:t xml:space="preserve">FOXC1</w:t>
                  </w:r>
                </w:p>
              </w:tc>
              <w:tc>
                <w:tcPr/>
                <w:p>
                  <w:pPr>
                    <w:pStyle w:val="Compact"/>
                    <w:jc w:val="center"/>
                  </w:pPr>
                  <w:r>
                    <w:t xml:space="preserve">+0,0717</w:t>
                  </w:r>
                </w:p>
              </w:tc>
              <w:tc>
                <w:tcPr/>
                <w:p>
                  <w:pPr>
                    <w:pStyle w:val="Compact"/>
                    <w:jc w:val="center"/>
                  </w:pPr>
                  <w:r>
                    <w:t xml:space="preserve">Risco (+)</w:t>
                  </w:r>
                </w:p>
              </w:tc>
              <w:tc>
                <w:tcPr/>
                <w:p>
                  <w:pPr>
                    <w:pStyle w:val="Compact"/>
                    <w:jc w:val="center"/>
                  </w:pPr>
                  <w:r>
                    <w:t xml:space="preserve">Fenótipo basal</w:t>
                  </w:r>
                </w:p>
              </w:tc>
            </w:tr>
            <w:tr>
              <w:tc>
                <w:tcPr/>
                <w:p>
                  <w:pPr>
                    <w:pStyle w:val="Compact"/>
                    <w:jc w:val="center"/>
                  </w:pPr>
                  <w:r>
                    <w:t xml:space="preserve">12</w:t>
                  </w:r>
                </w:p>
              </w:tc>
              <w:tc>
                <w:tcPr/>
                <w:p>
                  <w:pPr>
                    <w:pStyle w:val="Compact"/>
                    <w:jc w:val="center"/>
                  </w:pPr>
                  <w:r>
                    <w:t xml:space="preserve">PHGDH</w:t>
                  </w:r>
                </w:p>
              </w:tc>
              <w:tc>
                <w:tcPr/>
                <w:p>
                  <w:pPr>
                    <w:pStyle w:val="Compact"/>
                    <w:jc w:val="center"/>
                  </w:pPr>
                  <w:r>
                    <w:t xml:space="preserve">+0,0620</w:t>
                  </w:r>
                </w:p>
              </w:tc>
              <w:tc>
                <w:tcPr/>
                <w:p>
                  <w:pPr>
                    <w:pStyle w:val="Compact"/>
                    <w:jc w:val="center"/>
                  </w:pPr>
                  <w:r>
                    <w:t xml:space="preserve">Risco (+)</w:t>
                  </w:r>
                </w:p>
              </w:tc>
              <w:tc>
                <w:tcPr/>
                <w:p>
                  <w:pPr>
                    <w:pStyle w:val="Compact"/>
                    <w:jc w:val="center"/>
                  </w:pPr>
                  <w:r>
                    <w:t xml:space="preserve">Metabolismo de serina</w:t>
                  </w:r>
                </w:p>
              </w:tc>
            </w:tr>
            <w:tr>
              <w:tc>
                <w:tcPr/>
                <w:p>
                  <w:pPr>
                    <w:pStyle w:val="Compact"/>
                    <w:jc w:val="center"/>
                  </w:pPr>
                  <w:r>
                    <w:t xml:space="preserve">13</w:t>
                  </w:r>
                </w:p>
              </w:tc>
              <w:tc>
                <w:tcPr/>
                <w:p>
                  <w:pPr>
                    <w:pStyle w:val="Compact"/>
                    <w:jc w:val="center"/>
                  </w:pPr>
                  <w:r>
                    <w:t xml:space="preserve">MYC</w:t>
                  </w:r>
                </w:p>
              </w:tc>
              <w:tc>
                <w:tcPr/>
                <w:p>
                  <w:pPr>
                    <w:pStyle w:val="Compact"/>
                    <w:jc w:val="center"/>
                  </w:pPr>
                  <w:r>
                    <w:t xml:space="preserve">-0,0424</w:t>
                  </w:r>
                </w:p>
              </w:tc>
              <w:tc>
                <w:tcPr/>
                <w:p>
                  <w:pPr>
                    <w:pStyle w:val="Compact"/>
                    <w:jc w:val="center"/>
                  </w:pPr>
                  <w:r>
                    <w:t xml:space="preserve">Protetor (-)</w:t>
                  </w:r>
                </w:p>
              </w:tc>
              <w:tc>
                <w:tcPr/>
                <w:p>
                  <w:pPr>
                    <w:pStyle w:val="Compact"/>
                    <w:jc w:val="center"/>
                  </w:pPr>
                  <w:r>
                    <w:t xml:space="preserve">Proliferação / oncogene</w:t>
                  </w:r>
                </w:p>
              </w:tc>
            </w:tr>
            <w:tr>
              <w:tc>
                <w:tcPr/>
                <w:p>
                  <w:pPr>
                    <w:pStyle w:val="Compact"/>
                    <w:jc w:val="center"/>
                  </w:pPr>
                  <w:r>
                    <w:t xml:space="preserve">14</w:t>
                  </w:r>
                </w:p>
              </w:tc>
              <w:tc>
                <w:tcPr/>
                <w:p>
                  <w:pPr>
                    <w:pStyle w:val="Compact"/>
                    <w:jc w:val="center"/>
                  </w:pPr>
                  <w:r>
                    <w:t xml:space="preserve">ESR1</w:t>
                  </w:r>
                </w:p>
              </w:tc>
              <w:tc>
                <w:tcPr/>
                <w:p>
                  <w:pPr>
                    <w:pStyle w:val="Compact"/>
                    <w:jc w:val="center"/>
                  </w:pPr>
                  <w:r>
                    <w:t xml:space="preserve">+0,0396</w:t>
                  </w:r>
                </w:p>
              </w:tc>
              <w:tc>
                <w:tcPr/>
                <w:p>
                  <w:pPr>
                    <w:pStyle w:val="Compact"/>
                    <w:jc w:val="center"/>
                  </w:pPr>
                  <w:r>
                    <w:t xml:space="preserve">Risco (+)</w:t>
                  </w:r>
                </w:p>
              </w:tc>
              <w:tc>
                <w:tcPr/>
                <w:p>
                  <w:pPr>
                    <w:pStyle w:val="Compact"/>
                    <w:jc w:val="center"/>
                  </w:pPr>
                  <w:r>
                    <w:t xml:space="preserve">Receptor de estrogênio</w:t>
                  </w:r>
                </w:p>
              </w:tc>
            </w:tr>
            <w:tr>
              <w:tc>
                <w:tcPr/>
                <w:p>
                  <w:pPr>
                    <w:pStyle w:val="Compact"/>
                    <w:jc w:val="center"/>
                  </w:pPr>
                  <w:r>
                    <w:t xml:space="preserve">15</w:t>
                  </w:r>
                </w:p>
              </w:tc>
              <w:tc>
                <w:tcPr/>
                <w:p>
                  <w:pPr>
                    <w:pStyle w:val="Compact"/>
                    <w:jc w:val="center"/>
                  </w:pPr>
                  <w:r>
                    <w:t xml:space="preserve">KRT5</w:t>
                  </w:r>
                </w:p>
              </w:tc>
              <w:tc>
                <w:tcPr/>
                <w:p>
                  <w:pPr>
                    <w:pStyle w:val="Compact"/>
                    <w:jc w:val="center"/>
                  </w:pPr>
                  <w:r>
                    <w:t xml:space="preserve">-0,0277</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16</w:t>
                  </w:r>
                </w:p>
              </w:tc>
              <w:tc>
                <w:tcPr/>
                <w:p>
                  <w:pPr>
                    <w:pStyle w:val="Compact"/>
                    <w:jc w:val="center"/>
                  </w:pPr>
                  <w:r>
                    <w:t xml:space="preserve">CXXC5</w:t>
                  </w:r>
                </w:p>
              </w:tc>
              <w:tc>
                <w:tcPr/>
                <w:p>
                  <w:pPr>
                    <w:pStyle w:val="Compact"/>
                    <w:jc w:val="center"/>
                  </w:pPr>
                  <w:r>
                    <w:t xml:space="preserve">+0,0266</w:t>
                  </w:r>
                </w:p>
              </w:tc>
              <w:tc>
                <w:tcPr/>
                <w:p>
                  <w:pPr>
                    <w:pStyle w:val="Compact"/>
                    <w:jc w:val="center"/>
                  </w:pPr>
                  <w:r>
                    <w:t xml:space="preserve">Risco (+)</w:t>
                  </w:r>
                </w:p>
              </w:tc>
              <w:tc>
                <w:tcPr/>
                <w:p>
                  <w:pPr>
                    <w:pStyle w:val="Compact"/>
                    <w:jc w:val="center"/>
                  </w:pPr>
                  <w:r>
                    <w:t xml:space="preserve">Regulação epigenética</w:t>
                  </w:r>
                </w:p>
              </w:tc>
            </w:tr>
            <w:tr>
              <w:tc>
                <w:tcPr/>
                <w:p>
                  <w:pPr>
                    <w:pStyle w:val="Compact"/>
                    <w:jc w:val="center"/>
                  </w:pPr>
                  <w:r>
                    <w:t xml:space="preserve">17</w:t>
                  </w:r>
                </w:p>
              </w:tc>
              <w:tc>
                <w:tcPr/>
                <w:p>
                  <w:pPr>
                    <w:pStyle w:val="Compact"/>
                    <w:jc w:val="center"/>
                  </w:pPr>
                  <w:r>
                    <w:t xml:space="preserve">PGR</w:t>
                  </w:r>
                </w:p>
              </w:tc>
              <w:tc>
                <w:tcPr/>
                <w:p>
                  <w:pPr>
                    <w:pStyle w:val="Compact"/>
                    <w:jc w:val="center"/>
                  </w:pPr>
                  <w:r>
                    <w:t xml:space="preserve">-0,0262</w:t>
                  </w:r>
                </w:p>
              </w:tc>
              <w:tc>
                <w:tcPr/>
                <w:p>
                  <w:pPr>
                    <w:pStyle w:val="Compact"/>
                    <w:jc w:val="center"/>
                  </w:pPr>
                  <w:r>
                    <w:t xml:space="preserve">Protetor (-)</w:t>
                  </w:r>
                </w:p>
              </w:tc>
              <w:tc>
                <w:tcPr/>
                <w:p>
                  <w:pPr>
                    <w:pStyle w:val="Compact"/>
                    <w:jc w:val="center"/>
                  </w:pPr>
                  <w:r>
                    <w:t xml:space="preserve">Receptor de progesterona</w:t>
                  </w:r>
                </w:p>
              </w:tc>
            </w:tr>
            <w:tr>
              <w:tc>
                <w:tcPr/>
                <w:p>
                  <w:pPr>
                    <w:pStyle w:val="Compact"/>
                    <w:jc w:val="center"/>
                  </w:pPr>
                  <w:r>
                    <w:t xml:space="preserve">18</w:t>
                  </w:r>
                </w:p>
              </w:tc>
              <w:tc>
                <w:tcPr/>
                <w:p>
                  <w:pPr>
                    <w:pStyle w:val="Compact"/>
                    <w:jc w:val="center"/>
                  </w:pPr>
                  <w:r>
                    <w:t xml:space="preserve">KRT17</w:t>
                  </w:r>
                </w:p>
              </w:tc>
              <w:tc>
                <w:tcPr/>
                <w:p>
                  <w:pPr>
                    <w:pStyle w:val="Compact"/>
                    <w:jc w:val="center"/>
                  </w:pPr>
                  <w:r>
                    <w:t xml:space="preserve">-0,0163</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19</w:t>
                  </w:r>
                </w:p>
              </w:tc>
              <w:tc>
                <w:tcPr/>
                <w:p>
                  <w:pPr>
                    <w:pStyle w:val="Compact"/>
                    <w:jc w:val="center"/>
                  </w:pPr>
                  <w:r>
                    <w:t xml:space="preserve">CENPF</w:t>
                  </w:r>
                </w:p>
              </w:tc>
              <w:tc>
                <w:tcPr/>
                <w:p>
                  <w:pPr>
                    <w:pStyle w:val="Compact"/>
                    <w:jc w:val="center"/>
                  </w:pPr>
                  <w:r>
                    <w:t xml:space="preserve">+0,0150</w:t>
                  </w:r>
                </w:p>
              </w:tc>
              <w:tc>
                <w:tcPr/>
                <w:p>
                  <w:pPr>
                    <w:pStyle w:val="Compact"/>
                    <w:jc w:val="center"/>
                  </w:pPr>
                  <w:r>
                    <w:t xml:space="preserve">Risco (+)</w:t>
                  </w:r>
                </w:p>
              </w:tc>
              <w:tc>
                <w:tcPr/>
                <w:p>
                  <w:pPr>
                    <w:pStyle w:val="Compact"/>
                    <w:jc w:val="center"/>
                  </w:pPr>
                  <w:r>
                    <w:t xml:space="preserve">Proliferação / centrometro</w:t>
                  </w:r>
                </w:p>
              </w:tc>
            </w:tr>
            <w:tr>
              <w:tc>
                <w:tcPr/>
                <w:p>
                  <w:pPr>
                    <w:pStyle w:val="Compact"/>
                    <w:jc w:val="center"/>
                  </w:pPr>
                  <w:r>
                    <w:t xml:space="preserve">20</w:t>
                  </w:r>
                </w:p>
              </w:tc>
              <w:tc>
                <w:tcPr/>
                <w:p>
                  <w:pPr>
                    <w:pStyle w:val="Compact"/>
                    <w:jc w:val="center"/>
                  </w:pPr>
                  <w:r>
                    <w:t xml:space="preserve">FGFR4</w:t>
                  </w:r>
                </w:p>
              </w:tc>
              <w:tc>
                <w:tcPr/>
                <w:p>
                  <w:pPr>
                    <w:pStyle w:val="Compact"/>
                    <w:jc w:val="center"/>
                  </w:pPr>
                  <w:r>
                    <w:t xml:space="preserve">+0,0110</w:t>
                  </w:r>
                </w:p>
              </w:tc>
              <w:tc>
                <w:tcPr/>
                <w:p>
                  <w:pPr>
                    <w:pStyle w:val="Compact"/>
                    <w:jc w:val="center"/>
                  </w:pPr>
                  <w:r>
                    <w:t xml:space="preserve">Risco (+)</w:t>
                  </w:r>
                </w:p>
              </w:tc>
              <w:tc>
                <w:tcPr/>
                <w:p>
                  <w:pPr>
                    <w:pStyle w:val="Compact"/>
                    <w:jc w:val="center"/>
                  </w:pPr>
                  <w:r>
                    <w:t xml:space="preserve">Receptor de FGF</w:t>
                  </w:r>
                </w:p>
              </w:tc>
            </w:tr>
            <w:tr>
              <w:tc>
                <w:tcPr/>
                <w:p>
                  <w:pPr>
                    <w:pStyle w:val="Compact"/>
                    <w:jc w:val="center"/>
                  </w:pPr>
                  <w:r>
                    <w:t xml:space="preserve">21</w:t>
                  </w:r>
                </w:p>
              </w:tc>
              <w:tc>
                <w:tcPr/>
                <w:p>
                  <w:pPr>
                    <w:pStyle w:val="Compact"/>
                    <w:jc w:val="center"/>
                  </w:pPr>
                  <w:r>
                    <w:t xml:space="preserve">BCL2</w:t>
                  </w:r>
                </w:p>
              </w:tc>
              <w:tc>
                <w:tcPr/>
                <w:p>
                  <w:pPr>
                    <w:pStyle w:val="Compact"/>
                    <w:jc w:val="center"/>
                  </w:pPr>
                  <w:r>
                    <w:t xml:space="preserve">-0,0105</w:t>
                  </w:r>
                </w:p>
              </w:tc>
              <w:tc>
                <w:tcPr/>
                <w:p>
                  <w:pPr>
                    <w:pStyle w:val="Compact"/>
                    <w:jc w:val="center"/>
                  </w:pPr>
                  <w:r>
                    <w:t xml:space="preserve">Protetor (-)</w:t>
                  </w:r>
                </w:p>
              </w:tc>
              <w:tc>
                <w:tcPr/>
                <w:p>
                  <w:pPr>
                    <w:pStyle w:val="Compact"/>
                    <w:jc w:val="center"/>
                  </w:pPr>
                  <w:r>
                    <w:t xml:space="preserve">Anti-apoptose / diferenciação luminal</w:t>
                  </w:r>
                </w:p>
              </w:tc>
            </w:tr>
            <w:tr>
              <w:tc>
                <w:tcPr/>
                <w:p>
                  <w:pPr>
                    <w:pStyle w:val="Compact"/>
                    <w:jc w:val="center"/>
                  </w:pPr>
                  <w:r>
                    <w:t xml:space="preserve">22</w:t>
                  </w:r>
                </w:p>
              </w:tc>
              <w:tc>
                <w:tcPr/>
                <w:p>
                  <w:pPr>
                    <w:pStyle w:val="Compact"/>
                    <w:jc w:val="center"/>
                  </w:pPr>
                  <w:r>
                    <w:t xml:space="preserve">MLPH</w:t>
                  </w:r>
                </w:p>
              </w:tc>
              <w:tc>
                <w:tcPr/>
                <w:p>
                  <w:pPr>
                    <w:pStyle w:val="Compact"/>
                    <w:jc w:val="center"/>
                  </w:pPr>
                  <w:r>
                    <w:t xml:space="preserve">-0,0099</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23</w:t>
                  </w:r>
                </w:p>
              </w:tc>
              <w:tc>
                <w:tcPr/>
                <w:p>
                  <w:pPr>
                    <w:pStyle w:val="Compact"/>
                    <w:jc w:val="center"/>
                  </w:pPr>
                  <w:r>
                    <w:t xml:space="preserve">ERBB2</w:t>
                  </w:r>
                </w:p>
              </w:tc>
              <w:tc>
                <w:tcPr/>
                <w:p>
                  <w:pPr>
                    <w:pStyle w:val="Compact"/>
                    <w:jc w:val="center"/>
                  </w:pPr>
                  <w:r>
                    <w:t xml:space="preserve">-0,0082</w:t>
                  </w:r>
                </w:p>
              </w:tc>
              <w:tc>
                <w:tcPr/>
                <w:p>
                  <w:pPr>
                    <w:pStyle w:val="Compact"/>
                    <w:jc w:val="center"/>
                  </w:pPr>
                  <w:r>
                    <w:t xml:space="preserve">Protetor (-)</w:t>
                  </w:r>
                </w:p>
              </w:tc>
              <w:tc>
                <w:tcPr/>
                <w:p>
                  <w:pPr>
                    <w:pStyle w:val="Compact"/>
                    <w:jc w:val="center"/>
                  </w:pPr>
                  <w:r>
                    <w:t xml:space="preserve">Receptor HER2</w:t>
                  </w:r>
                </w:p>
              </w:tc>
            </w:tr>
            <w:tr>
              <w:tc>
                <w:tcPr/>
                <w:p>
                  <w:pPr>
                    <w:pStyle w:val="Compact"/>
                    <w:jc w:val="center"/>
                  </w:pPr>
                  <w:r>
                    <w:t xml:space="preserve">24</w:t>
                  </w:r>
                </w:p>
              </w:tc>
              <w:tc>
                <w:tcPr/>
                <w:p>
                  <w:pPr>
                    <w:pStyle w:val="Compact"/>
                    <w:jc w:val="center"/>
                  </w:pPr>
                  <w:r>
                    <w:t xml:space="preserve">GRB7</w:t>
                  </w:r>
                </w:p>
              </w:tc>
              <w:tc>
                <w:tcPr/>
                <w:p>
                  <w:pPr>
                    <w:pStyle w:val="Compact"/>
                    <w:jc w:val="center"/>
                  </w:pPr>
                  <w:r>
                    <w:t xml:space="preserve">-0,0053</w:t>
                  </w:r>
                </w:p>
              </w:tc>
              <w:tc>
                <w:tcPr/>
                <w:p>
                  <w:pPr>
                    <w:pStyle w:val="Compact"/>
                    <w:jc w:val="center"/>
                  </w:pPr>
                  <w:r>
                    <w:t xml:space="preserve">Protetor (-)</w:t>
                  </w:r>
                </w:p>
              </w:tc>
              <w:tc>
                <w:tcPr/>
                <w:p>
                  <w:pPr>
                    <w:pStyle w:val="Compact"/>
                    <w:jc w:val="center"/>
                  </w:pPr>
                  <w:r>
                    <w:t xml:space="preserve">Transdução de sinal HER2</w:t>
                  </w:r>
                </w:p>
              </w:tc>
            </w:tr>
          </w:tbl>
          <w:bookmarkEnd w:id="100"/>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4" w:name="fig-weights"/>
          <w:p>
            <w:pPr>
              <w:pStyle w:val="Compact"/>
              <w:jc w:val="center"/>
            </w:pPr>
            <w:r>
              <w:drawing>
                <wp:inline>
                  <wp:extent cx="5687999" cy="4265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7—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tc>
      </w:tr>
    </w:tbl>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tbl>
      <w:tblPr>
        <w:tblStyle w:val="Table"/>
        <w:tblW w:type="pct" w:w="5000"/>
        <w:tblLayout w:type="fixed"/>
        <w:tblLook w:firstRow="0" w:lastRow="0" w:firstColumn="0" w:lastColumn="0" w:noHBand="0" w:noVBand="0" w:val="0000"/>
      </w:tblPr>
      <w:tblGrid>
        <w:gridCol w:w="7920"/>
      </w:tblGrid>
      <w:tr>
        <w:tc>
          <w:tcPr/>
          <w:bookmarkStart w:id="108" w:name="fig-bootstrap"/>
          <w:p>
            <w:pPr>
              <w:pStyle w:val="Compact"/>
              <w:jc w:val="center"/>
            </w:pPr>
            <w:r>
              <w:drawing>
                <wp:inline>
                  <wp:extent cx="5687999" cy="6694098"/>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687999" cy="6694098"/>
                          </a:xfrm>
                          <a:prstGeom prst="rect">
                            <a:avLst/>
                          </a:prstGeom>
                          <a:noFill/>
                          <a:ln w="9525">
                            <a:noFill/>
                            <a:headEnd/>
                            <a:tailEnd/>
                          </a:ln>
                        </pic:spPr>
                      </pic:pic>
                    </a:graphicData>
                  </a:graphic>
                </wp:inline>
              </w:drawing>
            </w:r>
          </w:p>
          <w:p>
            <w:pPr>
              <w:jc w:val="center"/>
            </w:pPr>
            <w:pPr>
              <w:jc w:val="left"/>
              <w:spacing w:before="200"/>
              <w:pStyle w:val="ImageCaption"/>
            </w:pPr>
            <w:r>
              <w:t xml:space="preserve">Figura 8—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tc>
      </w:tr>
    </w:tbl>
    <w:p>
      <w:r>
        <w:br w:type="page"/>
      </w:r>
    </w:p>
    <w:tbl>
      <w:tblPr>
        <w:tblStyle w:val="Table"/>
        <w:tblW w:type="pct" w:w="5000"/>
        <w:tblLayout w:type="fixed"/>
        <w:tblLook w:firstRow="0" w:lastRow="0" w:firstColumn="0" w:lastColumn="0" w:noHBand="0" w:noVBand="0" w:val="0000"/>
      </w:tblPr>
      <w:tblGrid>
        <w:gridCol w:w="7920"/>
      </w:tblGrid>
      <w:tr>
        <w:tc>
          <w:tcPr/>
          <w:bookmarkStart w:id="112" w:name="fig-dropgene"/>
          <w:p>
            <w:pPr>
              <w:pStyle w:val="Compact"/>
              <w:jc w:val="center"/>
            </w:pPr>
            <w:r>
              <w:drawing>
                <wp:inline>
                  <wp:extent cx="5687999" cy="5687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687999" cy="5687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9—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tc>
      </w:tr>
    </w:tbl>
    <w:p>
      <w:r>
        <w:br w:type="page"/>
      </w:r>
    </w:p>
    <w:bookmarkEnd w:id="113"/>
    <w:bookmarkStart w:id="135" w:name="validação-prognóstica-externa"/>
    <w:p>
      <w:pPr>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6</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tbl>
      <w:tblPr>
        <w:tblStyle w:val="Table"/>
        <w:tblW w:type="pct" w:w="5000"/>
        <w:tblLayout w:type="fixed"/>
        <w:tblLook w:firstRow="0" w:lastRow="0" w:firstColumn="0" w:lastColumn="0" w:noHBand="0" w:noVBand="0" w:val="0000"/>
      </w:tblPr>
      <w:tblGrid>
        <w:gridCol w:w="7920"/>
      </w:tblGrid>
      <w:tr>
        <w:tc>
          <w:tcPr/>
          <w:bookmarkStart w:id="114" w:name="tbl-survival-performance"/>
          <w:p>
            <w:pPr>
              <w:jc w:val="center"/>
            </w:pPr>
            <w:pPr>
              <w:jc w:val="left"/>
              <w:spacing w:before="200"/>
              <w:pStyle w:val="ImageCaption"/>
            </w:pPr>
            <w:r>
              <w:t xml:space="preserve">Tabela 6— Desempenho prognóstico do CorePAM por coorte. Linha SCAN-B é a coorte de treinamento; nas coortes externas, os pesos já estavam congelados.</w:t>
            </w:r>
            <w:r>
              <w:t xml:space="preserve"> </w:t>
            </w:r>
            <w:r>
              <w:rPr>
                <w:i/>
                <w:iCs/>
              </w:rPr>
              <w:t xml:space="preserve">C-index</w:t>
            </w:r>
            <w:r>
              <w:t xml:space="preserve"> </w:t>
            </w:r>
            <w:r>
              <w:t xml:space="preserve">OOF da derivação = 0,670. GSE1456 não tinha covariáveis clínicas suficientes para o ajuste CORE-A.</w:t>
            </w:r>
          </w:p>
          <w:tbl>
            <w:tblPr>
              <w:tblStyle w:val="Table"/>
              <w:tblW w:type="pct" w:w="5000"/>
              <w:tblLayout w:type="fixed"/>
              <w:tblLook w:firstRow="1" w:lastRow="0" w:firstColumn="0" w:lastColumn="0" w:noHBand="0" w:noVBand="0" w:val="0020"/>
            </w:tblPr>
            <w:tblGrid>
              <w:gridCol w:w="1900"/>
              <w:gridCol w:w="1108"/>
              <w:gridCol w:w="1900"/>
              <w:gridCol w:w="1504"/>
              <w:gridCol w:w="1504"/>
            </w:tblGrid>
            <w:tr>
              <w:trPr>
                <w:tblHeader w:val="on"/>
              </w:trPr>
              <w:tc>
                <w:tcPr/>
                <w:p>
                  <w:pPr>
                    <w:pStyle w:val="Compact"/>
                    <w:jc w:val="left"/>
                    <w:jc w:val="center"/>
                  </w:pPr>
                  <w:r>
                    <w:t xml:space="preserve">Coorte (desfecho)</w:t>
                  </w:r>
                </w:p>
              </w:tc>
              <w:tc>
                <w:tcPr/>
                <w:p>
                  <w:pPr>
                    <w:pStyle w:val="Compact"/>
                    <w:jc w:val="left"/>
                    <w:jc w:val="center"/>
                  </w:pPr>
                  <w:r>
                    <w:t xml:space="preserve">N/eventos</w:t>
                  </w:r>
                </w:p>
              </w:tc>
              <w:tc>
                <w:tcPr/>
                <w:p>
                  <w:pPr>
                    <w:pStyle w:val="Compact"/>
                    <w:jc w:val="left"/>
                    <w:jc w:val="center"/>
                  </w:pPr>
                  <w:r>
                    <w:t xml:space="preserve">HR bruto</w:t>
                  </w:r>
                </w:p>
              </w:tc>
              <w:tc>
                <w:tcPr/>
                <w:p>
                  <w:pPr>
                    <w:pStyle w:val="Compact"/>
                    <w:jc w:val="left"/>
                    <w:jc w:val="center"/>
                  </w:pPr>
                  <w:r>
                    <w:t xml:space="preserve">HR ajustado</w:t>
                  </w:r>
                </w:p>
              </w:tc>
              <w:tc>
                <w:tcPr/>
                <w:p>
                  <w:pPr>
                    <w:pStyle w:val="Compact"/>
                    <w:jc w:val="left"/>
                    <w:jc w:val="center"/>
                  </w:pPr>
                  <w:r>
                    <w:rPr>
                      <w:i/>
                      <w:iCs/>
                    </w:rPr>
                    <w:t xml:space="preserve">C-index</w:t>
                  </w:r>
                </w:p>
              </w:tc>
            </w:tr>
            <w:tr>
              <w:tc>
                <w:tcPr/>
                <w:p>
                  <w:pPr>
                    <w:pStyle w:val="Compact"/>
                    <w:jc w:val="left"/>
                    <w:jc w:val="center"/>
                  </w:pPr>
                  <w:r>
                    <w:t xml:space="preserve">SCAN-B* (OS)</w:t>
                  </w:r>
                </w:p>
              </w:tc>
              <w:tc>
                <w:tcPr/>
                <w:p>
                  <w:pPr>
                    <w:pStyle w:val="Compact"/>
                    <w:jc w:val="left"/>
                    <w:jc w:val="center"/>
                  </w:pPr>
                  <w:r>
                    <w:t xml:space="preserve">3.069/322</w:t>
                  </w:r>
                </w:p>
              </w:tc>
              <w:tc>
                <w:tcPr/>
                <w:p>
                  <w:pPr>
                    <w:pStyle w:val="Compact"/>
                    <w:jc w:val="left"/>
                    <w:jc w:val="center"/>
                  </w:pPr>
                  <w:r>
                    <w:t xml:space="preserve">1,92 (1,74-2,13); p&lt;0,001</w:t>
                  </w:r>
                </w:p>
              </w:tc>
              <w:tc>
                <w:tcPr/>
                <w:p>
                  <w:pPr>
                    <w:pStyle w:val="Compact"/>
                    <w:jc w:val="left"/>
                    <w:jc w:val="center"/>
                  </w:pPr>
                  <w:r>
                    <w:t xml:space="preserve">1,86 (1,64-2,12)</w:t>
                  </w:r>
                </w:p>
              </w:tc>
              <w:tc>
                <w:tcPr/>
                <w:p>
                  <w:pPr>
                    <w:pStyle w:val="Compact"/>
                    <w:jc w:val="left"/>
                    <w:jc w:val="center"/>
                  </w:pPr>
                  <w:r>
                    <w:t xml:space="preserve">0,698 (0,668-0,729)</w:t>
                  </w:r>
                </w:p>
              </w:tc>
            </w:tr>
            <w:tr>
              <w:tc>
                <w:tcPr/>
                <w:p>
                  <w:pPr>
                    <w:pStyle w:val="Compact"/>
                    <w:jc w:val="left"/>
                    <w:jc w:val="center"/>
                  </w:pPr>
                  <w:r>
                    <w:t xml:space="preserve">TCGA-BRCA (OS)</w:t>
                  </w:r>
                </w:p>
              </w:tc>
              <w:tc>
                <w:tcPr/>
                <w:p>
                  <w:pPr>
                    <w:pStyle w:val="Compact"/>
                    <w:jc w:val="left"/>
                    <w:jc w:val="center"/>
                  </w:pPr>
                  <w:r>
                    <w:t xml:space="preserve">1.072/150</w:t>
                  </w:r>
                </w:p>
              </w:tc>
              <w:tc>
                <w:tcPr/>
                <w:p>
                  <w:pPr>
                    <w:pStyle w:val="Compact"/>
                    <w:jc w:val="left"/>
                    <w:jc w:val="center"/>
                  </w:pPr>
                  <w:r>
                    <w:t xml:space="preserve">1,20 (1,04-1,40); p=0,016</w:t>
                  </w:r>
                </w:p>
              </w:tc>
              <w:tc>
                <w:tcPr/>
                <w:p>
                  <w:pPr>
                    <w:pStyle w:val="Compact"/>
                    <w:jc w:val="left"/>
                    <w:jc w:val="center"/>
                  </w:pPr>
                  <w:r>
                    <w:t xml:space="preserve">1,27 (1,09-1,48)</w:t>
                  </w:r>
                </w:p>
              </w:tc>
              <w:tc>
                <w:tcPr/>
                <w:p>
                  <w:pPr>
                    <w:pStyle w:val="Compact"/>
                    <w:jc w:val="left"/>
                    <w:jc w:val="center"/>
                  </w:pPr>
                  <w:r>
                    <w:t xml:space="preserve">0,624 (0,572-0,678)</w:t>
                  </w:r>
                </w:p>
              </w:tc>
            </w:tr>
            <w:tr>
              <w:tc>
                <w:tcPr/>
                <w:p>
                  <w:pPr>
                    <w:pStyle w:val="Compact"/>
                    <w:jc w:val="left"/>
                    <w:jc w:val="center"/>
                  </w:pPr>
                  <w:r>
                    <w:t xml:space="preserve">METABRIC (DSS)</w:t>
                  </w:r>
                </w:p>
              </w:tc>
              <w:tc>
                <w:tcPr/>
                <w:p>
                  <w:pPr>
                    <w:pStyle w:val="Compact"/>
                    <w:jc w:val="left"/>
                    <w:jc w:val="center"/>
                  </w:pPr>
                  <w:r>
                    <w:t xml:space="preserve">1.978/646</w:t>
                  </w:r>
                </w:p>
              </w:tc>
              <w:tc>
                <w:tcPr/>
                <w:p>
                  <w:pPr>
                    <w:pStyle w:val="Compact"/>
                    <w:jc w:val="left"/>
                    <w:jc w:val="center"/>
                  </w:pPr>
                  <w:r>
                    <w:t xml:space="preserve">1,41 (1,31-1,52); p&lt;0,001</w:t>
                  </w:r>
                </w:p>
              </w:tc>
              <w:tc>
                <w:tcPr/>
                <w:p>
                  <w:pPr>
                    <w:pStyle w:val="Compact"/>
                    <w:jc w:val="left"/>
                    <w:jc w:val="center"/>
                  </w:pPr>
                  <w:r>
                    <w:t xml:space="preserve">1,36 (1,24-1,48)</w:t>
                  </w:r>
                </w:p>
              </w:tc>
              <w:tc>
                <w:tcPr/>
                <w:p>
                  <w:pPr>
                    <w:pStyle w:val="Compact"/>
                    <w:jc w:val="left"/>
                    <w:jc w:val="center"/>
                  </w:pPr>
                  <w:r>
                    <w:t xml:space="preserve">0,638 (0,615-0,659)</w:t>
                  </w:r>
                </w:p>
              </w:tc>
            </w:tr>
            <w:tr>
              <w:tc>
                <w:tcPr/>
                <w:p>
                  <w:pPr>
                    <w:pStyle w:val="Compact"/>
                    <w:jc w:val="left"/>
                    <w:jc w:val="center"/>
                  </w:pPr>
                  <w:r>
                    <w:t xml:space="preserve">GSE20685 (OS)</w:t>
                  </w:r>
                </w:p>
              </w:tc>
              <w:tc>
                <w:tcPr/>
                <w:p>
                  <w:pPr>
                    <w:pStyle w:val="Compact"/>
                    <w:jc w:val="left"/>
                    <w:jc w:val="center"/>
                  </w:pPr>
                  <w:r>
                    <w:t xml:space="preserve">327/83</w:t>
                  </w:r>
                </w:p>
              </w:tc>
              <w:tc>
                <w:tcPr/>
                <w:p>
                  <w:pPr>
                    <w:pStyle w:val="Compact"/>
                    <w:jc w:val="left"/>
                    <w:jc w:val="center"/>
                  </w:pPr>
                  <w:r>
                    <w:t xml:space="preserve">1,40 (1,12-1,75); p=0,003</w:t>
                  </w:r>
                </w:p>
              </w:tc>
              <w:tc>
                <w:tcPr/>
                <w:p>
                  <w:pPr>
                    <w:pStyle w:val="Compact"/>
                    <w:jc w:val="left"/>
                    <w:jc w:val="center"/>
                  </w:pPr>
                  <w:r>
                    <w:t xml:space="preserve">1,40 (1,12-1,75)</w:t>
                  </w:r>
                </w:p>
              </w:tc>
              <w:tc>
                <w:tcPr/>
                <w:p>
                  <w:pPr>
                    <w:pStyle w:val="Compact"/>
                    <w:jc w:val="left"/>
                    <w:jc w:val="center"/>
                  </w:pPr>
                  <w:r>
                    <w:t xml:space="preserve">0,626 (0,565-0,684)</w:t>
                  </w:r>
                </w:p>
              </w:tc>
            </w:tr>
            <w:tr>
              <w:tc>
                <w:tcPr/>
                <w:p>
                  <w:pPr>
                    <w:pStyle w:val="Compact"/>
                    <w:jc w:val="left"/>
                    <w:jc w:val="center"/>
                  </w:pPr>
                  <w:r>
                    <w:t xml:space="preserve">GSE1456** (OS)</w:t>
                  </w:r>
                </w:p>
              </w:tc>
              <w:tc>
                <w:tcPr/>
                <w:p>
                  <w:pPr>
                    <w:pStyle w:val="Compact"/>
                    <w:jc w:val="left"/>
                    <w:jc w:val="center"/>
                  </w:pPr>
                  <w:r>
                    <w:t xml:space="preserve">159/40</w:t>
                  </w:r>
                </w:p>
              </w:tc>
              <w:tc>
                <w:tcPr/>
                <w:p>
                  <w:pPr>
                    <w:pStyle w:val="Compact"/>
                    <w:jc w:val="left"/>
                    <w:jc w:val="center"/>
                  </w:pPr>
                  <w:r>
                    <w:t xml:space="preserve">1,71 (1,23-2,38); p=0,001</w:t>
                  </w:r>
                </w:p>
              </w:tc>
              <w:tc>
                <w:tcPr/>
                <w:p>
                  <w:pPr>
                    <w:pStyle w:val="Compact"/>
                    <w:jc w:val="left"/>
                    <w:jc w:val="center"/>
                  </w:pPr>
                  <w:r>
                    <w:t xml:space="preserve">-</w:t>
                  </w:r>
                </w:p>
              </w:tc>
              <w:tc>
                <w:tcPr/>
                <w:p>
                  <w:pPr>
                    <w:pStyle w:val="Compact"/>
                    <w:jc w:val="left"/>
                    <w:jc w:val="center"/>
                  </w:pPr>
                  <w:r>
                    <w:t xml:space="preserve">0,661 (0,582-0,741)</w:t>
                  </w:r>
                </w:p>
              </w:tc>
            </w:tr>
          </w:tbl>
          <w:bookmarkEnd w:id="114"/>
          <w:p/>
        </w:tc>
      </w:tr>
    </w:tbl>
    <w:p>
      <w:pPr>
        <w:pStyle w:val="BodyText"/>
      </w:pPr>
      <w:r>
        <w:t xml:space="preserve">Em termos clínicos, a</w:t>
      </w:r>
      <w:r>
        <w:t xml:space="preserve"> </w:t>
      </w:r>
      <w:hyperlink w:anchor="tbl-survival-performance">
        <w:r>
          <w:rPr>
            <w:rStyle w:val="Hyperlink"/>
          </w:rPr>
          <w:t xml:space="preserve">Tabela 6</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tbl>
      <w:tblPr>
        <w:tblStyle w:val="Table"/>
        <w:tblW w:type="pct" w:w="5000"/>
        <w:tblLayout w:type="fixed"/>
        <w:tblLook w:firstRow="0" w:lastRow="0" w:firstColumn="0" w:lastColumn="0" w:noHBand="0" w:noVBand="0" w:val="0000"/>
      </w:tblPr>
      <w:tblGrid>
        <w:gridCol w:w="7920"/>
      </w:tblGrid>
      <w:tr>
        <w:tc>
          <w:tcPr/>
          <w:bookmarkStart w:id="118" w:name="fig-km-multipanel"/>
          <w:p>
            <w:pPr>
              <w:pStyle w:val="Compact"/>
              <w:jc w:val="center"/>
            </w:pPr>
            <w:r>
              <w:drawing>
                <wp:inline>
                  <wp:extent cx="5687999" cy="7583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687999" cy="758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Curvas de Kaplan-Meier nas cinco coortes (painel múltiplo). Pacientes dicotomizados na mediana intra-coorte do escore CorePAM: grupo alto risco (vermelho) vs baixo risco (azul). Sombreamento: IC 95%. Os HRs dicotomizados variaram de 1,46 (TCGA-BRCA) a 3,56 (SCAN-B), com separação significativa em todas as coortes.</w:t>
            </w:r>
          </w:p>
          <w:bookmarkEnd w:id="118"/>
        </w:tc>
      </w:tr>
    </w:tbl>
    <w:p>
      <w:r>
        <w:br w:type="page"/>
      </w:r>
    </w:p>
    <w:tbl>
      <w:tblPr>
        <w:tblStyle w:val="Table"/>
        <w:tblW w:type="pct" w:w="5000"/>
        <w:tblLayout w:type="fixed"/>
        <w:tblLook w:firstRow="0" w:lastRow="0" w:firstColumn="0" w:lastColumn="0" w:noHBand="0" w:noVBand="0" w:val="0000"/>
      </w:tblPr>
      <w:tblGrid>
        <w:gridCol w:w="7920"/>
      </w:tblGrid>
      <w:tr>
        <w:tc>
          <w:tcPr/>
          <w:bookmarkStart w:id="122" w:name="fig-km-scanb"/>
          <w:p>
            <w:pPr>
              <w:pStyle w:val="Compact"/>
              <w:jc w:val="center"/>
            </w:pPr>
            <w:r>
              <w:drawing>
                <wp:inline>
                  <wp:extent cx="5687999" cy="4265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Curva de Kaplan-Meier na coorte de treinamento SCAN-B (N = 3 069; sobrevida global). Dicotomização na mediana do escore CorePAM. HR = 3,56 (IC 95% 2,77-4,58; p &lt; 0,001).</w:t>
            </w:r>
          </w:p>
          <w:bookmarkEnd w:id="122"/>
        </w:tc>
      </w:tr>
    </w:tbl>
    <w:p>
      <w:pPr>
        <w:pStyle w:val="BodyText"/>
      </w:pPr>
      <w:r>
        <w:t xml:space="preserve">Na</w:t>
      </w:r>
      <w:r>
        <w:t xml:space="preserve"> </w:t>
      </w:r>
      <w:hyperlink w:anchor="fig-km-scanb">
        <w:r>
          <w:rPr>
            <w:rStyle w:val="Hyperlink"/>
          </w:rPr>
          <w:t xml:space="preserve">Figura 11</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r>
        <w:br w:type="page"/>
      </w:r>
    </w:p>
    <w:tbl>
      <w:tblPr>
        <w:tblStyle w:val="Table"/>
        <w:tblW w:type="pct" w:w="5000"/>
        <w:tblLayout w:type="fixed"/>
        <w:tblLook w:firstRow="0" w:lastRow="0" w:firstColumn="0" w:lastColumn="0" w:noHBand="0" w:noVBand="0" w:val="0000"/>
      </w:tblPr>
      <w:tblGrid>
        <w:gridCol w:w="7920"/>
      </w:tblGrid>
      <w:tr>
        <w:tc>
          <w:tcPr/>
          <w:bookmarkStart w:id="126" w:name="fig-km-tcga"/>
          <w:p>
            <w:pPr>
              <w:pStyle w:val="Compact"/>
              <w:jc w:val="center"/>
            </w:pPr>
            <w:r>
              <w:drawing>
                <wp:inline>
                  <wp:extent cx="5687999" cy="4265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12— Curva de Kaplan-Meier na coorte TCGA-BRCA (N = 1 072; RNA-seq; sobrevida global). Dicotomização na mediana do escore CorePAM.</w:t>
            </w:r>
          </w:p>
          <w:bookmarkEnd w:id="126"/>
        </w:tc>
      </w:tr>
    </w:tbl>
    <w:p>
      <w:pPr>
        <w:pStyle w:val="BodyText"/>
      </w:pPr>
      <w:r>
        <w:t xml:space="preserve">Na</w:t>
      </w:r>
      <w:r>
        <w:t xml:space="preserve"> </w:t>
      </w:r>
      <w:hyperlink w:anchor="fig-km-tcga">
        <w:r>
          <w:rPr>
            <w:rStyle w:val="Hyperlink"/>
          </w:rPr>
          <w:t xml:space="preserve">Figura 12</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r>
        <w:br w:type="page"/>
      </w:r>
    </w:p>
    <w:tbl>
      <w:tblPr>
        <w:tblStyle w:val="Table"/>
        <w:tblW w:type="pct" w:w="5000"/>
        <w:tblLayout w:type="fixed"/>
        <w:tblLook w:firstRow="0" w:lastRow="0" w:firstColumn="0" w:lastColumn="0" w:noHBand="0" w:noVBand="0" w:val="0000"/>
      </w:tblPr>
      <w:tblGrid>
        <w:gridCol w:w="7920"/>
      </w:tblGrid>
      <w:tr>
        <w:tc>
          <w:tcPr/>
          <w:bookmarkStart w:id="130" w:name="fig-km-metabric"/>
          <w:p>
            <w:pPr>
              <w:pStyle w:val="Compact"/>
              <w:jc w:val="center"/>
            </w:pPr>
            <w:r>
              <w:drawing>
                <wp:inline>
                  <wp:extent cx="5687999" cy="4265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13— Curva de Kaplan-Meier na coorte METABRIC (N = 1 978; microarray Illumina; sobrevida doença-específica). Separação ampla mantida ao longo de mais de 200 meses de seguimento.</w:t>
            </w:r>
          </w:p>
          <w:bookmarkEnd w:id="130"/>
        </w:tc>
      </w:tr>
    </w:tbl>
    <w:p>
      <w:pPr>
        <w:pStyle w:val="BodyText"/>
      </w:pPr>
      <w:r>
        <w:t xml:space="preserve">Na</w:t>
      </w:r>
      <w:r>
        <w:t xml:space="preserve"> </w:t>
      </w:r>
      <w:hyperlink w:anchor="fig-km-metabric">
        <w:r>
          <w:rPr>
            <w:rStyle w:val="Hyperlink"/>
          </w:rPr>
          <w:t xml:space="preserve">Figura 13</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r>
        <w:br w:type="page"/>
      </w:r>
    </w:p>
    <w:tbl>
      <w:tblPr>
        <w:tblStyle w:val="Table"/>
        <w:tblW w:type="pct" w:w="5000"/>
        <w:tblLayout w:type="fixed"/>
        <w:tblLook w:firstRow="0" w:lastRow="0" w:firstColumn="0" w:lastColumn="0" w:noHBand="0" w:noVBand="0" w:val="0000"/>
      </w:tblPr>
      <w:tblGrid>
        <w:gridCol w:w="7920"/>
      </w:tblGrid>
      <w:tr>
        <w:tc>
          <w:tcPr/>
          <w:bookmarkStart w:id="134" w:name="fig-km-gse20685"/>
          <w:p>
            <w:pPr>
              <w:pStyle w:val="Compact"/>
              <w:jc w:val="center"/>
            </w:pPr>
            <w:r>
              <w:drawing>
                <wp:inline>
                  <wp:extent cx="5687999" cy="4265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14— Curva de Kaplan-Meier na coorte GSE20685 (N = 327; microarray Affymetrix; sobrevida global). População asiática (Taiwan), testando generalizabilidade populacional e transportabilidade para plataforma Affymetrix.</w:t>
            </w:r>
          </w:p>
          <w:bookmarkEnd w:id="134"/>
        </w:tc>
      </w:tr>
    </w:tbl>
    <w:p>
      <w:pPr>
        <w:pStyle w:val="BodyText"/>
      </w:pPr>
      <w:r>
        <w:t xml:space="preserve">Na</w:t>
      </w:r>
      <w:r>
        <w:t xml:space="preserve"> </w:t>
      </w:r>
      <w:hyperlink w:anchor="fig-km-gse20685">
        <w:r>
          <w:rPr>
            <w:rStyle w:val="Hyperlink"/>
          </w:rPr>
          <w:t xml:space="preserve">Figura 14</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p>
      <w:r>
        <w:br w:type="page"/>
      </w:r>
    </w:p>
    <w:bookmarkEnd w:id="135"/>
    <w:bookmarkStart w:id="141"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tbl>
      <w:tblPr>
        <w:tblStyle w:val="Table"/>
        <w:tblW w:type="pct" w:w="5000"/>
        <w:tblLayout w:type="fixed"/>
        <w:tblLook w:firstRow="0" w:lastRow="0" w:firstColumn="0" w:lastColumn="0" w:noHBand="0" w:noVBand="0" w:val="0000"/>
      </w:tblPr>
      <w:tblGrid>
        <w:gridCol w:w="7920"/>
      </w:tblGrid>
      <w:tr>
        <w:tc>
          <w:tcPr/>
          <w:bookmarkStart w:id="136" w:name="tbl-meta-survival"/>
          <w:p>
            <w:pPr>
              <w:jc w:val="center"/>
            </w:pPr>
            <w:pPr>
              <w:jc w:val="left"/>
              <w:spacing w:before="200"/>
              <w:pStyle w:val="ImageCaption"/>
            </w:pPr>
            <w:r>
              <w:t xml:space="preserve">Tabela 7— Meta-análise de efeitos aleatórios — sobrevida (K = 4)</w:t>
            </w:r>
          </w:p>
          <w:tbl>
            <w:tblPr>
              <w:tblStyle w:val="Table"/>
              <w:tblW w:type="pct" w:w="5000"/>
              <w:tblLayout w:type="fixed"/>
              <w:tblLook w:firstRow="1" w:lastRow="0" w:firstColumn="0" w:lastColumn="0" w:noHBand="0" w:noVBand="0" w:val="0020"/>
            </w:tblPr>
            <w:tblGrid>
              <w:gridCol w:w="2132"/>
              <w:gridCol w:w="1827"/>
              <w:gridCol w:w="1320"/>
              <w:gridCol w:w="1218"/>
              <w:gridCol w:w="1421"/>
            </w:tblGrid>
            <w:tr>
              <w:trPr>
                <w:tblHeader w:val="on"/>
              </w:trPr>
              <w:tc>
                <w:tcPr/>
                <w:p>
                  <w:pPr>
                    <w:pStyle w:val="Compact"/>
                    <w:jc w:val="left"/>
                    <w:jc w:val="center"/>
                  </w:pPr>
                  <w:r>
                    <w:t xml:space="preserve">Análise</w:t>
                  </w:r>
                </w:p>
              </w:tc>
              <w:tc>
                <w:tcPr/>
                <w:p>
                  <w:pPr>
                    <w:pStyle w:val="Compact"/>
                    <w:jc w:val="left"/>
                    <w:jc w:val="center"/>
                  </w:pPr>
                  <w:r>
                    <w:t xml:space="preserve">HR (IC 95%)</w:t>
                  </w:r>
                </w:p>
              </w:tc>
              <w:tc>
                <w:tcPr/>
                <w:p>
                  <w:pPr>
                    <w:pStyle w:val="Compact"/>
                    <w:jc w:val="right"/>
                    <w:jc w:val="center"/>
                  </w:pPr>
                  <w:r>
                    <w:t xml:space="preserve">p</w:t>
                  </w:r>
                </w:p>
              </w:tc>
              <w:tc>
                <w:tcPr/>
                <w:p>
                  <w:pPr>
                    <w:pStyle w:val="Compact"/>
                    <w:jc w:val="center"/>
                    <w:jc w:val="center"/>
                  </w:pPr>
                  <w:r>
                    <w:t xml:space="preserve">I-quadrado</w:t>
                  </w:r>
                </w:p>
              </w:tc>
              <w:tc>
                <w:tcPr/>
                <w:p>
                  <w:pPr>
                    <w:pStyle w:val="Compact"/>
                    <w:jc w:val="center"/>
                    <w:jc w:val="center"/>
                  </w:pPr>
                  <w:r>
                    <w:t xml:space="preserve">tau-quadrado</w:t>
                  </w:r>
                </w:p>
              </w:tc>
            </w:tr>
            <w:tr>
              <w:tc>
                <w:tcPr/>
                <w:p>
                  <w:pPr>
                    <w:pStyle w:val="Compact"/>
                    <w:jc w:val="left"/>
                    <w:jc w:val="center"/>
                  </w:pPr>
                  <w:r>
                    <w:t xml:space="preserve">Primária RE (REML)</w:t>
                  </w:r>
                </w:p>
              </w:tc>
              <w:tc>
                <w:tcPr/>
                <w:p>
                  <w:pPr>
                    <w:pStyle w:val="Compact"/>
                    <w:jc w:val="left"/>
                    <w:jc w:val="center"/>
                  </w:pPr>
                  <w:r>
                    <w:t xml:space="preserve">1,37 (1,24–1,52)</w:t>
                  </w:r>
                </w:p>
              </w:tc>
              <w:tc>
                <w:tcPr/>
                <w:p>
                  <w:pPr>
                    <w:pStyle w:val="Compact"/>
                    <w:jc w:val="right"/>
                    <w:jc w:val="center"/>
                  </w:pPr>
                  <w:r>
                    <w:t xml:space="preserve">1,6 × 10⁻⁹</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Hartung–Knapp</w:t>
                  </w:r>
                </w:p>
              </w:tc>
              <w:tc>
                <w:tcPr/>
                <w:p>
                  <w:pPr>
                    <w:pStyle w:val="Compact"/>
                    <w:jc w:val="left"/>
                    <w:jc w:val="center"/>
                  </w:pPr>
                  <w:r>
                    <w:t xml:space="preserve">1,37 (1,15–1,64)</w:t>
                  </w:r>
                </w:p>
              </w:tc>
              <w:tc>
                <w:tcPr/>
                <w:p>
                  <w:pPr>
                    <w:pStyle w:val="Compact"/>
                    <w:jc w:val="right"/>
                    <w:jc w:val="center"/>
                  </w:pPr>
                  <w:r>
                    <w:t xml:space="preserve">0,011</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OS-harmonizada</w:t>
                  </w:r>
                </w:p>
              </w:tc>
              <w:tc>
                <w:tcPr/>
                <w:p>
                  <w:pPr>
                    <w:pStyle w:val="Compact"/>
                    <w:jc w:val="left"/>
                    <w:jc w:val="center"/>
                  </w:pPr>
                  <w:r>
                    <w:t xml:space="preserve">1,36 (1,13–1,64)</w:t>
                  </w:r>
                </w:p>
              </w:tc>
              <w:tc>
                <w:tcPr/>
                <w:p>
                  <w:pPr>
                    <w:pStyle w:val="Compact"/>
                    <w:jc w:val="right"/>
                    <w:jc w:val="center"/>
                  </w:pPr>
                  <w:r>
                    <w:t xml:space="preserve">&lt;0,001</w:t>
                  </w:r>
                </w:p>
              </w:tc>
              <w:tc>
                <w:tcPr/>
                <w:p>
                  <w:pPr>
                    <w:pStyle w:val="Compact"/>
                    <w:jc w:val="center"/>
                    <w:jc w:val="center"/>
                  </w:pPr>
                  <w:r>
                    <w:t xml:space="preserve">50,5%</w:t>
                  </w:r>
                </w:p>
              </w:tc>
              <w:tc>
                <w:tcPr/>
                <w:p>
                  <w:pPr>
                    <w:pStyle w:val="Compact"/>
                    <w:jc w:val="center"/>
                    <w:jc w:val="center"/>
                  </w:pPr>
                  <w:r>
                    <w:t xml:space="preserve">0,0151</w:t>
                  </w:r>
                </w:p>
              </w:tc>
            </w:tr>
          </w:tbl>
          <w:bookmarkEnd w:id="136"/>
          <w:p/>
        </w:tc>
      </w:tr>
    </w:tbl>
    <w:tbl>
      <w:tblPr>
        <w:tblStyle w:val="Table"/>
        <w:tblW w:type="pct" w:w="5000"/>
        <w:tblLayout w:type="fixed"/>
        <w:tblLook w:firstRow="0" w:lastRow="0" w:firstColumn="0" w:lastColumn="0" w:noHBand="0" w:noVBand="0" w:val="0000"/>
      </w:tblPr>
      <w:tblGrid>
        <w:gridCol w:w="7920"/>
      </w:tblGrid>
      <w:tr>
        <w:tc>
          <w:tcPr/>
          <w:bookmarkStart w:id="140" w:name="fig-forest-survival"/>
          <w:p>
            <w:pPr>
              <w:pStyle w:val="Compact"/>
              <w:jc w:val="center"/>
            </w:pPr>
            <w:r>
              <w:drawing>
                <wp:inline>
                  <wp:extent cx="5687999" cy="2843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687999" cy="284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15— Forest plot da meta-análise de sobrevida (HR por 1-DP, K = 4 coortes de validação). Modelo de efeitos aleatórios (REML). Diamante: estimativa agrupada (HR = 1,37; IC 95% 1,24-1,52; p = 1,6 x 10^-9). I-quadrado = 38,2%.</w:t>
            </w:r>
          </w:p>
          <w:bookmarkEnd w:id="140"/>
        </w:tc>
      </w:tr>
    </w:tbl>
    <w:p>
      <w:r>
        <w:br w:type="page"/>
      </w:r>
    </w:p>
    <w:bookmarkEnd w:id="141"/>
    <w:bookmarkStart w:id="151"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tbl>
      <w:tblPr>
        <w:tblStyle w:val="Table"/>
        <w:tblW w:type="pct" w:w="5000"/>
        <w:tblLayout w:type="fixed"/>
        <w:tblLook w:firstRow="0" w:lastRow="0" w:firstColumn="0" w:lastColumn="0" w:noHBand="0" w:noVBand="0" w:val="0000"/>
      </w:tblPr>
      <w:tblGrid>
        <w:gridCol w:w="7920"/>
      </w:tblGrid>
      <w:tr>
        <w:tc>
          <w:tcPr/>
          <w:bookmarkStart w:id="142" w:name="tbl-incremental"/>
          <w:p>
            <w:pPr>
              <w:jc w:val="center"/>
            </w:pPr>
            <w:pPr>
              <w:jc w:val="left"/>
              <w:spacing w:before="200"/>
              <w:pStyle w:val="ImageCaption"/>
            </w:pPr>
            <w:r>
              <w:t xml:space="preserve">Tabela 8—</w:t>
            </w:r>
            <w:r>
              <w:t xml:space="preserve"> </w:t>
            </w:r>
            <w:r>
              <w:rPr>
                <w:i/>
                <w:iCs/>
              </w:rPr>
              <w:t xml:space="preserve">C-index</w:t>
            </w:r>
            <w:r>
              <w:t xml:space="preserve"> </w:t>
            </w:r>
            <w:r>
              <w:t xml:space="preserve">incremental do CorePAM sobre o modelo CORE-A</w:t>
            </w:r>
          </w:p>
          <w:tbl>
            <w:tblPr>
              <w:tblStyle w:val="Table"/>
              <w:tblW w:type="pct" w:w="5000"/>
              <w:tblLayout w:type="fixed"/>
              <w:tblLook w:firstRow="1" w:lastRow="0" w:firstColumn="0" w:lastColumn="0" w:noHBand="0" w:noVBand="0" w:val="0020"/>
            </w:tblPr>
            <w:tblGrid>
              <w:gridCol w:w="1425"/>
              <w:gridCol w:w="1425"/>
              <w:gridCol w:w="792"/>
              <w:gridCol w:w="1900"/>
              <w:gridCol w:w="2376"/>
            </w:tblGrid>
            <w:tr>
              <w:trPr>
                <w:tblHeader w:val="on"/>
              </w:trPr>
              <w:tc>
                <w:tcPr/>
                <w:p>
                  <w:pPr>
                    <w:pStyle w:val="Compact"/>
                    <w:jc w:val="left"/>
                    <w:jc w:val="center"/>
                  </w:pPr>
                  <w:r>
                    <w:t xml:space="preserve">Coorte</w:t>
                  </w:r>
                </w:p>
              </w:tc>
              <w:tc>
                <w:tcPr/>
                <w:p>
                  <w:pPr>
                    <w:pStyle w:val="Compact"/>
                    <w:jc w:val="left"/>
                    <w:jc w:val="center"/>
                  </w:pPr>
                  <w:r>
                    <w:t xml:space="preserve">CORE-A</w:t>
                  </w:r>
                </w:p>
              </w:tc>
              <w:tc>
                <w:tcPr/>
                <w:p>
                  <w:pPr>
                    <w:pStyle w:val="Compact"/>
                    <w:jc w:val="right"/>
                    <w:jc w:val="center"/>
                  </w:pPr>
                  <w:r>
                    <w:t xml:space="preserve">N</w:t>
                  </w:r>
                </w:p>
              </w:tc>
              <w:tc>
                <w:tcPr/>
                <w:p>
                  <w:pPr>
                    <w:pStyle w:val="Compact"/>
                    <w:jc w:val="center"/>
                    <w:jc w:val="center"/>
                  </w:pPr>
                  <w:r>
                    <w:t xml:space="preserve">C sem/com CorePAM</w:t>
                  </w:r>
                </w:p>
              </w:tc>
              <w:tc>
                <w:tcPr/>
                <w:p>
                  <w:pPr>
                    <w:pStyle w:val="Compact"/>
                    <w:jc w:val="left"/>
                    <w:jc w:val="center"/>
                  </w:pPr>
                  <w:r>
                    <w:t xml:space="preserve">Ganho Delta-C (IC 95%)</w:t>
                  </w:r>
                </w:p>
              </w:tc>
            </w:tr>
            <w:tr>
              <w:tc>
                <w:tcPr/>
                <w:p>
                  <w:pPr>
                    <w:pStyle w:val="Compact"/>
                    <w:jc w:val="left"/>
                    <w:jc w:val="center"/>
                  </w:pPr>
                  <w:r>
                    <w:t xml:space="preserve">SCAN-B</w:t>
                  </w:r>
                </w:p>
              </w:tc>
              <w:tc>
                <w:tcPr/>
                <w:p>
                  <w:pPr>
                    <w:pStyle w:val="Compact"/>
                    <w:jc w:val="left"/>
                    <w:jc w:val="center"/>
                  </w:pPr>
                  <w:r>
                    <w:t xml:space="preserve">idade + RE</w:t>
                  </w:r>
                </w:p>
              </w:tc>
              <w:tc>
                <w:tcPr/>
                <w:p>
                  <w:pPr>
                    <w:pStyle w:val="Compact"/>
                    <w:jc w:val="right"/>
                    <w:jc w:val="center"/>
                  </w:pPr>
                  <w:r>
                    <w:t xml:space="preserve">3069</w:t>
                  </w:r>
                </w:p>
              </w:tc>
              <w:tc>
                <w:tcPr/>
                <w:p>
                  <w:pPr>
                    <w:pStyle w:val="Compact"/>
                    <w:jc w:val="center"/>
                    <w:jc w:val="center"/>
                  </w:pPr>
                  <w:r>
                    <w:t xml:space="preserve">0,750 / 0,780</w:t>
                  </w:r>
                </w:p>
              </w:tc>
              <w:tc>
                <w:tcPr/>
                <w:p>
                  <w:pPr>
                    <w:pStyle w:val="Compact"/>
                    <w:jc w:val="left"/>
                    <w:jc w:val="center"/>
                  </w:pPr>
                  <w:r>
                    <w:t xml:space="preserve">+0,030 (0,014-0,049)</w:t>
                  </w:r>
                </w:p>
              </w:tc>
            </w:tr>
            <w:tr>
              <w:tc>
                <w:tcPr/>
                <w:p>
                  <w:pPr>
                    <w:pStyle w:val="Compact"/>
                    <w:jc w:val="left"/>
                    <w:jc w:val="center"/>
                  </w:pPr>
                  <w:r>
                    <w:t xml:space="preserve">TCGA-BRCA</w:t>
                  </w:r>
                </w:p>
              </w:tc>
              <w:tc>
                <w:tcPr/>
                <w:p>
                  <w:pPr>
                    <w:pStyle w:val="Compact"/>
                    <w:jc w:val="left"/>
                    <w:jc w:val="center"/>
                  </w:pPr>
                  <w:r>
                    <w:t xml:space="preserve">idade</w:t>
                  </w:r>
                </w:p>
              </w:tc>
              <w:tc>
                <w:tcPr/>
                <w:p>
                  <w:pPr>
                    <w:pStyle w:val="Compact"/>
                    <w:jc w:val="right"/>
                    <w:jc w:val="center"/>
                  </w:pPr>
                  <w:r>
                    <w:t xml:space="preserve">1072</w:t>
                  </w:r>
                </w:p>
              </w:tc>
              <w:tc>
                <w:tcPr/>
                <w:p>
                  <w:pPr>
                    <w:pStyle w:val="Compact"/>
                    <w:jc w:val="center"/>
                    <w:jc w:val="center"/>
                  </w:pPr>
                  <w:r>
                    <w:t xml:space="preserve">0,638 / 0,676</w:t>
                  </w:r>
                </w:p>
              </w:tc>
              <w:tc>
                <w:tcPr/>
                <w:p>
                  <w:pPr>
                    <w:pStyle w:val="Compact"/>
                    <w:jc w:val="left"/>
                    <w:jc w:val="center"/>
                  </w:pPr>
                  <w:r>
                    <w:t xml:space="preserve">+0,038 (0,011-0,086)</w:t>
                  </w:r>
                </w:p>
              </w:tc>
            </w:tr>
            <w:tr>
              <w:tc>
                <w:tcPr/>
                <w:p>
                  <w:pPr>
                    <w:pStyle w:val="Compact"/>
                    <w:jc w:val="left"/>
                    <w:jc w:val="center"/>
                  </w:pPr>
                  <w:r>
                    <w:t xml:space="preserve">METABRIC</w:t>
                  </w:r>
                </w:p>
              </w:tc>
              <w:tc>
                <w:tcPr/>
                <w:p>
                  <w:pPr>
                    <w:pStyle w:val="Compact"/>
                    <w:jc w:val="left"/>
                    <w:jc w:val="center"/>
                  </w:pPr>
                  <w:r>
                    <w:t xml:space="preserve">idade + RE</w:t>
                  </w:r>
                </w:p>
              </w:tc>
              <w:tc>
                <w:tcPr/>
                <w:p>
                  <w:pPr>
                    <w:pStyle w:val="Compact"/>
                    <w:jc w:val="right"/>
                    <w:jc w:val="center"/>
                  </w:pPr>
                  <w:r>
                    <w:t xml:space="preserve">1978</w:t>
                  </w:r>
                </w:p>
              </w:tc>
              <w:tc>
                <w:tcPr/>
                <w:p>
                  <w:pPr>
                    <w:pStyle w:val="Compact"/>
                    <w:jc w:val="center"/>
                    <w:jc w:val="center"/>
                  </w:pPr>
                  <w:r>
                    <w:t xml:space="preserve">0,603 / 0,646</w:t>
                  </w:r>
                </w:p>
              </w:tc>
              <w:tc>
                <w:tcPr/>
                <w:p>
                  <w:pPr>
                    <w:pStyle w:val="Compact"/>
                    <w:jc w:val="left"/>
                    <w:jc w:val="center"/>
                  </w:pPr>
                  <w:r>
                    <w:t xml:space="preserve">+0,043 (0,025-0,066)</w:t>
                  </w:r>
                </w:p>
              </w:tc>
            </w:tr>
            <w:tr>
              <w:tc>
                <w:tcPr/>
                <w:p>
                  <w:pPr>
                    <w:pStyle w:val="Compact"/>
                    <w:jc w:val="left"/>
                    <w:jc w:val="center"/>
                  </w:pPr>
                  <w:r>
                    <w:t xml:space="preserve">GSE20685</w:t>
                  </w:r>
                </w:p>
              </w:tc>
              <w:tc>
                <w:tcPr/>
                <w:p>
                  <w:pPr>
                    <w:pStyle w:val="Compact"/>
                    <w:jc w:val="left"/>
                    <w:jc w:val="center"/>
                  </w:pPr>
                  <w:r>
                    <w:t xml:space="preserve">idade</w:t>
                  </w:r>
                </w:p>
              </w:tc>
              <w:tc>
                <w:tcPr/>
                <w:p>
                  <w:pPr>
                    <w:pStyle w:val="Compact"/>
                    <w:jc w:val="right"/>
                    <w:jc w:val="center"/>
                  </w:pPr>
                  <w:r>
                    <w:t xml:space="preserve">327</w:t>
                  </w:r>
                </w:p>
              </w:tc>
              <w:tc>
                <w:tcPr/>
                <w:p>
                  <w:pPr>
                    <w:pStyle w:val="Compact"/>
                    <w:jc w:val="center"/>
                    <w:jc w:val="center"/>
                  </w:pPr>
                  <w:r>
                    <w:t xml:space="preserve">0,536 / 0,630</w:t>
                  </w:r>
                </w:p>
              </w:tc>
              <w:tc>
                <w:tcPr/>
                <w:p>
                  <w:pPr>
                    <w:pStyle w:val="Compact"/>
                    <w:jc w:val="left"/>
                    <w:jc w:val="center"/>
                  </w:pPr>
                  <w:r>
                    <w:t xml:space="preserve">+0,094 (0,021-0,175)</w:t>
                  </w:r>
                </w:p>
              </w:tc>
            </w:tr>
          </w:tbl>
          <w:bookmarkEnd w:id="142"/>
          <w:p/>
        </w:tc>
      </w:tr>
    </w:tbl>
    <w:tbl>
      <w:tblPr>
        <w:tblStyle w:val="Table"/>
        <w:tblW w:type="pct" w:w="5000"/>
        <w:tblLayout w:type="fixed"/>
        <w:tblLook w:firstRow="0" w:lastRow="0" w:firstColumn="0" w:lastColumn="0" w:noHBand="0" w:noVBand="0" w:val="0000"/>
      </w:tblPr>
      <w:tblGrid>
        <w:gridCol w:w="7920"/>
      </w:tblGrid>
      <w:tr>
        <w:tc>
          <w:tcPr/>
          <w:bookmarkStart w:id="146" w:name="fig-delta-c"/>
          <w:p>
            <w:pPr>
              <w:pStyle w:val="Compact"/>
              <w:jc w:val="center"/>
            </w:pPr>
            <w:r>
              <w:drawing>
                <wp:inline>
                  <wp:extent cx="5687999" cy="3554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16—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tc>
      </w:tr>
    </w:tbl>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17</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tbl>
      <w:tblPr>
        <w:tblStyle w:val="Table"/>
        <w:tblW w:type="pct" w:w="5000"/>
        <w:tblLayout w:type="fixed"/>
        <w:tblLook w:firstRow="0" w:lastRow="0" w:firstColumn="0" w:lastColumn="0" w:noHBand="0" w:noVBand="0" w:val="0000"/>
      </w:tblPr>
      <w:tblGrid>
        <w:gridCol w:w="7920"/>
      </w:tblGrid>
      <w:tr>
        <w:tc>
          <w:tcPr/>
          <w:bookmarkStart w:id="150" w:name="fig-calibration"/>
          <w:p>
            <w:pPr>
              <w:pStyle w:val="Compact"/>
              <w:jc w:val="center"/>
            </w:pPr>
            <w:r>
              <w:drawing>
                <wp:inline>
                  <wp:extent cx="5687999" cy="34127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17—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0"/>
        </w:tc>
      </w:tr>
    </w:tbl>
    <w:p>
      <w:r>
        <w:br w:type="page"/>
      </w:r>
    </w:p>
    <w:bookmarkEnd w:id="151"/>
    <w:bookmarkStart w:id="154" w:name="X1817a4fc7f9706a60fbc04f7a53f8ec6077e0e8"/>
    <w:p>
      <w:pPr>
        <w:pStyle w:val="Heading2"/>
      </w:pPr>
      <w:r>
        <w:t xml:space="preserve">4.5 Independência do estadiamento clínico-patológico</w:t>
      </w:r>
    </w:p>
    <w:tbl>
      <w:tblPr>
        <w:tblStyle w:val="Table"/>
        <w:tblW w:type="pct" w:w="5000"/>
        <w:tblLayout w:type="fixed"/>
        <w:tblLook w:firstRow="0" w:lastRow="0" w:firstColumn="0" w:lastColumn="0" w:noHBand="0" w:noVBand="0" w:val="0000"/>
      </w:tblPr>
      <w:tblGrid>
        <w:gridCol w:w="7920"/>
      </w:tblGrid>
      <w:tr>
        <w:tc>
          <w:tcPr/>
          <w:bookmarkStart w:id="152" w:name="tbl-expanded-model"/>
          <w:p>
            <w:pPr>
              <w:jc w:val="center"/>
            </w:pPr>
            <w:pPr>
              <w:jc w:val="left"/>
              <w:spacing w:before="200"/>
              <w:pStyle w:val="ImageCaption"/>
            </w:pPr>
            <w:r>
              <w:t xml:space="preserve">Tabela 9— Modelo clínico expandido com estadiamento anatômico</w:t>
            </w:r>
          </w:p>
          <w:tbl>
            <w:tblPr>
              <w:tblStyle w:val="Table"/>
              <w:tblW w:type="pct" w:w="5000"/>
              <w:tblLayout w:type="fixed"/>
              <w:tblLook w:firstRow="1" w:lastRow="0" w:firstColumn="0" w:lastColumn="0" w:noHBand="0" w:noVBand="0" w:val="0020"/>
            </w:tblPr>
            <w:tblGrid>
              <w:gridCol w:w="1267"/>
              <w:gridCol w:w="712"/>
              <w:gridCol w:w="1742"/>
              <w:gridCol w:w="1980"/>
              <w:gridCol w:w="1425"/>
              <w:gridCol w:w="792"/>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Ajuste clínico</w:t>
                  </w:r>
                </w:p>
              </w:tc>
              <w:tc>
                <w:tcPr/>
                <w:p>
                  <w:pPr>
                    <w:pStyle w:val="Compact"/>
                    <w:jc w:val="left"/>
                    <w:jc w:val="center"/>
                  </w:pPr>
                  <w:r>
                    <w:t xml:space="preserve">HR CorePAM ajustado</w:t>
                  </w:r>
                </w:p>
              </w:tc>
              <w:tc>
                <w:tcPr/>
                <w:p>
                  <w:pPr>
                    <w:pStyle w:val="Compact"/>
                    <w:jc w:val="center"/>
                    <w:jc w:val="center"/>
                  </w:pPr>
                  <w:r>
                    <w:t xml:space="preserve">C sem/com CorePAM</w:t>
                  </w:r>
                </w:p>
              </w:tc>
              <w:tc>
                <w:tcPr/>
                <w:p>
                  <w:pPr>
                    <w:pStyle w:val="Compact"/>
                    <w:jc w:val="center"/>
                    <w:jc w:val="center"/>
                  </w:pPr>
                  <w:r>
                    <w:t xml:space="preserve">Delta-C</w:t>
                  </w:r>
                </w:p>
              </w:tc>
            </w:tr>
            <w:tr>
              <w:tc>
                <w:tcPr/>
                <w:p>
                  <w:pPr>
                    <w:pStyle w:val="Compact"/>
                    <w:jc w:val="left"/>
                    <w:jc w:val="center"/>
                  </w:pPr>
                  <w:r>
                    <w:t xml:space="preserve">SCAN-B</w:t>
                  </w:r>
                </w:p>
              </w:tc>
              <w:tc>
                <w:tcPr/>
                <w:p>
                  <w:pPr>
                    <w:pStyle w:val="Compact"/>
                    <w:jc w:val="right"/>
                    <w:jc w:val="center"/>
                  </w:pPr>
                  <w:r>
                    <w:t xml:space="preserve">2948</w:t>
                  </w:r>
                </w:p>
              </w:tc>
              <w:tc>
                <w:tcPr/>
                <w:p>
                  <w:pPr>
                    <w:pStyle w:val="Compact"/>
                    <w:jc w:val="left"/>
                    <w:jc w:val="center"/>
                  </w:pPr>
                  <w:r>
                    <w:t xml:space="preserve">idade + RE + T + N</w:t>
                  </w:r>
                </w:p>
              </w:tc>
              <w:tc>
                <w:tcPr/>
                <w:p>
                  <w:pPr>
                    <w:pStyle w:val="Compact"/>
                    <w:jc w:val="left"/>
                    <w:jc w:val="center"/>
                  </w:pPr>
                  <w:r>
                    <w:t xml:space="preserve">1,79 (1,57-2,05); p &lt; 0,001</w:t>
                  </w:r>
                </w:p>
              </w:tc>
              <w:tc>
                <w:tcPr/>
                <w:p>
                  <w:pPr>
                    <w:pStyle w:val="Compact"/>
                    <w:jc w:val="center"/>
                    <w:jc w:val="center"/>
                  </w:pPr>
                  <w:r>
                    <w:t xml:space="preserve">0,766 / 0,788</w:t>
                  </w:r>
                </w:p>
              </w:tc>
              <w:tc>
                <w:tcPr/>
                <w:p>
                  <w:pPr>
                    <w:pStyle w:val="Compact"/>
                    <w:jc w:val="center"/>
                    <w:jc w:val="center"/>
                  </w:pPr>
                  <w:r>
                    <w:t xml:space="preserve">+0,022</w:t>
                  </w:r>
                </w:p>
              </w:tc>
            </w:tr>
            <w:tr>
              <w:tc>
                <w:tcPr/>
                <w:p>
                  <w:pPr>
                    <w:pStyle w:val="Compact"/>
                    <w:jc w:val="left"/>
                    <w:jc w:val="center"/>
                  </w:pPr>
                  <w:r>
                    <w:t xml:space="preserve">TCGA-BRCA</w:t>
                  </w:r>
                </w:p>
              </w:tc>
              <w:tc>
                <w:tcPr/>
                <w:p>
                  <w:pPr>
                    <w:pStyle w:val="Compact"/>
                    <w:jc w:val="right"/>
                    <w:jc w:val="center"/>
                  </w:pPr>
                  <w:r>
                    <w:t xml:space="preserve">1054</w:t>
                  </w:r>
                </w:p>
              </w:tc>
              <w:tc>
                <w:tcPr/>
                <w:p>
                  <w:pPr>
                    <w:pStyle w:val="Compact"/>
                    <w:jc w:val="left"/>
                    <w:jc w:val="center"/>
                  </w:pPr>
                  <w:r>
                    <w:t xml:space="preserve">idade + T + N</w:t>
                  </w:r>
                </w:p>
              </w:tc>
              <w:tc>
                <w:tcPr/>
                <w:p>
                  <w:pPr>
                    <w:pStyle w:val="Compact"/>
                    <w:jc w:val="left"/>
                    <w:jc w:val="center"/>
                  </w:pPr>
                  <w:r>
                    <w:t xml:space="preserve">1,35 (1,15-1,58); p &lt; 0,001</w:t>
                  </w:r>
                </w:p>
              </w:tc>
              <w:tc>
                <w:tcPr/>
                <w:p>
                  <w:pPr>
                    <w:pStyle w:val="Compact"/>
                    <w:jc w:val="center"/>
                    <w:jc w:val="center"/>
                  </w:pPr>
                  <w:r>
                    <w:t xml:space="preserve">0,719 / 0,746</w:t>
                  </w:r>
                </w:p>
              </w:tc>
              <w:tc>
                <w:tcPr/>
                <w:p>
                  <w:pPr>
                    <w:pStyle w:val="Compact"/>
                    <w:jc w:val="center"/>
                    <w:jc w:val="center"/>
                  </w:pPr>
                  <w:r>
                    <w:t xml:space="preserve">+0,027</w:t>
                  </w:r>
                </w:p>
              </w:tc>
            </w:tr>
            <w:tr>
              <w:tc>
                <w:tcPr/>
                <w:p>
                  <w:pPr>
                    <w:pStyle w:val="Compact"/>
                    <w:jc w:val="left"/>
                    <w:jc w:val="center"/>
                  </w:pPr>
                  <w:r>
                    <w:t xml:space="preserve">METABRIC</w:t>
                  </w:r>
                </w:p>
              </w:tc>
              <w:tc>
                <w:tcPr/>
                <w:p>
                  <w:pPr>
                    <w:pStyle w:val="Compact"/>
                    <w:jc w:val="right"/>
                    <w:jc w:val="center"/>
                  </w:pPr>
                  <w:r>
                    <w:t xml:space="preserve">1883</w:t>
                  </w:r>
                </w:p>
              </w:tc>
              <w:tc>
                <w:tcPr/>
                <w:p>
                  <w:pPr>
                    <w:pStyle w:val="Compact"/>
                    <w:jc w:val="left"/>
                    <w:jc w:val="center"/>
                  </w:pPr>
                  <w:r>
                    <w:t xml:space="preserve">idade + RE + T + N</w:t>
                  </w:r>
                </w:p>
              </w:tc>
              <w:tc>
                <w:tcPr/>
                <w:p>
                  <w:pPr>
                    <w:pStyle w:val="Compact"/>
                    <w:jc w:val="left"/>
                    <w:jc w:val="center"/>
                  </w:pPr>
                  <w:r>
                    <w:t xml:space="preserve">1,34 (1,23-1,46); p &lt; 0,001</w:t>
                  </w:r>
                </w:p>
              </w:tc>
              <w:tc>
                <w:tcPr/>
                <w:p>
                  <w:pPr>
                    <w:pStyle w:val="Compact"/>
                    <w:jc w:val="center"/>
                    <w:jc w:val="center"/>
                  </w:pPr>
                  <w:r>
                    <w:t xml:space="preserve">0,663 / 0,688</w:t>
                  </w:r>
                </w:p>
              </w:tc>
              <w:tc>
                <w:tcPr/>
                <w:p>
                  <w:pPr>
                    <w:pStyle w:val="Compact"/>
                    <w:jc w:val="center"/>
                    <w:jc w:val="center"/>
                  </w:pPr>
                  <w:r>
                    <w:t xml:space="preserve">+0,026</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idade + T + N</w:t>
                  </w:r>
                </w:p>
              </w:tc>
              <w:tc>
                <w:tcPr/>
                <w:p>
                  <w:pPr>
                    <w:pStyle w:val="Compact"/>
                    <w:jc w:val="left"/>
                    <w:jc w:val="center"/>
                  </w:pPr>
                  <w:r>
                    <w:t xml:space="preserve">1,45 (1,15-1,84); p = 0,002</w:t>
                  </w:r>
                </w:p>
              </w:tc>
              <w:tc>
                <w:tcPr/>
                <w:p>
                  <w:pPr>
                    <w:pStyle w:val="Compact"/>
                    <w:jc w:val="center"/>
                    <w:jc w:val="center"/>
                  </w:pPr>
                  <w:r>
                    <w:t xml:space="preserve">0,697 / 0,724</w:t>
                  </w:r>
                </w:p>
              </w:tc>
              <w:tc>
                <w:tcPr/>
                <w:p>
                  <w:pPr>
                    <w:pStyle w:val="Compact"/>
                    <w:jc w:val="center"/>
                    <w:jc w:val="center"/>
                  </w:pPr>
                  <w:r>
                    <w:t xml:space="preserve">+0,026</w:t>
                  </w:r>
                </w:p>
              </w:tc>
            </w:tr>
          </w:tbl>
          <w:bookmarkEnd w:id="1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3" w:name="tbl-full-model"/>
          <w:p>
            <w:pPr>
              <w:jc w:val="center"/>
            </w:pPr>
            <w:pPr>
              <w:jc w:val="left"/>
              <w:spacing w:before="200"/>
              <w:pStyle w:val="ImageCaption"/>
            </w:pPr>
            <w:r>
              <w:t xml:space="preserve">Tabela 10— Modelo clínico completo (6 variáveis) com e sem CorePAM</w:t>
            </w:r>
          </w:p>
          <w:tbl>
            <w:tblPr>
              <w:tblStyle w:val="Table"/>
              <w:tblW w:type="pct" w:w="5000"/>
              <w:tblLayout w:type="fixed"/>
              <w:tblLook w:firstRow="1" w:lastRow="0" w:firstColumn="0" w:lastColumn="0" w:noHBand="0" w:noVBand="0" w:val="0020"/>
            </w:tblPr>
            <w:tblGrid>
              <w:gridCol w:w="1584"/>
              <w:gridCol w:w="950"/>
              <w:gridCol w:w="712"/>
              <w:gridCol w:w="1900"/>
              <w:gridCol w:w="1425"/>
              <w:gridCol w:w="1346"/>
            </w:tblGrid>
            <w:tr>
              <w:trPr>
                <w:tblHeader w:val="on"/>
              </w:trPr>
              <w:tc>
                <w:tcPr/>
                <w:p>
                  <w:pPr>
                    <w:pStyle w:val="Compact"/>
                    <w:jc w:val="left"/>
                    <w:jc w:val="center"/>
                  </w:pPr>
                  <w:r>
                    <w:t xml:space="preserve">Coorte/desfecho</w:t>
                  </w:r>
                </w:p>
              </w:tc>
              <w:tc>
                <w:tcPr/>
                <w:p>
                  <w:pPr>
                    <w:pStyle w:val="Compact"/>
                    <w:jc w:val="left"/>
                    <w:jc w:val="center"/>
                  </w:pPr>
                  <w:r>
                    <w:t xml:space="preserve">Tipo</w:t>
                  </w:r>
                </w:p>
              </w:tc>
              <w:tc>
                <w:tcPr/>
                <w:p>
                  <w:pPr>
                    <w:pStyle w:val="Compact"/>
                    <w:jc w:val="right"/>
                    <w:jc w:val="center"/>
                  </w:pPr>
                  <w:r>
                    <w:t xml:space="preserve">N</w:t>
                  </w:r>
                </w:p>
              </w:tc>
              <w:tc>
                <w:tcPr/>
                <w:p>
                  <w:pPr>
                    <w:pStyle w:val="Compact"/>
                    <w:jc w:val="left"/>
                    <w:jc w:val="center"/>
                  </w:pPr>
                  <w:r>
                    <w:t xml:space="preserve">HR ajustado CorePAM</w:t>
                  </w:r>
                </w:p>
              </w:tc>
              <w:tc>
                <w:tcPr/>
                <w:p>
                  <w:pPr>
                    <w:pStyle w:val="Compact"/>
                    <w:jc w:val="center"/>
                    <w:jc w:val="center"/>
                  </w:pPr>
                  <w:r>
                    <w:t xml:space="preserve">C sem/com CorePAM</w:t>
                  </w:r>
                </w:p>
              </w:tc>
              <w:tc>
                <w:tcPr/>
                <w:p>
                  <w:pPr>
                    <w:pStyle w:val="Compact"/>
                    <w:jc w:val="left"/>
                    <w:jc w:val="center"/>
                  </w:pPr>
                  <w:r>
                    <w:t xml:space="preserve">Delta-C; LRT p</w:t>
                  </w:r>
                </w:p>
              </w:tc>
            </w:tr>
            <w:tr>
              <w:tc>
                <w:tcPr/>
                <w:p>
                  <w:pPr>
                    <w:pStyle w:val="Compact"/>
                    <w:jc w:val="left"/>
                    <w:jc w:val="center"/>
                  </w:pPr>
                  <w:r>
                    <w:t xml:space="preserve">SCAN-B OS</w:t>
                  </w:r>
                </w:p>
              </w:tc>
              <w:tc>
                <w:tcPr/>
                <w:p>
                  <w:pPr>
                    <w:pStyle w:val="Compact"/>
                    <w:jc w:val="left"/>
                    <w:jc w:val="center"/>
                  </w:pPr>
                  <w:r>
                    <w:t xml:space="preserve">Todos</w:t>
                  </w:r>
                </w:p>
              </w:tc>
              <w:tc>
                <w:tcPr/>
                <w:p>
                  <w:pPr>
                    <w:pStyle w:val="Compact"/>
                    <w:jc w:val="right"/>
                    <w:jc w:val="center"/>
                  </w:pPr>
                  <w:r>
                    <w:t xml:space="preserve">2649</w:t>
                  </w:r>
                </w:p>
              </w:tc>
              <w:tc>
                <w:tcPr/>
                <w:p>
                  <w:pPr>
                    <w:pStyle w:val="Compact"/>
                    <w:jc w:val="left"/>
                    <w:jc w:val="center"/>
                  </w:pPr>
                  <w:r>
                    <w:t xml:space="preserve">1,75 (1,51-2,03)</w:t>
                  </w:r>
                </w:p>
              </w:tc>
              <w:tc>
                <w:tcPr/>
                <w:p>
                  <w:pPr>
                    <w:pStyle w:val="Compact"/>
                    <w:jc w:val="center"/>
                    <w:jc w:val="center"/>
                  </w:pPr>
                  <w:r>
                    <w:t xml:space="preserve">0,770 / 0,787</w:t>
                  </w:r>
                </w:p>
              </w:tc>
              <w:tc>
                <w:tcPr/>
                <w:p>
                  <w:pPr>
                    <w:pStyle w:val="Compact"/>
                    <w:jc w:val="left"/>
                    <w:jc w:val="center"/>
                  </w:pPr>
                  <w:r>
                    <w:t xml:space="preserve">+0,017; 4,9 x 10</w:t>
                  </w:r>
                  <w:r>
                    <w:rPr>
                      <w:vertAlign w:val="superscript"/>
                    </w:rPr>
                    <w:t xml:space="preserve">-13</w:t>
                  </w:r>
                </w:p>
              </w:tc>
            </w:tr>
            <w:tr>
              <w:tc>
                <w:tcPr/>
                <w:p>
                  <w:pPr>
                    <w:pStyle w:val="Compact"/>
                    <w:jc w:val="left"/>
                    <w:jc w:val="center"/>
                  </w:pPr>
                  <w:r>
                    <w:t xml:space="preserve">SCAN-B OS</w:t>
                  </w:r>
                </w:p>
              </w:tc>
              <w:tc>
                <w:tcPr/>
                <w:p>
                  <w:pPr>
                    <w:pStyle w:val="Compact"/>
                    <w:jc w:val="left"/>
                    <w:jc w:val="center"/>
                  </w:pPr>
                  <w:r>
                    <w:t xml:space="preserve">RE+</w:t>
                  </w:r>
                </w:p>
              </w:tc>
              <w:tc>
                <w:tcPr/>
                <w:p>
                  <w:pPr>
                    <w:pStyle w:val="Compact"/>
                    <w:jc w:val="right"/>
                    <w:jc w:val="center"/>
                  </w:pPr>
                  <w:r>
                    <w:t xml:space="preserve">2450</w:t>
                  </w:r>
                </w:p>
              </w:tc>
              <w:tc>
                <w:tcPr/>
                <w:p>
                  <w:pPr>
                    <w:pStyle w:val="Compact"/>
                    <w:jc w:val="left"/>
                    <w:jc w:val="center"/>
                  </w:pPr>
                  <w:r>
                    <w:t xml:space="preserve">1,68 (1,43-1,97)</w:t>
                  </w:r>
                </w:p>
              </w:tc>
              <w:tc>
                <w:tcPr/>
                <w:p>
                  <w:pPr>
                    <w:pStyle w:val="Compact"/>
                    <w:jc w:val="center"/>
                    <w:jc w:val="center"/>
                  </w:pPr>
                  <w:r>
                    <w:t xml:space="preserve">0,770 / 0,784</w:t>
                  </w:r>
                </w:p>
              </w:tc>
              <w:tc>
                <w:tcPr/>
                <w:p>
                  <w:pPr>
                    <w:pStyle w:val="Compact"/>
                    <w:jc w:val="left"/>
                    <w:jc w:val="center"/>
                  </w:pPr>
                  <w:r>
                    <w:t xml:space="preserve">+0,014; 1,1 x 10</w:t>
                  </w:r>
                  <w:r>
                    <w:rPr>
                      <w:vertAlign w:val="superscript"/>
                    </w:rPr>
                    <w:t xml:space="preserve">-10</w:t>
                  </w:r>
                </w:p>
              </w:tc>
            </w:tr>
            <w:tr>
              <w:tc>
                <w:tcPr/>
                <w:p>
                  <w:pPr>
                    <w:pStyle w:val="Compact"/>
                    <w:jc w:val="left"/>
                    <w:jc w:val="center"/>
                  </w:pPr>
                  <w:r>
                    <w:t xml:space="preserve">METABRIC DSS</w:t>
                  </w:r>
                </w:p>
              </w:tc>
              <w:tc>
                <w:tcPr/>
                <w:p>
                  <w:pPr>
                    <w:pStyle w:val="Compact"/>
                    <w:jc w:val="left"/>
                    <w:jc w:val="center"/>
                  </w:pPr>
                  <w:r>
                    <w:t xml:space="preserve">Todos</w:t>
                  </w:r>
                </w:p>
              </w:tc>
              <w:tc>
                <w:tcPr/>
                <w:p>
                  <w:pPr>
                    <w:pStyle w:val="Compact"/>
                    <w:jc w:val="right"/>
                    <w:jc w:val="center"/>
                  </w:pPr>
                  <w:r>
                    <w:t xml:space="preserve">1792</w:t>
                  </w:r>
                </w:p>
              </w:tc>
              <w:tc>
                <w:tcPr/>
                <w:p>
                  <w:pPr>
                    <w:pStyle w:val="Compact"/>
                    <w:jc w:val="left"/>
                    <w:jc w:val="center"/>
                  </w:pPr>
                  <w:r>
                    <w:t xml:space="preserve">1,25 (1,14-1,38)</w:t>
                  </w:r>
                </w:p>
              </w:tc>
              <w:tc>
                <w:tcPr/>
                <w:p>
                  <w:pPr>
                    <w:pStyle w:val="Compact"/>
                    <w:jc w:val="center"/>
                    <w:jc w:val="center"/>
                  </w:pPr>
                  <w:r>
                    <w:t xml:space="preserve">0,678 / 0,693</w:t>
                  </w:r>
                </w:p>
              </w:tc>
              <w:tc>
                <w:tcPr/>
                <w:p>
                  <w:pPr>
                    <w:pStyle w:val="Compact"/>
                    <w:jc w:val="left"/>
                    <w:jc w:val="center"/>
                  </w:pPr>
                  <w:r>
                    <w:t xml:space="preserve">+0,015; 6,1 x 10</w:t>
                  </w:r>
                  <w:r>
                    <w:rPr>
                      <w:vertAlign w:val="superscript"/>
                    </w:rPr>
                    <w:t xml:space="preserve">-6</w:t>
                  </w:r>
                </w:p>
              </w:tc>
            </w:tr>
            <w:tr>
              <w:tc>
                <w:tcPr/>
                <w:p>
                  <w:pPr>
                    <w:pStyle w:val="Compact"/>
                    <w:jc w:val="left"/>
                    <w:jc w:val="center"/>
                  </w:pPr>
                  <w:r>
                    <w:t xml:space="preserve">METABRIC DSS</w:t>
                  </w:r>
                </w:p>
              </w:tc>
              <w:tc>
                <w:tcPr/>
                <w:p>
                  <w:pPr>
                    <w:pStyle w:val="Compact"/>
                    <w:jc w:val="left"/>
                    <w:jc w:val="center"/>
                  </w:pPr>
                  <w:r>
                    <w:t xml:space="preserve">RE+</w:t>
                  </w:r>
                </w:p>
              </w:tc>
              <w:tc>
                <w:tcPr/>
                <w:p>
                  <w:pPr>
                    <w:pStyle w:val="Compact"/>
                    <w:jc w:val="right"/>
                    <w:jc w:val="center"/>
                  </w:pPr>
                  <w:r>
                    <w:t xml:space="preserve">1377</w:t>
                  </w:r>
                </w:p>
              </w:tc>
              <w:tc>
                <w:tcPr/>
                <w:p>
                  <w:pPr>
                    <w:pStyle w:val="Compact"/>
                    <w:jc w:val="left"/>
                    <w:jc w:val="center"/>
                  </w:pPr>
                  <w:r>
                    <w:t xml:space="preserve">1,47 (1,31-1,65)</w:t>
                  </w:r>
                </w:p>
              </w:tc>
              <w:tc>
                <w:tcPr/>
                <w:p>
                  <w:pPr>
                    <w:pStyle w:val="Compact"/>
                    <w:jc w:val="center"/>
                    <w:jc w:val="center"/>
                  </w:pPr>
                  <w:r>
                    <w:t xml:space="preserve">0,674 / 0,707</w:t>
                  </w:r>
                </w:p>
              </w:tc>
              <w:tc>
                <w:tcPr/>
                <w:p>
                  <w:pPr>
                    <w:pStyle w:val="Compact"/>
                    <w:jc w:val="left"/>
                    <w:jc w:val="center"/>
                  </w:pPr>
                  <w:r>
                    <w:t xml:space="preserve">+0,032; 1,0 x 10</w:t>
                  </w:r>
                  <w:r>
                    <w:rPr>
                      <w:vertAlign w:val="superscript"/>
                    </w:rPr>
                    <w:t xml:space="preserve">-10</w:t>
                  </w:r>
                </w:p>
              </w:tc>
            </w:tr>
          </w:tbl>
          <w:bookmarkEnd w:id="153"/>
          <w:p/>
        </w:tc>
      </w:tr>
    </w:tbl>
    <w:bookmarkEnd w:id="154"/>
    <w:bookmarkStart w:id="170" w:name="análises-de-sensibilidade"/>
    <w:p>
      <w:pPr>
        <w:pStyle w:val="Heading2"/>
      </w:pPr>
      <w:r>
        <w:t xml:space="preserve">4.6 Análises de sensibilidade</w:t>
      </w:r>
    </w:p>
    <w:tbl>
      <w:tblPr>
        <w:tblStyle w:val="Table"/>
        <w:tblW w:type="pct" w:w="5000"/>
        <w:tblLayout w:type="fixed"/>
        <w:tblLook w:firstRow="0" w:lastRow="0" w:firstColumn="0" w:lastColumn="0" w:noHBand="0" w:noVBand="0" w:val="0000"/>
      </w:tblPr>
      <w:tblGrid>
        <w:gridCol w:w="7920"/>
      </w:tblGrid>
      <w:tr>
        <w:tc>
          <w:tcPr/>
          <w:bookmarkStart w:id="155" w:name="tbl-frozen-zscore"/>
          <w:p>
            <w:pPr>
              <w:jc w:val="center"/>
            </w:pPr>
            <w:pPr>
              <w:jc w:val="left"/>
              <w:spacing w:before="200"/>
              <w:pStyle w:val="ImageCaption"/>
            </w:pPr>
            <w:r>
              <w:t xml:space="preserve">Tabela 11— Análise de sensibilidade do</w:t>
            </w:r>
            <w:r>
              <w:t xml:space="preserve"> </w:t>
            </w:r>
            <w:r>
              <w:rPr>
                <w:i/>
                <w:iCs/>
              </w:rPr>
              <w:t xml:space="preserve">z-score</w:t>
            </w:r>
            <w:r>
              <w:t xml:space="preserve"> </w:t>
            </w:r>
            <w:r>
              <w:t xml:space="preserve">congelado</w:t>
            </w:r>
          </w:p>
          <w:tbl>
            <w:tblPr>
              <w:tblStyle w:val="Table"/>
              <w:tblW w:type="pct" w:w="5000"/>
              <w:tblLayout w:type="fixed"/>
              <w:tblLook w:firstRow="1" w:lastRow="0" w:firstColumn="0" w:lastColumn="0" w:noHBand="0" w:noVBand="0" w:val="0020"/>
            </w:tblPr>
            <w:tblGrid>
              <w:gridCol w:w="1267"/>
              <w:gridCol w:w="712"/>
              <w:gridCol w:w="1821"/>
              <w:gridCol w:w="1108"/>
              <w:gridCol w:w="950"/>
              <w:gridCol w:w="1108"/>
              <w:gridCol w:w="950"/>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Plataforma</w:t>
                  </w:r>
                </w:p>
              </w:tc>
              <w:tc>
                <w:tcPr/>
                <w:p>
                  <w:pPr>
                    <w:pStyle w:val="Compact"/>
                    <w:jc w:val="center"/>
                    <w:jc w:val="center"/>
                  </w:pPr>
                  <w:r>
                    <w:t xml:space="preserve">C congelado</w:t>
                  </w:r>
                </w:p>
              </w:tc>
              <w:tc>
                <w:tcPr/>
                <w:p>
                  <w:pPr>
                    <w:pStyle w:val="Compact"/>
                    <w:jc w:val="center"/>
                    <w:jc w:val="center"/>
                  </w:pPr>
                  <w:r>
                    <w:t xml:space="preserve">C local</w:t>
                  </w:r>
                </w:p>
              </w:tc>
              <w:tc>
                <w:tcPr/>
                <w:p>
                  <w:pPr>
                    <w:pStyle w:val="Compact"/>
                    <w:jc w:val="center"/>
                    <w:jc w:val="center"/>
                  </w:pPr>
                  <w:r>
                    <w:t xml:space="preserve">Delta-C</w:t>
                  </w:r>
                </w:p>
              </w:tc>
              <w:tc>
                <w:tcPr/>
                <w:p>
                  <w:pPr>
                    <w:pStyle w:val="Compact"/>
                    <w:jc w:val="center"/>
                    <w:jc w:val="center"/>
                  </w:pPr>
                  <w:r>
                    <w:t xml:space="preserve">r</w:t>
                  </w:r>
                </w:p>
              </w:tc>
            </w:tr>
            <w:tr>
              <w:tc>
                <w:tcPr/>
                <w:p>
                  <w:pPr>
                    <w:pStyle w:val="Compact"/>
                    <w:jc w:val="left"/>
                    <w:jc w:val="center"/>
                  </w:pPr>
                  <w:r>
                    <w:t xml:space="preserve">SCAN-B</w:t>
                  </w:r>
                </w:p>
              </w:tc>
              <w:tc>
                <w:tcPr/>
                <w:p>
                  <w:pPr>
                    <w:pStyle w:val="Compact"/>
                    <w:jc w:val="right"/>
                    <w:jc w:val="center"/>
                  </w:pPr>
                  <w:r>
                    <w:t xml:space="preserve">3069</w:t>
                  </w:r>
                </w:p>
              </w:tc>
              <w:tc>
                <w:tcPr/>
                <w:p>
                  <w:pPr>
                    <w:pStyle w:val="Compact"/>
                    <w:jc w:val="left"/>
                    <w:jc w:val="center"/>
                  </w:pPr>
                  <w:r>
                    <w:t xml:space="preserve">RNA-seq</w:t>
                  </w:r>
                </w:p>
              </w:tc>
              <w:tc>
                <w:tcPr/>
                <w:p>
                  <w:pPr>
                    <w:pStyle w:val="Compact"/>
                    <w:jc w:val="center"/>
                    <w:jc w:val="center"/>
                  </w:pPr>
                  <w:r>
                    <w:t xml:space="preserve">0,698</w:t>
                  </w:r>
                </w:p>
              </w:tc>
              <w:tc>
                <w:tcPr/>
                <w:p>
                  <w:pPr>
                    <w:pStyle w:val="Compact"/>
                    <w:jc w:val="center"/>
                    <w:jc w:val="center"/>
                  </w:pPr>
                  <w:r>
                    <w:t xml:space="preserve">0,698</w:t>
                  </w:r>
                </w:p>
              </w:tc>
              <w:tc>
                <w:tcPr/>
                <w:p>
                  <w:pPr>
                    <w:pStyle w:val="Compact"/>
                    <w:jc w:val="center"/>
                    <w:jc w:val="center"/>
                  </w:pPr>
                  <w:r>
                    <w:t xml:space="preserve">0,0000</w:t>
                  </w:r>
                </w:p>
              </w:tc>
              <w:tc>
                <w:tcPr/>
                <w:p>
                  <w:pPr>
                    <w:pStyle w:val="Compact"/>
                    <w:jc w:val="center"/>
                    <w:jc w:val="center"/>
                  </w:pPr>
                  <w:r>
                    <w:t xml:space="preserve">1,000</w:t>
                  </w:r>
                </w:p>
              </w:tc>
            </w:tr>
            <w:tr>
              <w:tc>
                <w:tcPr/>
                <w:p>
                  <w:pPr>
                    <w:pStyle w:val="Compact"/>
                    <w:jc w:val="left"/>
                    <w:jc w:val="center"/>
                  </w:pPr>
                  <w:r>
                    <w:t xml:space="preserve">TCGA-BRCA</w:t>
                  </w:r>
                </w:p>
              </w:tc>
              <w:tc>
                <w:tcPr/>
                <w:p>
                  <w:pPr>
                    <w:pStyle w:val="Compact"/>
                    <w:jc w:val="right"/>
                    <w:jc w:val="center"/>
                  </w:pPr>
                  <w:r>
                    <w:t xml:space="preserve">1072</w:t>
                  </w:r>
                </w:p>
              </w:tc>
              <w:tc>
                <w:tcPr/>
                <w:p>
                  <w:pPr>
                    <w:pStyle w:val="Compact"/>
                    <w:jc w:val="left"/>
                    <w:jc w:val="center"/>
                  </w:pPr>
                  <w:r>
                    <w:t xml:space="preserve">RNA-seq</w:t>
                  </w:r>
                </w:p>
              </w:tc>
              <w:tc>
                <w:tcPr/>
                <w:p>
                  <w:pPr>
                    <w:pStyle w:val="Compact"/>
                    <w:jc w:val="center"/>
                    <w:jc w:val="center"/>
                  </w:pPr>
                  <w:r>
                    <w:t xml:space="preserve">0,624</w:t>
                  </w:r>
                </w:p>
              </w:tc>
              <w:tc>
                <w:tcPr/>
                <w:p>
                  <w:pPr>
                    <w:pStyle w:val="Compact"/>
                    <w:jc w:val="center"/>
                    <w:jc w:val="center"/>
                  </w:pPr>
                  <w:r>
                    <w:t xml:space="preserve">0,624</w:t>
                  </w:r>
                </w:p>
              </w:tc>
              <w:tc>
                <w:tcPr/>
                <w:p>
                  <w:pPr>
                    <w:pStyle w:val="Compact"/>
                    <w:jc w:val="center"/>
                    <w:jc w:val="center"/>
                  </w:pPr>
                  <w:r>
                    <w:t xml:space="preserve">+0,0002</w:t>
                  </w:r>
                </w:p>
              </w:tc>
              <w:tc>
                <w:tcPr/>
                <w:p>
                  <w:pPr>
                    <w:pStyle w:val="Compact"/>
                    <w:jc w:val="center"/>
                    <w:jc w:val="center"/>
                  </w:pPr>
                  <w:r>
                    <w:t xml:space="preserve">0,999</w:t>
                  </w:r>
                </w:p>
              </w:tc>
            </w:tr>
            <w:tr>
              <w:tc>
                <w:tcPr/>
                <w:p>
                  <w:pPr>
                    <w:pStyle w:val="Compact"/>
                    <w:jc w:val="left"/>
                    <w:jc w:val="center"/>
                  </w:pPr>
                  <w:r>
                    <w:t xml:space="preserve">METABRIC</w:t>
                  </w:r>
                </w:p>
              </w:tc>
              <w:tc>
                <w:tcPr/>
                <w:p>
                  <w:pPr>
                    <w:pStyle w:val="Compact"/>
                    <w:jc w:val="right"/>
                    <w:jc w:val="center"/>
                  </w:pPr>
                  <w:r>
                    <w:t xml:space="preserve">1978</w:t>
                  </w:r>
                </w:p>
              </w:tc>
              <w:tc>
                <w:tcPr/>
                <w:p>
                  <w:pPr>
                    <w:pStyle w:val="Compact"/>
                    <w:jc w:val="left"/>
                    <w:jc w:val="center"/>
                  </w:pPr>
                  <w:r>
                    <w:t xml:space="preserve">Illumina array</w:t>
                  </w:r>
                </w:p>
              </w:tc>
              <w:tc>
                <w:tcPr/>
                <w:p>
                  <w:pPr>
                    <w:pStyle w:val="Compact"/>
                    <w:jc w:val="center"/>
                    <w:jc w:val="center"/>
                  </w:pPr>
                  <w:r>
                    <w:t xml:space="preserve">0,638</w:t>
                  </w:r>
                </w:p>
              </w:tc>
              <w:tc>
                <w:tcPr/>
                <w:p>
                  <w:pPr>
                    <w:pStyle w:val="Compact"/>
                    <w:jc w:val="center"/>
                    <w:jc w:val="center"/>
                  </w:pPr>
                  <w:r>
                    <w:t xml:space="preserve">0,638</w:t>
                  </w:r>
                </w:p>
              </w:tc>
              <w:tc>
                <w:tcPr/>
                <w:p>
                  <w:pPr>
                    <w:pStyle w:val="Compact"/>
                    <w:jc w:val="center"/>
                    <w:jc w:val="center"/>
                  </w:pPr>
                  <w:r>
                    <w:t xml:space="preserve">+0,0007</w:t>
                  </w:r>
                </w:p>
              </w:tc>
              <w:tc>
                <w:tcPr/>
                <w:p>
                  <w:pPr>
                    <w:pStyle w:val="Compact"/>
                    <w:jc w:val="center"/>
                    <w:jc w:val="center"/>
                  </w:pPr>
                  <w:r>
                    <w:t xml:space="preserve">0,958</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Affymetrix array</w:t>
                  </w:r>
                </w:p>
              </w:tc>
              <w:tc>
                <w:tcPr/>
                <w:p>
                  <w:pPr>
                    <w:pStyle w:val="Compact"/>
                    <w:jc w:val="center"/>
                    <w:jc w:val="center"/>
                  </w:pPr>
                  <w:r>
                    <w:t xml:space="preserve">0,591</w:t>
                  </w:r>
                </w:p>
              </w:tc>
              <w:tc>
                <w:tcPr/>
                <w:p>
                  <w:pPr>
                    <w:pStyle w:val="Compact"/>
                    <w:jc w:val="center"/>
                    <w:jc w:val="center"/>
                  </w:pPr>
                  <w:r>
                    <w:t xml:space="preserve">0,626</w:t>
                  </w:r>
                </w:p>
              </w:tc>
              <w:tc>
                <w:tcPr/>
                <w:p>
                  <w:pPr>
                    <w:pStyle w:val="Compact"/>
                    <w:jc w:val="center"/>
                    <w:jc w:val="center"/>
                  </w:pPr>
                  <w:r>
                    <w:t xml:space="preserve">-0,036</w:t>
                  </w:r>
                </w:p>
              </w:tc>
              <w:tc>
                <w:tcPr/>
                <w:p>
                  <w:pPr>
                    <w:pStyle w:val="Compact"/>
                    <w:jc w:val="center"/>
                    <w:jc w:val="center"/>
                  </w:pPr>
                  <w:r>
                    <w:t xml:space="preserve">0,923</w:t>
                  </w:r>
                </w:p>
              </w:tc>
            </w:tr>
            <w:tr>
              <w:tc>
                <w:tcPr/>
                <w:p>
                  <w:pPr>
                    <w:pStyle w:val="Compact"/>
                    <w:jc w:val="left"/>
                    <w:jc w:val="center"/>
                  </w:pPr>
                  <w:r>
                    <w:t xml:space="preserve">GSE1456</w:t>
                  </w:r>
                </w:p>
              </w:tc>
              <w:tc>
                <w:tcPr/>
                <w:p>
                  <w:pPr>
                    <w:pStyle w:val="Compact"/>
                    <w:jc w:val="right"/>
                    <w:jc w:val="center"/>
                  </w:pPr>
                  <w:r>
                    <w:t xml:space="preserve">159</w:t>
                  </w:r>
                </w:p>
              </w:tc>
              <w:tc>
                <w:tcPr/>
                <w:p>
                  <w:pPr>
                    <w:pStyle w:val="Compact"/>
                    <w:jc w:val="left"/>
                    <w:jc w:val="center"/>
                  </w:pPr>
                  <w:r>
                    <w:t xml:space="preserve">Affymetrix array</w:t>
                  </w:r>
                </w:p>
              </w:tc>
              <w:tc>
                <w:tcPr/>
                <w:p>
                  <w:pPr>
                    <w:pStyle w:val="Compact"/>
                    <w:jc w:val="center"/>
                    <w:jc w:val="center"/>
                  </w:pPr>
                  <w:r>
                    <w:t xml:space="preserve">0,622</w:t>
                  </w:r>
                </w:p>
              </w:tc>
              <w:tc>
                <w:tcPr/>
                <w:p>
                  <w:pPr>
                    <w:pStyle w:val="Compact"/>
                    <w:jc w:val="center"/>
                    <w:jc w:val="center"/>
                  </w:pPr>
                  <w:r>
                    <w:t xml:space="preserve">0,661</w:t>
                  </w:r>
                </w:p>
              </w:tc>
              <w:tc>
                <w:tcPr/>
                <w:p>
                  <w:pPr>
                    <w:pStyle w:val="Compact"/>
                    <w:jc w:val="center"/>
                    <w:jc w:val="center"/>
                  </w:pPr>
                  <w:r>
                    <w:t xml:space="preserve">-0,040</w:t>
                  </w:r>
                </w:p>
              </w:tc>
              <w:tc>
                <w:tcPr/>
                <w:p>
                  <w:pPr>
                    <w:pStyle w:val="Compact"/>
                    <w:jc w:val="center"/>
                    <w:jc w:val="center"/>
                  </w:pPr>
                  <w:r>
                    <w:t xml:space="preserve">0,916</w:t>
                  </w:r>
                </w:p>
              </w:tc>
            </w:tr>
          </w:tbl>
          <w:bookmarkEnd w:id="155"/>
          <w:p/>
        </w:tc>
      </w:tr>
    </w:tbl>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tbl>
      <w:tblPr>
        <w:tblStyle w:val="Table"/>
        <w:tblW w:type="pct" w:w="5000"/>
        <w:tblLayout w:type="fixed"/>
        <w:tblLook w:firstRow="0" w:lastRow="0" w:firstColumn="0" w:lastColumn="0" w:noHBand="0" w:noVBand="0" w:val="0000"/>
      </w:tblPr>
      <w:tblGrid>
        <w:gridCol w:w="7920"/>
      </w:tblGrid>
      <w:tr>
        <w:tc>
          <w:tcPr/>
          <w:bookmarkStart w:id="159" w:name="fig-correlation"/>
          <w:p>
            <w:pPr>
              <w:pStyle w:val="Compact"/>
              <w:jc w:val="center"/>
            </w:pPr>
            <w:r>
              <w:drawing>
                <wp:inline>
                  <wp:extent cx="5687999" cy="4875428"/>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687999" cy="4875428"/>
                          </a:xfrm>
                          <a:prstGeom prst="rect">
                            <a:avLst/>
                          </a:prstGeom>
                          <a:noFill/>
                          <a:ln w="9525">
                            <a:noFill/>
                            <a:headEnd/>
                            <a:tailEnd/>
                          </a:ln>
                        </pic:spPr>
                      </pic:pic>
                    </a:graphicData>
                  </a:graphic>
                </wp:inline>
              </w:drawing>
            </w:r>
          </w:p>
          <w:p>
            <w:pPr>
              <w:jc w:val="center"/>
            </w:pPr>
            <w:pPr>
              <w:jc w:val="left"/>
              <w:spacing w:before="200"/>
              <w:pStyle w:val="ImageCaption"/>
            </w:pPr>
            <w:r>
              <w:t xml:space="preserve">Figura 18—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59"/>
        </w:tc>
      </w:tr>
    </w:tbl>
    <w:p>
      <w:r>
        <w:br w:type="page"/>
      </w:r>
    </w:p>
    <w:tbl>
      <w:tblPr>
        <w:tblStyle w:val="Table"/>
        <w:tblW w:type="pct" w:w="5000"/>
        <w:tblLayout w:type="fixed"/>
        <w:tblLook w:firstRow="0" w:lastRow="0" w:firstColumn="0" w:lastColumn="0" w:noHBand="0" w:noVBand="0" w:val="0000"/>
      </w:tblPr>
      <w:tblGrid>
        <w:gridCol w:w="7920"/>
      </w:tblGrid>
      <w:tr>
        <w:tc>
          <w:tcPr/>
          <w:bookmarkStart w:id="160" w:name="tbl-uno-tdauc"/>
          <w:p>
            <w:pPr>
              <w:jc w:val="center"/>
            </w:pPr>
            <w:pPr>
              <w:jc w:val="left"/>
              <w:spacing w:before="200"/>
              <w:pStyle w:val="ImageCaption"/>
            </w:pPr>
            <w:r>
              <w:t xml:space="preserve">Tabela 12— Estatística C de Uno e AUC tempo-dependente</w:t>
            </w:r>
          </w:p>
          <w:tbl>
            <w:tblPr>
              <w:tblStyle w:val="Table"/>
              <w:tblW w:type="pct" w:w="5000"/>
              <w:tblLayout w:type="fixed"/>
              <w:tblLook w:firstRow="1" w:lastRow="0" w:firstColumn="0" w:lastColumn="0" w:noHBand="0" w:noVBand="0" w:val="0020"/>
            </w:tblPr>
            <w:tblGrid>
              <w:gridCol w:w="1425"/>
              <w:gridCol w:w="792"/>
              <w:gridCol w:w="1029"/>
              <w:gridCol w:w="1188"/>
              <w:gridCol w:w="2217"/>
              <w:gridCol w:w="1267"/>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C de Uno</w:t>
                  </w:r>
                </w:p>
              </w:tc>
              <w:tc>
                <w:tcPr/>
                <w:p>
                  <w:pPr>
                    <w:pStyle w:val="Compact"/>
                    <w:jc w:val="center"/>
                  </w:pPr>
                  <w:r>
                    <w:t xml:space="preserve">tdAUC (IC 95%)</w:t>
                  </w:r>
                </w:p>
              </w:tc>
              <w:tc>
                <w:tcPr/>
                <w:p>
                  <w:pPr>
                    <w:pStyle w:val="Compact"/>
                    <w:jc w:val="center"/>
                  </w:pPr>
                  <w:r>
                    <w:t xml:space="preserve">C de Harrell</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0,674</w:t>
                  </w:r>
                </w:p>
              </w:tc>
              <w:tc>
                <w:tcPr/>
                <w:p>
                  <w:pPr>
                    <w:pStyle w:val="Compact"/>
                    <w:jc w:val="center"/>
                  </w:pPr>
                  <w:r>
                    <w:t xml:space="preserve">0,679 (0,643-0,715)</w:t>
                  </w:r>
                </w:p>
              </w:tc>
              <w:tc>
                <w:tcPr/>
                <w:p>
                  <w:pPr>
                    <w:pStyle w:val="Compact"/>
                    <w:jc w:val="center"/>
                  </w:pPr>
                  <w:r>
                    <w:t xml:space="preserve">0,698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0,669</w:t>
                  </w:r>
                </w:p>
              </w:tc>
              <w:tc>
                <w:tcPr/>
                <w:p>
                  <w:pPr>
                    <w:pStyle w:val="Compact"/>
                    <w:jc w:val="center"/>
                  </w:pPr>
                  <w:r>
                    <w:t xml:space="preserve">0,673 (0,598-0,748)</w:t>
                  </w:r>
                </w:p>
              </w:tc>
              <w:tc>
                <w:tcPr/>
                <w:p>
                  <w:pPr>
                    <w:pStyle w:val="Compact"/>
                    <w:jc w:val="center"/>
                  </w:pPr>
                  <w:r>
                    <w:t xml:space="preserve">0,624</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0,681</w:t>
                  </w:r>
                </w:p>
              </w:tc>
              <w:tc>
                <w:tcPr/>
                <w:p>
                  <w:pPr>
                    <w:pStyle w:val="Compact"/>
                    <w:jc w:val="center"/>
                  </w:pPr>
                  <w:r>
                    <w:t xml:space="preserve">0,695 (0,665-0,725)</w:t>
                  </w:r>
                </w:p>
              </w:tc>
              <w:tc>
                <w:tcPr/>
                <w:p>
                  <w:pPr>
                    <w:pStyle w:val="Compact"/>
                    <w:jc w:val="center"/>
                  </w:pPr>
                  <w:r>
                    <w:t xml:space="preserve">0,638</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0,668</w:t>
                  </w:r>
                </w:p>
              </w:tc>
              <w:tc>
                <w:tcPr/>
                <w:p>
                  <w:pPr>
                    <w:pStyle w:val="Compact"/>
                    <w:jc w:val="center"/>
                  </w:pPr>
                  <w:r>
                    <w:t xml:space="preserve">0,675 (0,596-0,754)</w:t>
                  </w:r>
                </w:p>
              </w:tc>
              <w:tc>
                <w:tcPr/>
                <w:p>
                  <w:pPr>
                    <w:pStyle w:val="Compact"/>
                    <w:jc w:val="center"/>
                  </w:pPr>
                  <w:r>
                    <w:t xml:space="preserve">0,626</w:t>
                  </w:r>
                </w:p>
              </w:tc>
            </w:tr>
          </w:tbl>
          <w:bookmarkEnd w:id="1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1" w:name="tbl-calibration-formal"/>
          <w:p>
            <w:pPr>
              <w:jc w:val="center"/>
            </w:pPr>
            <w:pPr>
              <w:jc w:val="left"/>
              <w:spacing w:before="200"/>
              <w:pStyle w:val="ImageCaption"/>
            </w:pPr>
            <w:r>
              <w:t xml:space="preserve">Tabela 13— Calibração formal por coorte</w:t>
            </w:r>
          </w:p>
          <w:tbl>
            <w:tblPr>
              <w:tblStyle w:val="Table"/>
              <w:tblW w:type="pct" w:w="4950"/>
              <w:tblLayout w:type="fixed"/>
              <w:tblLook w:firstRow="1" w:lastRow="0" w:firstColumn="0" w:lastColumn="0" w:noHBand="0" w:noVBand="0" w:val="0020"/>
            </w:tblPr>
            <w:tblGrid>
              <w:gridCol w:w="1188"/>
              <w:gridCol w:w="712"/>
              <w:gridCol w:w="1108"/>
              <w:gridCol w:w="1346"/>
              <w:gridCol w:w="110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alpha (EP)</w:t>
                  </w:r>
                </w:p>
              </w:tc>
              <w:tc>
                <w:tcPr/>
                <w:p>
                  <w:pPr>
                    <w:pStyle w:val="Compact"/>
                    <w:jc w:val="center"/>
                  </w:pPr>
                  <w:r>
                    <w:t xml:space="preserve">beta (EP)</w:t>
                  </w:r>
                </w:p>
              </w:tc>
              <w:tc>
                <w:tcPr/>
                <w:p>
                  <w:pPr>
                    <w:pStyle w:val="Compact"/>
                    <w:jc w:val="center"/>
                  </w:pPr>
                  <w:r>
                    <w:t xml:space="preserve">E/O</w:t>
                  </w:r>
                </w:p>
              </w:tc>
              <w:tc>
                <w:tcPr/>
                <w:p>
                  <w:pPr>
                    <w:pStyle w:val="Compact"/>
                    <w:jc w:val="center"/>
                  </w:pPr>
                  <w:r>
                    <w:t xml:space="preserve">Brier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0,56 (0,18)</w:t>
                  </w:r>
                </w:p>
              </w:tc>
              <w:tc>
                <w:tcPr/>
                <w:p>
                  <w:pPr>
                    <w:pStyle w:val="Compact"/>
                    <w:jc w:val="center"/>
                  </w:pPr>
                  <w:r>
                    <w:t xml:space="preserve">0,96 (0,09)</w:t>
                  </w:r>
                </w:p>
              </w:tc>
              <w:tc>
                <w:tcPr/>
                <w:p>
                  <w:pPr>
                    <w:pStyle w:val="Compact"/>
                    <w:jc w:val="center"/>
                  </w:pPr>
                  <w:r>
                    <w:t xml:space="preserve">0,61</w:t>
                  </w:r>
                </w:p>
              </w:tc>
              <w:tc>
                <w:tcPr/>
                <w:p>
                  <w:pPr>
                    <w:pStyle w:val="Compact"/>
                    <w:jc w:val="center"/>
                  </w:pPr>
                  <w:r>
                    <w:t xml:space="preserve">0,158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5,40 (2,29)</w:t>
                  </w:r>
                </w:p>
              </w:tc>
              <w:tc>
                <w:tcPr/>
                <w:p>
                  <w:pPr>
                    <w:pStyle w:val="Compact"/>
                    <w:jc w:val="center"/>
                  </w:pPr>
                  <w:r>
                    <w:t xml:space="preserve">2,74 (0,79)</w:t>
                  </w:r>
                </w:p>
              </w:tc>
              <w:tc>
                <w:tcPr/>
                <w:p>
                  <w:pPr>
                    <w:pStyle w:val="Compact"/>
                    <w:jc w:val="center"/>
                  </w:pPr>
                  <w:r>
                    <w:t xml:space="preserve">0,74</w:t>
                  </w:r>
                </w:p>
              </w:tc>
              <w:tc>
                <w:tcPr/>
                <w:p>
                  <w:pPr>
                    <w:pStyle w:val="Compact"/>
                    <w:jc w:val="center"/>
                  </w:pPr>
                  <w:r>
                    <w:t xml:space="preserve">0,061</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1,15 (0,25)</w:t>
                  </w:r>
                </w:p>
              </w:tc>
              <w:tc>
                <w:tcPr/>
                <w:p>
                  <w:pPr>
                    <w:pStyle w:val="Compact"/>
                    <w:jc w:val="center"/>
                  </w:pPr>
                  <w:r>
                    <w:t xml:space="preserve">1,77 (0,17)</w:t>
                  </w:r>
                </w:p>
              </w:tc>
              <w:tc>
                <w:tcPr/>
                <w:p>
                  <w:pPr>
                    <w:pStyle w:val="Compact"/>
                    <w:jc w:val="center"/>
                  </w:pPr>
                  <w:r>
                    <w:t xml:space="preserve">0,97</w:t>
                  </w:r>
                </w:p>
              </w:tc>
              <w:tc>
                <w:tcPr/>
                <w:p>
                  <w:pPr>
                    <w:pStyle w:val="Compact"/>
                    <w:jc w:val="center"/>
                  </w:pPr>
                  <w:r>
                    <w:t xml:space="preserve">0,143</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0,93 (0,75)</w:t>
                  </w:r>
                </w:p>
              </w:tc>
              <w:tc>
                <w:tcPr/>
                <w:p>
                  <w:pPr>
                    <w:pStyle w:val="Compact"/>
                    <w:jc w:val="center"/>
                  </w:pPr>
                  <w:r>
                    <w:t xml:space="preserve">1,57 (0,46)</w:t>
                  </w:r>
                </w:p>
              </w:tc>
              <w:tc>
                <w:tcPr/>
                <w:p>
                  <w:pPr>
                    <w:pStyle w:val="Compact"/>
                    <w:jc w:val="center"/>
                  </w:pPr>
                  <w:r>
                    <w:t xml:space="preserve">0,98</w:t>
                  </w:r>
                </w:p>
              </w:tc>
              <w:tc>
                <w:tcPr/>
                <w:p>
                  <w:pPr>
                    <w:pStyle w:val="Compact"/>
                    <w:jc w:val="center"/>
                  </w:pPr>
                  <w:r>
                    <w:t xml:space="preserve">0,130</w:t>
                  </w:r>
                </w:p>
              </w:tc>
            </w:tr>
          </w:tbl>
          <w:bookmarkEnd w:id="161"/>
          <w:p/>
        </w:tc>
      </w:tr>
    </w:tbl>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tbl>
      <w:tblPr>
        <w:tblStyle w:val="Table"/>
        <w:tblW w:type="pct" w:w="5000"/>
        <w:tblLayout w:type="fixed"/>
        <w:tblLook w:firstRow="0" w:lastRow="0" w:firstColumn="0" w:lastColumn="0" w:noHBand="0" w:noVBand="0" w:val="0000"/>
      </w:tblPr>
      <w:tblGrid>
        <w:gridCol w:w="7920"/>
      </w:tblGrid>
      <w:tr>
        <w:tc>
          <w:tcPr/>
          <w:bookmarkStart w:id="165" w:name="fig-dca"/>
          <w:p>
            <w:pPr>
              <w:pStyle w:val="Compact"/>
              <w:jc w:val="center"/>
            </w:pPr>
            <w:r>
              <w:drawing>
                <wp:inline>
                  <wp:extent cx="5687999" cy="4265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19—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tc>
      </w:tr>
    </w:tbl>
    <w:p>
      <w:r>
        <w:br w:type="page"/>
      </w:r>
    </w:p>
    <w:tbl>
      <w:tblPr>
        <w:tblStyle w:val="Table"/>
        <w:tblW w:type="pct" w:w="5000"/>
        <w:tblLayout w:type="fixed"/>
        <w:tblLook w:firstRow="0" w:lastRow="0" w:firstColumn="0" w:lastColumn="0" w:noHBand="0" w:noVBand="0" w:val="0000"/>
      </w:tblPr>
      <w:tblGrid>
        <w:gridCol w:w="7920"/>
      </w:tblGrid>
      <w:tr>
        <w:tc>
          <w:tcPr/>
          <w:bookmarkStart w:id="169" w:name="fig-pca-metabric"/>
          <w:p>
            <w:pPr>
              <w:pStyle w:val="Compact"/>
              <w:jc w:val="center"/>
            </w:pPr>
            <w:r>
              <w:drawing>
                <wp:inline>
                  <wp:extent cx="5687999" cy="2031428"/>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687999" cy="2031428"/>
                          </a:xfrm>
                          <a:prstGeom prst="rect">
                            <a:avLst/>
                          </a:prstGeom>
                          <a:noFill/>
                          <a:ln w="9525">
                            <a:noFill/>
                            <a:headEnd/>
                            <a:tailEnd/>
                          </a:ln>
                        </pic:spPr>
                      </pic:pic>
                    </a:graphicData>
                  </a:graphic>
                </wp:inline>
              </w:drawing>
            </w:r>
          </w:p>
          <w:p>
            <w:pPr>
              <w:jc w:val="center"/>
            </w:pPr>
            <w:pPr>
              <w:jc w:val="left"/>
              <w:spacing w:before="200"/>
              <w:pStyle w:val="ImageCaption"/>
            </w:pPr>
            <w:r>
              <w:t xml:space="preserve">Figura 20— PCA forense da matriz de expressão METABRIC. Componentes principais coloridos por status de RE. PC1 captura a principal dicotomia biológica (ER+/ER-), sem evidência de efeitos de batch dominantes, confirmando integridade dos dados.</w:t>
            </w:r>
          </w:p>
          <w:bookmarkEnd w:id="169"/>
        </w:tc>
      </w:tr>
    </w:tbl>
    <w:p>
      <w:r>
        <w:br w:type="page"/>
      </w:r>
    </w:p>
    <w:bookmarkEnd w:id="170"/>
    <w:bookmarkStart w:id="178"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Subgrupo</w:t>
            </w:r>
          </w:p>
        </w:tc>
        <w:tc>
          <w:tcPr/>
          <w:p>
            <w:pPr>
              <w:pStyle w:val="Compact"/>
            </w:pPr>
            <w:r>
              <w:t xml:space="preserve">N</w:t>
            </w:r>
          </w:p>
        </w:tc>
        <w:tc>
          <w:tcPr/>
          <w:p>
            <w:pPr>
              <w:pStyle w:val="Compact"/>
            </w:pPr>
            <w:r>
              <w:t xml:space="preserve">Eventos</w:t>
            </w:r>
          </w:p>
        </w:tc>
        <w:tc>
          <w:tcPr/>
          <w:p>
            <w:pPr>
              <w:pStyle w:val="Compact"/>
            </w:pPr>
            <w:r>
              <w:t xml:space="preserve">HR (IC 95%)</w:t>
            </w:r>
          </w:p>
        </w:tc>
        <w:tc>
          <w:tcPr/>
          <w:p>
            <w:pPr>
              <w:pStyle w:val="Compact"/>
            </w:pPr>
            <w:r>
              <w:t xml:space="preserve">p</w:t>
            </w:r>
          </w:p>
        </w:tc>
        <w:tc>
          <w:tcPr/>
          <w:p>
            <w:pPr>
              <w:pStyle w:val="Compact"/>
            </w:pPr>
            <w:r>
              <w:rPr>
                <w:i/>
                <w:iCs/>
              </w:rPr>
              <w:t xml:space="preserve">C-index</w:t>
            </w:r>
          </w:p>
        </w:tc>
      </w:tr>
      <w:tr>
        <w:tc>
          <w:tcPr/>
          <w:p>
            <w:pPr>
              <w:pStyle w:val="Compact"/>
            </w:pPr>
            <w:r>
              <w:t xml:space="preserve">RE-positivo</w:t>
            </w:r>
          </w:p>
        </w:tc>
        <w:tc>
          <w:tcPr/>
          <w:p>
            <w:pPr>
              <w:pStyle w:val="Compact"/>
            </w:pPr>
            <w:r>
              <w:t xml:space="preserve">2 646</w:t>
            </w:r>
          </w:p>
        </w:tc>
        <w:tc>
          <w:tcPr/>
          <w:p>
            <w:pPr>
              <w:pStyle w:val="Compact"/>
            </w:pPr>
            <w:r>
              <w:t xml:space="preserve">287</w:t>
            </w:r>
          </w:p>
        </w:tc>
        <w:tc>
          <w:tcPr/>
          <w:p>
            <w:pPr>
              <w:pStyle w:val="Compact"/>
            </w:pPr>
            <w:r>
              <w:t xml:space="preserve">1,92 (1,69-2,17)</w:t>
            </w:r>
          </w:p>
        </w:tc>
        <w:tc>
          <w:tcPr/>
          <w:p>
            <w:pPr>
              <w:pStyle w:val="Compact"/>
            </w:pPr>
            <w:r>
              <w:t xml:space="preserve">&lt;0,001</w:t>
            </w:r>
          </w:p>
        </w:tc>
        <w:tc>
          <w:tcPr/>
          <w:p>
            <w:pPr>
              <w:pStyle w:val="Compact"/>
            </w:pPr>
            <w:r>
              <w:t xml:space="preserve">0,700</w:t>
            </w:r>
          </w:p>
        </w:tc>
      </w:tr>
      <w:tr>
        <w:tc>
          <w:tcPr/>
          <w:p>
            <w:pPr>
              <w:pStyle w:val="Compact"/>
            </w:pPr>
            <w:r>
              <w:t xml:space="preserve">RE-negativo</w:t>
            </w:r>
          </w:p>
        </w:tc>
        <w:tc>
          <w:tcPr/>
          <w:p>
            <w:pPr>
              <w:pStyle w:val="Compact"/>
            </w:pPr>
            <w:r>
              <w:t xml:space="preserve">224</w:t>
            </w:r>
          </w:p>
        </w:tc>
        <w:tc>
          <w:tcPr/>
          <w:p>
            <w:pPr>
              <w:pStyle w:val="Compact"/>
            </w:pPr>
            <w:r>
              <w:t xml:space="preserve">35</w:t>
            </w:r>
          </w:p>
        </w:tc>
        <w:tc>
          <w:tcPr/>
          <w:p>
            <w:pPr>
              <w:pStyle w:val="Compact"/>
            </w:pPr>
            <w:r>
              <w:t xml:space="preserve">2,53 (1,51-4,25)</w:t>
            </w:r>
          </w:p>
        </w:tc>
        <w:tc>
          <w:tcPr/>
          <w:p>
            <w:pPr>
              <w:pStyle w:val="Compact"/>
            </w:pPr>
            <w:r>
              <w:t xml:space="preserve">&lt;0,001</w:t>
            </w:r>
          </w:p>
        </w:tc>
        <w:tc>
          <w:tcPr/>
          <w:p>
            <w:pPr>
              <w:pStyle w:val="Compact"/>
            </w:pPr>
            <w:r>
              <w:t xml:space="preserve">0,697</w:t>
            </w:r>
          </w:p>
        </w:tc>
      </w:tr>
      <w:tr>
        <w:tc>
          <w:tcPr/>
          <w:p>
            <w:pPr>
              <w:pStyle w:val="Compact"/>
            </w:pPr>
            <w:r>
              <w:t xml:space="preserve">Interação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 = 0,25</w:t>
            </w:r>
          </w:p>
        </w:tc>
        <w:tc>
          <w:tcPr/>
          <w:p>
            <w:pPr>
              <w:pStyle w:val="Compact"/>
            </w:pPr>
            <w:r>
              <w:t xml:space="preserve">—</w:t>
            </w:r>
          </w:p>
        </w:tc>
      </w:tr>
    </w:tbl>
    <w:bookmarkEnd w:id="171"/>
    <w:bookmarkStart w:id="177" w:name="metabric-n-1-936-dss"/>
    <w:p>
      <w:pPr>
        <w:pStyle w:val="Heading3"/>
      </w:pPr>
      <w:r>
        <w:t xml:space="preserve">4.7.2 METABRIC (N = 1 936; DSS)</w:t>
      </w:r>
    </w:p>
    <w:tbl>
      <w:tblPr>
        <w:tblStyle w:val="Table"/>
        <w:tblW w:type="pct" w:w="5000"/>
        <w:tblLayout w:type="fixed"/>
        <w:tblLook w:firstRow="0" w:lastRow="0" w:firstColumn="0" w:lastColumn="0" w:noHBand="0" w:noVBand="0" w:val="0000"/>
      </w:tblPr>
      <w:tblGrid>
        <w:gridCol w:w="7920"/>
      </w:tblGrid>
      <w:tr>
        <w:tc>
          <w:tcPr/>
          <w:bookmarkStart w:id="172" w:name="tbl-er-subgroup"/>
          <w:p>
            <w:pPr>
              <w:jc w:val="center"/>
            </w:pPr>
            <w:pPr>
              <w:jc w:val="left"/>
              <w:spacing w:before="200"/>
              <w:pStyle w:val="ImageCaption"/>
            </w:pPr>
            <w:r>
              <w:t xml:space="preserve">Tabela 14— Análise de subgrupo por status de 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Subgrupo</w:t>
                  </w:r>
                </w:p>
              </w:tc>
              <w:tc>
                <w:tcPr/>
                <w:p>
                  <w:pPr>
                    <w:pStyle w:val="Compact"/>
                    <w:jc w:val="center"/>
                  </w:pPr>
                  <w:r>
                    <w:t xml:space="preserve">N</w:t>
                  </w:r>
                </w:p>
              </w:tc>
              <w:tc>
                <w:tcPr/>
                <w:p>
                  <w:pPr>
                    <w:pStyle w:val="Compact"/>
                    <w:jc w:val="center"/>
                  </w:pPr>
                  <w:r>
                    <w:t xml:space="preserve">Eventos</w:t>
                  </w:r>
                </w:p>
              </w:tc>
              <w:tc>
                <w:tcPr/>
                <w:p>
                  <w:pPr>
                    <w:pStyle w:val="Compact"/>
                    <w:jc w:val="center"/>
                  </w:pPr>
                  <w:r>
                    <w:t xml:space="preserve">HR (IC 95%)</w:t>
                  </w:r>
                </w:p>
              </w:tc>
              <w:tc>
                <w:tcPr/>
                <w:p>
                  <w:pPr>
                    <w:pStyle w:val="Compact"/>
                    <w:jc w:val="center"/>
                  </w:pPr>
                  <w:r>
                    <w:t xml:space="preserve">p</w:t>
                  </w:r>
                </w:p>
              </w:tc>
              <w:tc>
                <w:tcPr/>
                <w:p>
                  <w:pPr>
                    <w:pStyle w:val="Compact"/>
                    <w:jc w:val="center"/>
                  </w:pPr>
                  <w:r>
                    <w:rPr>
                      <w:i/>
                      <w:iCs/>
                    </w:rPr>
                    <w:t xml:space="preserve">C-index</w:t>
                  </w:r>
                </w:p>
              </w:tc>
            </w:tr>
            <w:tr>
              <w:tc>
                <w:tcPr/>
                <w:p>
                  <w:pPr>
                    <w:pStyle w:val="Compact"/>
                    <w:jc w:val="center"/>
                  </w:pPr>
                  <w:r>
                    <w:t xml:space="preserve">RE-positivo</w:t>
                  </w:r>
                </w:p>
              </w:tc>
              <w:tc>
                <w:tcPr/>
                <w:p>
                  <w:pPr>
                    <w:pStyle w:val="Compact"/>
                    <w:jc w:val="center"/>
                  </w:pPr>
                  <w:r>
                    <w:t xml:space="preserve">1 497</w:t>
                  </w:r>
                </w:p>
              </w:tc>
              <w:tc>
                <w:tcPr/>
                <w:p>
                  <w:pPr>
                    <w:pStyle w:val="Compact"/>
                    <w:jc w:val="center"/>
                  </w:pPr>
                  <w:r>
                    <w:t xml:space="preserve">460</w:t>
                  </w:r>
                </w:p>
              </w:tc>
              <w:tc>
                <w:tcPr/>
                <w:p>
                  <w:pPr>
                    <w:pStyle w:val="Compact"/>
                    <w:jc w:val="center"/>
                  </w:pPr>
                  <w:r>
                    <w:t xml:space="preserve">1,59 (1,44-1,76)</w:t>
                  </w:r>
                </w:p>
              </w:tc>
              <w:tc>
                <w:tcPr/>
                <w:p>
                  <w:pPr>
                    <w:pStyle w:val="Compact"/>
                    <w:jc w:val="center"/>
                  </w:pPr>
                  <w:r>
                    <w:t xml:space="preserve">&lt;0,001</w:t>
                  </w:r>
                </w:p>
              </w:tc>
              <w:tc>
                <w:tcPr/>
                <w:p>
                  <w:pPr>
                    <w:pStyle w:val="Compact"/>
                    <w:jc w:val="center"/>
                  </w:pPr>
                  <w:r>
                    <w:t xml:space="preserve">0,638</w:t>
                  </w:r>
                </w:p>
              </w:tc>
            </w:tr>
            <w:tr>
              <w:tc>
                <w:tcPr/>
                <w:p>
                  <w:pPr>
                    <w:pStyle w:val="Compact"/>
                    <w:jc w:val="center"/>
                  </w:pPr>
                  <w:r>
                    <w:t xml:space="preserve">RE-negativo</w:t>
                  </w:r>
                </w:p>
              </w:tc>
              <w:tc>
                <w:tcPr/>
                <w:p>
                  <w:pPr>
                    <w:pStyle w:val="Compact"/>
                    <w:jc w:val="center"/>
                  </w:pPr>
                  <w:r>
                    <w:t xml:space="preserve">439</w:t>
                  </w:r>
                </w:p>
              </w:tc>
              <w:tc>
                <w:tcPr/>
                <w:p>
                  <w:pPr>
                    <w:pStyle w:val="Compact"/>
                    <w:jc w:val="center"/>
                  </w:pPr>
                  <w:r>
                    <w:t xml:space="preserve">186</w:t>
                  </w:r>
                </w:p>
              </w:tc>
              <w:tc>
                <w:tcPr/>
                <w:p>
                  <w:pPr>
                    <w:pStyle w:val="Compact"/>
                    <w:jc w:val="center"/>
                  </w:pPr>
                  <w:r>
                    <w:t xml:space="preserve">0,97 (0,82-1,15)</w:t>
                  </w:r>
                </w:p>
              </w:tc>
              <w:tc>
                <w:tcPr/>
                <w:p>
                  <w:pPr>
                    <w:pStyle w:val="Compact"/>
                    <w:jc w:val="center"/>
                  </w:pPr>
                  <w:r>
                    <w:t xml:space="preserve">0,75</w:t>
                  </w:r>
                </w:p>
              </w:tc>
              <w:tc>
                <w:tcPr/>
                <w:p>
                  <w:pPr>
                    <w:pStyle w:val="Compact"/>
                    <w:jc w:val="center"/>
                  </w:pPr>
                  <w:r>
                    <w:t xml:space="preserve">0,502</w:t>
                  </w:r>
                </w:p>
              </w:tc>
            </w:tr>
            <w:tr>
              <w:tc>
                <w:tcPr/>
                <w:p>
                  <w:pPr>
                    <w:pStyle w:val="Compact"/>
                    <w:jc w:val="center"/>
                  </w:pPr>
                  <w:r>
                    <w:t xml:space="preserve">Interação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 = 3,2 x 10</w:t>
                  </w:r>
                  <w:r>
                    <w:rPr>
                      <w:vertAlign w:val="superscript"/>
                    </w:rPr>
                    <w:t xml:space="preserve">-7</w:t>
                  </w:r>
                </w:p>
              </w:tc>
              <w:tc>
                <w:tcPr/>
                <w:p>
                  <w:pPr>
                    <w:pStyle w:val="Compact"/>
                    <w:jc w:val="center"/>
                  </w:pPr>
                  <w:r>
                    <w:t xml:space="preserve">—</w:t>
                  </w:r>
                </w:p>
              </w:tc>
            </w:tr>
          </w:tbl>
          <w:bookmarkEnd w:id="172"/>
          <w:p/>
        </w:tc>
      </w:tr>
    </w:tbl>
    <w:tbl>
      <w:tblPr>
        <w:tblStyle w:val="Table"/>
        <w:tblW w:type="pct" w:w="5000"/>
        <w:tblLayout w:type="fixed"/>
        <w:tblLook w:firstRow="0" w:lastRow="0" w:firstColumn="0" w:lastColumn="0" w:noHBand="0" w:noVBand="0" w:val="0000"/>
      </w:tblPr>
      <w:tblGrid>
        <w:gridCol w:w="7920"/>
      </w:tblGrid>
      <w:tr>
        <w:tc>
          <w:tcPr/>
          <w:bookmarkStart w:id="176" w:name="fig-er-forest"/>
          <w:p>
            <w:pPr>
              <w:pStyle w:val="Compact"/>
              <w:jc w:val="center"/>
            </w:pPr>
            <w:r>
              <w:drawing>
                <wp:inline>
                  <wp:extent cx="5687999" cy="34127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Forest plot de subgrupos por status de receptor de estrogênio (ER-positivo e ER-negativo). No METABRIC (análise com maior poder), o sinal prognóstico está fortemente concentrado em RE+ (HR = 1,59) com ausência de sinal em RE- (HR = 0,97).</w:t>
            </w:r>
          </w:p>
          <w:bookmarkEnd w:id="176"/>
        </w:tc>
      </w:tr>
    </w:tbl>
    <w:p>
      <w:r>
        <w:br w:type="page"/>
      </w:r>
    </w:p>
    <w:bookmarkEnd w:id="177"/>
    <w:bookmarkEnd w:id="178"/>
    <w:bookmarkStart w:id="196"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tbl>
      <w:tblPr>
        <w:tblStyle w:val="Table"/>
        <w:tblW w:type="pct" w:w="5000"/>
        <w:tblLayout w:type="fixed"/>
        <w:tblLook w:firstRow="0" w:lastRow="0" w:firstColumn="0" w:lastColumn="0" w:noHBand="0" w:noVBand="0" w:val="0000"/>
      </w:tblPr>
      <w:tblGrid>
        <w:gridCol w:w="7920"/>
      </w:tblGrid>
      <w:tr>
        <w:tc>
          <w:tcPr/>
          <w:bookmarkStart w:id="179" w:name="tbl-pcr"/>
          <w:p>
            <w:pPr>
              <w:jc w:val="center"/>
            </w:pPr>
            <w:pPr>
              <w:jc w:val="left"/>
              <w:spacing w:before="200"/>
              <w:pStyle w:val="ImageCaption"/>
            </w:pPr>
            <w:r>
              <w:t xml:space="preserve">Tabela 15— Predição de pCR por coorte neoadjuvante. I-quadrado = 0%.</w:t>
            </w:r>
          </w:p>
          <w:tbl>
            <w:tblPr>
              <w:tblStyle w:val="Table"/>
              <w:tblW w:type="pct" w:w="5000"/>
              <w:tblLayout w:type="fixed"/>
              <w:tblLook w:firstRow="1" w:lastRow="0" w:firstColumn="0" w:lastColumn="0" w:noHBand="0" w:noVBand="0" w:val="0020"/>
            </w:tblPr>
            <w:tblGrid>
              <w:gridCol w:w="1425"/>
              <w:gridCol w:w="950"/>
              <w:gridCol w:w="792"/>
              <w:gridCol w:w="1584"/>
              <w:gridCol w:w="1584"/>
              <w:gridCol w:w="1584"/>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pCR n (%)</w:t>
                  </w:r>
                </w:p>
              </w:tc>
              <w:tc>
                <w:tcPr/>
                <w:p>
                  <w:pPr>
                    <w:pStyle w:val="Compact"/>
                    <w:jc w:val="center"/>
                  </w:pPr>
                  <w:r>
                    <w:t xml:space="preserve">OR por 1 DP (IC 95%)</w:t>
                  </w:r>
                </w:p>
              </w:tc>
              <w:tc>
                <w:tcPr/>
                <w:p>
                  <w:pPr>
                    <w:pStyle w:val="Compact"/>
                    <w:jc w:val="center"/>
                  </w:pPr>
                  <w:r>
                    <w:t xml:space="preserve">p</w:t>
                  </w:r>
                </w:p>
              </w:tc>
              <w:tc>
                <w:tcPr/>
                <w:p>
                  <w:pPr>
                    <w:pStyle w:val="Compact"/>
                    <w:jc w:val="center"/>
                  </w:pPr>
                  <w:r>
                    <w:t xml:space="preserve">AUC (IC 95%)</w:t>
                  </w:r>
                </w:p>
              </w:tc>
            </w:tr>
            <w:tr>
              <w:tc>
                <w:tcPr/>
                <w:p>
                  <w:pPr>
                    <w:pStyle w:val="Compact"/>
                    <w:jc w:val="center"/>
                  </w:pPr>
                  <w:r>
                    <w:t xml:space="preserve">GSE25066</w:t>
                  </w:r>
                </w:p>
              </w:tc>
              <w:tc>
                <w:tcPr/>
                <w:p>
                  <w:pPr>
                    <w:pStyle w:val="Compact"/>
                    <w:jc w:val="center"/>
                  </w:pPr>
                  <w:r>
                    <w:t xml:space="preserve">182</w:t>
                  </w:r>
                </w:p>
              </w:tc>
              <w:tc>
                <w:tcPr/>
                <w:p>
                  <w:pPr>
                    <w:pStyle w:val="Compact"/>
                    <w:jc w:val="center"/>
                  </w:pPr>
                  <w:r>
                    <w:t xml:space="preserve">42 (23,1%)</w:t>
                  </w:r>
                </w:p>
              </w:tc>
              <w:tc>
                <w:tcPr/>
                <w:p>
                  <w:pPr>
                    <w:pStyle w:val="Compact"/>
                    <w:jc w:val="center"/>
                  </w:pPr>
                  <w:r>
                    <w:t xml:space="preserve">1,44 (0,98-2,09)</w:t>
                  </w:r>
                </w:p>
              </w:tc>
              <w:tc>
                <w:tcPr/>
                <w:p>
                  <w:pPr>
                    <w:pStyle w:val="Compact"/>
                    <w:jc w:val="center"/>
                  </w:pPr>
                  <w:r>
                    <w:t xml:space="preserve">0,060</w:t>
                  </w:r>
                </w:p>
              </w:tc>
              <w:tc>
                <w:tcPr/>
                <w:p>
                  <w:pPr>
                    <w:pStyle w:val="Compact"/>
                    <w:jc w:val="center"/>
                  </w:pPr>
                  <w:r>
                    <w:t xml:space="preserve">0,576 (0,477-0,676)</w:t>
                  </w:r>
                </w:p>
              </w:tc>
            </w:tr>
            <w:tr>
              <w:tc>
                <w:tcPr/>
                <w:p>
                  <w:pPr>
                    <w:pStyle w:val="Compact"/>
                    <w:jc w:val="center"/>
                  </w:pPr>
                  <w:r>
                    <w:t xml:space="preserve">GSE20194</w:t>
                  </w:r>
                </w:p>
              </w:tc>
              <w:tc>
                <w:tcPr/>
                <w:p>
                  <w:pPr>
                    <w:pStyle w:val="Compact"/>
                    <w:jc w:val="center"/>
                  </w:pPr>
                  <w:r>
                    <w:t xml:space="preserve">278</w:t>
                  </w:r>
                </w:p>
              </w:tc>
              <w:tc>
                <w:tcPr/>
                <w:p>
                  <w:pPr>
                    <w:pStyle w:val="Compact"/>
                    <w:jc w:val="center"/>
                  </w:pPr>
                  <w:r>
                    <w:t xml:space="preserve">56 (20,1%)</w:t>
                  </w:r>
                </w:p>
              </w:tc>
              <w:tc>
                <w:tcPr/>
                <w:p>
                  <w:pPr>
                    <w:pStyle w:val="Compact"/>
                    <w:jc w:val="center"/>
                  </w:pPr>
                  <w:r>
                    <w:t xml:space="preserve">1,73 (1,25-2,38)</w:t>
                  </w:r>
                </w:p>
              </w:tc>
              <w:tc>
                <w:tcPr/>
                <w:p>
                  <w:pPr>
                    <w:pStyle w:val="Compact"/>
                    <w:jc w:val="center"/>
                  </w:pPr>
                  <w:r>
                    <w:t xml:space="preserve">&lt;0,001</w:t>
                  </w:r>
                </w:p>
              </w:tc>
              <w:tc>
                <w:tcPr/>
                <w:p>
                  <w:pPr>
                    <w:pStyle w:val="Compact"/>
                    <w:jc w:val="center"/>
                  </w:pPr>
                  <w:r>
                    <w:t xml:space="preserve">0,660 (0,586-0,734)</w:t>
                  </w:r>
                </w:p>
              </w:tc>
            </w:tr>
            <w:tr>
              <w:tc>
                <w:tcPr/>
                <w:p>
                  <w:pPr>
                    <w:pStyle w:val="Compact"/>
                    <w:jc w:val="center"/>
                  </w:pPr>
                  <w:r>
                    <w:t xml:space="preserve">GSE32646</w:t>
                  </w:r>
                </w:p>
              </w:tc>
              <w:tc>
                <w:tcPr/>
                <w:p>
                  <w:pPr>
                    <w:pStyle w:val="Compact"/>
                    <w:jc w:val="center"/>
                  </w:pPr>
                  <w:r>
                    <w:t xml:space="preserve">115</w:t>
                  </w:r>
                </w:p>
              </w:tc>
              <w:tc>
                <w:tcPr/>
                <w:p>
                  <w:pPr>
                    <w:pStyle w:val="Compact"/>
                    <w:jc w:val="center"/>
                  </w:pPr>
                  <w:r>
                    <w:t xml:space="preserve">27 (23,5%)</w:t>
                  </w:r>
                </w:p>
              </w:tc>
              <w:tc>
                <w:tcPr/>
                <w:p>
                  <w:pPr>
                    <w:pStyle w:val="Compact"/>
                    <w:jc w:val="center"/>
                  </w:pPr>
                  <w:r>
                    <w:t xml:space="preserve">2,10 (1,31-3,39)</w:t>
                  </w:r>
                </w:p>
              </w:tc>
              <w:tc>
                <w:tcPr/>
                <w:p>
                  <w:pPr>
                    <w:pStyle w:val="Compact"/>
                    <w:jc w:val="center"/>
                  </w:pPr>
                  <w:r>
                    <w:t xml:space="preserve">0,002</w:t>
                  </w:r>
                </w:p>
              </w:tc>
              <w:tc>
                <w:tcPr/>
                <w:p>
                  <w:pPr>
                    <w:pStyle w:val="Compact"/>
                    <w:jc w:val="center"/>
                  </w:pPr>
                  <w:r>
                    <w:t xml:space="preserve">0,716 (0,611-0,821)</w:t>
                  </w:r>
                </w:p>
              </w:tc>
            </w:tr>
            <w:tr>
              <w:tc>
                <w:tcPr/>
                <w:p>
                  <w:pPr>
                    <w:pStyle w:val="Compact"/>
                    <w:jc w:val="center"/>
                  </w:pPr>
                  <w:r>
                    <w:t xml:space="preserve">I-SPY1</w:t>
                  </w:r>
                </w:p>
              </w:tc>
              <w:tc>
                <w:tcPr/>
                <w:p>
                  <w:pPr>
                    <w:pStyle w:val="Compact"/>
                    <w:jc w:val="center"/>
                  </w:pPr>
                  <w:r>
                    <w:t xml:space="preserve">122</w:t>
                  </w:r>
                </w:p>
              </w:tc>
              <w:tc>
                <w:tcPr/>
                <w:p>
                  <w:pPr>
                    <w:pStyle w:val="Compact"/>
                    <w:jc w:val="center"/>
                  </w:pPr>
                  <w:r>
                    <w:t xml:space="preserve">32 (26,2%)</w:t>
                  </w:r>
                </w:p>
              </w:tc>
              <w:tc>
                <w:tcPr/>
                <w:p>
                  <w:pPr>
                    <w:pStyle w:val="Compact"/>
                    <w:jc w:val="center"/>
                  </w:pPr>
                  <w:r>
                    <w:t xml:space="preserve">1,66 (1,05-2,63)</w:t>
                  </w:r>
                </w:p>
              </w:tc>
              <w:tc>
                <w:tcPr/>
                <w:p>
                  <w:pPr>
                    <w:pStyle w:val="Compact"/>
                    <w:jc w:val="center"/>
                  </w:pPr>
                  <w:r>
                    <w:t xml:space="preserve">0,030</w:t>
                  </w:r>
                </w:p>
              </w:tc>
              <w:tc>
                <w:tcPr/>
                <w:p>
                  <w:pPr>
                    <w:pStyle w:val="Compact"/>
                    <w:jc w:val="center"/>
                  </w:pPr>
                  <w:r>
                    <w:t xml:space="preserve">0,622 (0,517-0,726)</w:t>
                  </w:r>
                </w:p>
              </w:tc>
            </w:tr>
            <w:tr>
              <w:tc>
                <w:tcPr/>
                <w:p>
                  <w:pPr>
                    <w:pStyle w:val="Compact"/>
                    <w:jc w:val="center"/>
                  </w:pPr>
                  <w:r>
                    <w:rPr>
                      <w:b/>
                      <w:bCs/>
                    </w:rPr>
                    <w:t xml:space="preserve">RE agrupado (K=4)</w:t>
                  </w:r>
                </w:p>
              </w:tc>
              <w:tc>
                <w:tcPr/>
                <w:p>
                  <w:pPr>
                    <w:pStyle w:val="Compact"/>
                    <w:jc w:val="center"/>
                  </w:pPr>
                  <w:r>
                    <w:rPr>
                      <w:b/>
                      <w:bCs/>
                    </w:rPr>
                    <w:t xml:space="preserve">697</w:t>
                  </w:r>
                </w:p>
              </w:tc>
              <w:tc>
                <w:tcPr/>
                <w:p>
                  <w:pPr>
                    <w:pStyle w:val="Compact"/>
                  </w:pPr>
                </w:p>
              </w:tc>
              <w:tc>
                <w:tcPr/>
                <w:p>
                  <w:pPr>
                    <w:pStyle w:val="Compact"/>
                    <w:jc w:val="center"/>
                  </w:pPr>
                  <w:r>
                    <w:rPr>
                      <w:b/>
                      <w:bCs/>
                    </w:rPr>
                    <w:t xml:space="preserve">1,69 (1,39-2,05)</w:t>
                  </w:r>
                </w:p>
              </w:tc>
              <w:tc>
                <w:tcPr/>
                <w:p>
                  <w:pPr>
                    <w:pStyle w:val="Compact"/>
                    <w:jc w:val="center"/>
                  </w:pPr>
                  <w:r>
                    <w:rPr>
                      <w:b/>
                      <w:bCs/>
                    </w:rPr>
                    <w:t xml:space="preserve">1,9 x 10</w:t>
                  </w:r>
                  <w:r>
                    <w:rPr>
                      <w:b/>
                      <w:bCs/>
                      <w:vertAlign w:val="superscript"/>
                    </w:rPr>
                    <w:t xml:space="preserve">-7</w:t>
                  </w:r>
                </w:p>
              </w:tc>
              <w:tc>
                <w:tcPr/>
                <w:p>
                  <w:pPr>
                    <w:pStyle w:val="Compact"/>
                  </w:pPr>
                </w:p>
              </w:tc>
            </w:tr>
          </w:tbl>
          <w:bookmarkEnd w:id="179"/>
          <w:p/>
        </w:tc>
      </w:tr>
    </w:tbl>
    <w:tbl>
      <w:tblPr>
        <w:tblStyle w:val="Table"/>
        <w:tblW w:type="pct" w:w="5000"/>
        <w:tblLayout w:type="fixed"/>
        <w:tblLook w:firstRow="0" w:lastRow="0" w:firstColumn="0" w:lastColumn="0" w:noHBand="0" w:noVBand="0" w:val="0000"/>
      </w:tblPr>
      <w:tblGrid>
        <w:gridCol w:w="7920"/>
      </w:tblGrid>
      <w:tr>
        <w:tc>
          <w:tcPr/>
          <w:bookmarkStart w:id="183" w:name="fig-pcr-forest"/>
          <w:p>
            <w:pPr>
              <w:pStyle w:val="Compact"/>
              <w:jc w:val="center"/>
            </w:pPr>
            <w:r>
              <w:drawing>
                <wp:inline>
                  <wp:extent cx="5687999" cy="315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687999" cy="3159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Forest plot de pCR (OR por 1-DP, K = 4 coortes primárias + I-SPY2 exploratória). Modelo de efeitos aleatórios. OR agrupado = 1,69 (IC 95% 1,39-2,05; p = 1,9 x 10^-7). I-quadrado = 0%, indicando consistência notável entre coortes de diferentes plataformas.</w:t>
            </w:r>
          </w:p>
          <w:bookmarkEnd w:id="183"/>
        </w:tc>
      </w:tr>
    </w:tbl>
    <w:p>
      <w:r>
        <w:br w:type="page"/>
      </w:r>
    </w:p>
    <w:tbl>
      <w:tblPr>
        <w:tblStyle w:val="Table"/>
        <w:tblW w:type="pct" w:w="5000"/>
        <w:tblLayout w:type="fixed"/>
        <w:tblLook w:firstRow="0" w:lastRow="0" w:firstColumn="0" w:lastColumn="0" w:noHBand="0" w:noVBand="0" w:val="0000"/>
      </w:tblPr>
      <w:tblGrid>
        <w:gridCol w:w="7920"/>
      </w:tblGrid>
      <w:tr>
        <w:tc>
          <w:tcPr/>
          <w:bookmarkStart w:id="187" w:name="fig-pcr-roc"/>
          <w:p>
            <w:pPr>
              <w:pStyle w:val="Compact"/>
              <w:jc w:val="center"/>
            </w:pPr>
            <w:r>
              <w:drawing>
                <wp:inline>
                  <wp:extent cx="5687999" cy="4976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687999" cy="4976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Curvas ROC para predição de pCR em cada coorte neoadjuvante. AUC variou de 0,576 (GSE25066) a 0,716 (GSE32646), indicando capacidade discriminativa moderada a boa — notável considerando que o escore foi derivado para sobrevida, não para pCR.</w:t>
            </w:r>
          </w:p>
          <w:bookmarkEnd w:id="187"/>
        </w:tc>
      </w:tr>
    </w:tbl>
    <w:p>
      <w:r>
        <w:br w:type="page"/>
      </w:r>
    </w:p>
    <w:tbl>
      <w:tblPr>
        <w:tblStyle w:val="Table"/>
        <w:tblW w:type="pct" w:w="5000"/>
        <w:tblLayout w:type="fixed"/>
        <w:tblLook w:firstRow="0" w:lastRow="0" w:firstColumn="0" w:lastColumn="0" w:noHBand="0" w:noVBand="0" w:val="0000"/>
      </w:tblPr>
      <w:tblGrid>
        <w:gridCol w:w="7920"/>
      </w:tblGrid>
      <w:tr>
        <w:tc>
          <w:tcPr/>
          <w:bookmarkStart w:id="191" w:name="fig-pcr-dist"/>
          <w:p>
            <w:pPr>
              <w:pStyle w:val="Compact"/>
              <w:jc w:val="center"/>
            </w:pPr>
            <w:r>
              <w:drawing>
                <wp:inline>
                  <wp:extent cx="5687999" cy="4265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tc>
      </w:tr>
    </w:tbl>
    <w:p>
      <w:r>
        <w:br w:type="page"/>
      </w:r>
    </w:p>
    <w:tbl>
      <w:tblPr>
        <w:tblStyle w:val="Table"/>
        <w:tblW w:type="pct" w:w="5000"/>
        <w:tblLayout w:type="fixed"/>
        <w:tblLook w:firstRow="0" w:lastRow="0" w:firstColumn="0" w:lastColumn="0" w:noHBand="0" w:noVBand="0" w:val="0000"/>
      </w:tblPr>
      <w:tblGrid>
        <w:gridCol w:w="7920"/>
      </w:tblGrid>
      <w:tr>
        <w:tc>
          <w:tcPr/>
          <w:bookmarkStart w:id="195" w:name="fig-pcr-quartile"/>
          <w:p>
            <w:pPr>
              <w:pStyle w:val="Compact"/>
              <w:jc w:val="center"/>
            </w:pPr>
            <w:r>
              <w:drawing>
                <wp:inline>
                  <wp:extent cx="5687999" cy="3554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25— Taxa de pCR por quartil do escore CorePAM em cada coorte neoadjuvante. Gradiente dose-resposta consistente: quartis mais altos associados a maiores taxas de pCR.</w:t>
            </w:r>
          </w:p>
          <w:bookmarkEnd w:id="195"/>
        </w:tc>
      </w:tr>
    </w:tbl>
    <w:p>
      <w:r>
        <w:br w:type="page"/>
      </w:r>
    </w:p>
    <w:bookmarkEnd w:id="196"/>
    <w:bookmarkStart w:id="202"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tbl>
      <w:tblPr>
        <w:tblStyle w:val="Table"/>
        <w:tblW w:type="pct" w:w="5000"/>
        <w:tblLayout w:type="fixed"/>
        <w:tblLook w:firstRow="0" w:lastRow="0" w:firstColumn="0" w:lastColumn="0" w:noHBand="0" w:noVBand="0" w:val="0000"/>
      </w:tblPr>
      <w:tblGrid>
        <w:gridCol w:w="7920"/>
      </w:tblGrid>
      <w:tr>
        <w:tc>
          <w:tcPr/>
          <w:bookmarkStart w:id="197" w:name="tbl-head-to-head"/>
          <w:p>
            <w:pPr>
              <w:jc w:val="center"/>
            </w:pPr>
            <w:pPr>
              <w:jc w:val="left"/>
              <w:spacing w:before="200"/>
              <w:pStyle w:val="ImageCaption"/>
            </w:pPr>
            <w:r>
              <w:t xml:space="preserve">Tabela 16—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pct" w:w="5000"/>
              <w:tblLayout w:type="fixed"/>
              <w:tblLook w:firstRow="1" w:lastRow="0" w:firstColumn="0" w:lastColumn="0" w:noHBand="0" w:noVBand="0" w:val="0020"/>
            </w:tblPr>
            <w:tblGrid>
              <w:gridCol w:w="1108"/>
              <w:gridCol w:w="1029"/>
              <w:gridCol w:w="792"/>
              <w:gridCol w:w="792"/>
              <w:gridCol w:w="792"/>
              <w:gridCol w:w="950"/>
              <w:gridCol w:w="1584"/>
              <w:gridCol w:w="871"/>
            </w:tblGrid>
            <w:tr>
              <w:trPr>
                <w:tblHeader w:val="on"/>
              </w:trPr>
              <w:tc>
                <w:tcPr/>
                <w:p>
                  <w:pPr>
                    <w:pStyle w:val="Compact"/>
                    <w:jc w:val="center"/>
                  </w:pPr>
                  <w:r>
                    <w:t xml:space="preserve">Coorte</w:t>
                  </w:r>
                </w:p>
              </w:tc>
              <w:tc>
                <w:tcPr/>
                <w:p>
                  <w:pPr>
                    <w:pStyle w:val="Compact"/>
                    <w:jc w:val="center"/>
                  </w:pPr>
                  <w:r>
                    <w:t xml:space="preserve">Modo</w:t>
                  </w:r>
                </w:p>
              </w:tc>
              <w:tc>
                <w:tcPr/>
                <w:p>
                  <w:pPr>
                    <w:pStyle w:val="Compact"/>
                    <w:jc w:val="center"/>
                  </w:pPr>
                  <w:r>
                    <w:t xml:space="preserve">N</w:t>
                  </w:r>
                </w:p>
              </w:tc>
              <w:tc>
                <w:tcPr/>
                <w:p>
                  <w:pPr>
                    <w:pStyle w:val="Compact"/>
                    <w:jc w:val="center"/>
                  </w:pPr>
                  <w:r>
                    <w:t xml:space="preserve">C</w:t>
                  </w:r>
                  <w:r>
                    <w:rPr>
                      <w:vertAlign w:val="subscript"/>
                    </w:rPr>
                    <w:t xml:space="preserve">24</w:t>
                  </w:r>
                </w:p>
              </w:tc>
              <w:tc>
                <w:tcPr/>
                <w:p>
                  <w:pPr>
                    <w:pStyle w:val="Compact"/>
                    <w:jc w:val="center"/>
                  </w:pPr>
                  <w:r>
                    <w:t xml:space="preserve">C</w:t>
                  </w:r>
                  <w:r>
                    <w:rPr>
                      <w:vertAlign w:val="subscript"/>
                    </w:rPr>
                    <w:t xml:space="preserve">49</w:t>
                  </w:r>
                </w:p>
              </w:tc>
              <w:tc>
                <w:tcPr/>
                <w:p>
                  <w:pPr>
                    <w:pStyle w:val="Compact"/>
                    <w:jc w:val="center"/>
                  </w:pPr>
                  <w:r>
                    <w:t xml:space="preserve">Delta-C</w:t>
                  </w:r>
                </w:p>
              </w:tc>
              <w:tc>
                <w:tcPr/>
                <w:p>
                  <w:pPr>
                    <w:pStyle w:val="Compact"/>
                    <w:jc w:val="center"/>
                  </w:pPr>
                  <w:r>
                    <w:t xml:space="preserve">IC 95%</w:t>
                  </w:r>
                </w:p>
              </w:tc>
              <w:tc>
                <w:tcPr/>
                <w:p>
                  <w:pPr>
                    <w:pStyle w:val="Compact"/>
                    <w:jc w:val="center"/>
                  </w:pPr>
                  <w:r>
                    <w:t xml:space="preserve">r</w:t>
                  </w:r>
                </w:p>
              </w:tc>
            </w:tr>
            <w:tr>
              <w:tc>
                <w:tcPr/>
                <w:p>
                  <w:pPr>
                    <w:pStyle w:val="Compact"/>
                    <w:jc w:val="center"/>
                  </w:pPr>
                  <w:r>
                    <w:t xml:space="preserve">TCGA-BRCA</w:t>
                  </w:r>
                </w:p>
              </w:tc>
              <w:tc>
                <w:tcPr/>
                <w:p>
                  <w:pPr>
                    <w:pStyle w:val="Compact"/>
                    <w:jc w:val="center"/>
                  </w:pPr>
                  <w:r>
                    <w:t xml:space="preserve">intra</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0,631</w:t>
                  </w:r>
                </w:p>
              </w:tc>
              <w:tc>
                <w:tcPr/>
                <w:p>
                  <w:pPr>
                    <w:pStyle w:val="Compact"/>
                    <w:jc w:val="center"/>
                  </w:pPr>
                  <w:r>
                    <w:t xml:space="preserve">-0,008</w:t>
                  </w:r>
                </w:p>
              </w:tc>
              <w:tc>
                <w:tcPr/>
                <w:p>
                  <w:pPr>
                    <w:pStyle w:val="Compact"/>
                    <w:jc w:val="center"/>
                  </w:pPr>
                  <w:r>
                    <w:t xml:space="preserve">(-0,038, +0,022)</w:t>
                  </w:r>
                </w:p>
              </w:tc>
              <w:tc>
                <w:tcPr/>
                <w:p>
                  <w:pPr>
                    <w:pStyle w:val="Compact"/>
                    <w:jc w:val="center"/>
                  </w:pPr>
                  <w:r>
                    <w:t xml:space="preserve">0,853</w:t>
                  </w:r>
                </w:p>
              </w:tc>
            </w:tr>
            <w:tr>
              <w:tc>
                <w:tcPr/>
                <w:p>
                  <w:pPr>
                    <w:pStyle w:val="Compact"/>
                    <w:jc w:val="center"/>
                  </w:pPr>
                  <w:r>
                    <w:t xml:space="preserve">TCGA-BRCA</w:t>
                  </w:r>
                </w:p>
              </w:tc>
              <w:tc>
                <w:tcPr/>
                <w:p>
                  <w:pPr>
                    <w:pStyle w:val="Compact"/>
                    <w:jc w:val="center"/>
                  </w:pPr>
                  <w:r>
                    <w:t xml:space="preserve">congelado</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0,634</w:t>
                  </w:r>
                </w:p>
              </w:tc>
              <w:tc>
                <w:tcPr/>
                <w:p>
                  <w:pPr>
                    <w:pStyle w:val="Compact"/>
                    <w:jc w:val="center"/>
                  </w:pPr>
                  <w:r>
                    <w:t xml:space="preserve">-0,010</w:t>
                  </w:r>
                </w:p>
              </w:tc>
              <w:tc>
                <w:tcPr/>
                <w:p>
                  <w:pPr>
                    <w:pStyle w:val="Compact"/>
                    <w:jc w:val="center"/>
                  </w:pPr>
                  <w:r>
                    <w:t xml:space="preserve">(-0,039, +0,020)</w:t>
                  </w:r>
                </w:p>
              </w:tc>
              <w:tc>
                <w:tcPr/>
                <w:p>
                  <w:pPr>
                    <w:pStyle w:val="Compact"/>
                    <w:jc w:val="center"/>
                  </w:pPr>
                  <w:r>
                    <w:t xml:space="preserve">0,864</w:t>
                  </w:r>
                </w:p>
              </w:tc>
            </w:tr>
            <w:tr>
              <w:tc>
                <w:tcPr/>
                <w:p>
                  <w:pPr>
                    <w:pStyle w:val="Compact"/>
                    <w:jc w:val="center"/>
                  </w:pPr>
                  <w:r>
                    <w:t xml:space="preserve">METABRIC</w:t>
                  </w:r>
                </w:p>
              </w:tc>
              <w:tc>
                <w:tcPr/>
                <w:p>
                  <w:pPr>
                    <w:pStyle w:val="Compact"/>
                    <w:jc w:val="center"/>
                  </w:pPr>
                  <w:r>
                    <w:t xml:space="preserve">intra</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0,616</w:t>
                  </w:r>
                </w:p>
              </w:tc>
              <w:tc>
                <w:tcPr/>
                <w:p>
                  <w:pPr>
                    <w:pStyle w:val="Compact"/>
                    <w:jc w:val="center"/>
                  </w:pPr>
                  <w:r>
                    <w:rPr>
                      <w:b/>
                      <w:bCs/>
                    </w:rPr>
                    <w:t xml:space="preserve">+0,022</w:t>
                  </w:r>
                </w:p>
              </w:tc>
              <w:tc>
                <w:tcPr/>
                <w:p>
                  <w:pPr>
                    <w:pStyle w:val="Compact"/>
                    <w:jc w:val="center"/>
                  </w:pPr>
                  <w:r>
                    <w:t xml:space="preserve">(+0,011, +0,032)</w:t>
                  </w:r>
                </w:p>
              </w:tc>
              <w:tc>
                <w:tcPr/>
                <w:p>
                  <w:pPr>
                    <w:pStyle w:val="Compact"/>
                    <w:jc w:val="center"/>
                  </w:pPr>
                  <w:r>
                    <w:t xml:space="preserve">0,902</w:t>
                  </w:r>
                </w:p>
              </w:tc>
            </w:tr>
            <w:tr>
              <w:tc>
                <w:tcPr/>
                <w:p>
                  <w:pPr>
                    <w:pStyle w:val="Compact"/>
                    <w:jc w:val="center"/>
                  </w:pPr>
                  <w:r>
                    <w:t xml:space="preserve">METABRIC</w:t>
                  </w:r>
                </w:p>
              </w:tc>
              <w:tc>
                <w:tcPr/>
                <w:p>
                  <w:pPr>
                    <w:pStyle w:val="Compact"/>
                    <w:jc w:val="center"/>
                  </w:pPr>
                  <w:r>
                    <w:t xml:space="preserve">congelado</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0,622</w:t>
                  </w:r>
                </w:p>
              </w:tc>
              <w:tc>
                <w:tcPr/>
                <w:p>
                  <w:pPr>
                    <w:pStyle w:val="Compact"/>
                    <w:jc w:val="center"/>
                  </w:pPr>
                  <w:r>
                    <w:rPr>
                      <w:b/>
                      <w:bCs/>
                    </w:rPr>
                    <w:t xml:space="preserve">+0,017</w:t>
                  </w:r>
                </w:p>
              </w:tc>
              <w:tc>
                <w:tcPr/>
                <w:p>
                  <w:pPr>
                    <w:pStyle w:val="Compact"/>
                    <w:jc w:val="center"/>
                  </w:pPr>
                  <w:r>
                    <w:t xml:space="preserve">(+0,007, +0,027)</w:t>
                  </w:r>
                </w:p>
              </w:tc>
              <w:tc>
                <w:tcPr/>
                <w:p>
                  <w:pPr>
                    <w:pStyle w:val="Compact"/>
                    <w:jc w:val="center"/>
                  </w:pPr>
                  <w:r>
                    <w:t xml:space="preserve">0,914</w:t>
                  </w:r>
                </w:p>
              </w:tc>
            </w:tr>
            <w:tr>
              <w:tc>
                <w:tcPr/>
                <w:p>
                  <w:pPr>
                    <w:pStyle w:val="Compact"/>
                    <w:jc w:val="center"/>
                  </w:pPr>
                  <w:r>
                    <w:t xml:space="preserve">GSE20685</w:t>
                  </w:r>
                </w:p>
              </w:tc>
              <w:tc>
                <w:tcPr/>
                <w:p>
                  <w:pPr>
                    <w:pStyle w:val="Compact"/>
                    <w:jc w:val="center"/>
                  </w:pPr>
                  <w:r>
                    <w:t xml:space="preserve">intra</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0,571</w:t>
                  </w:r>
                </w:p>
              </w:tc>
              <w:tc>
                <w:tcPr/>
                <w:p>
                  <w:pPr>
                    <w:pStyle w:val="Compact"/>
                    <w:jc w:val="center"/>
                  </w:pPr>
                  <w:r>
                    <w:rPr>
                      <w:b/>
                      <w:bCs/>
                    </w:rPr>
                    <w:t xml:space="preserve">+0,055</w:t>
                  </w:r>
                </w:p>
              </w:tc>
              <w:tc>
                <w:tcPr/>
                <w:p>
                  <w:pPr>
                    <w:pStyle w:val="Compact"/>
                    <w:jc w:val="center"/>
                  </w:pPr>
                  <w:r>
                    <w:t xml:space="preserve">(+0,010, +0,101)</w:t>
                  </w:r>
                </w:p>
              </w:tc>
              <w:tc>
                <w:tcPr/>
                <w:p>
                  <w:pPr>
                    <w:pStyle w:val="Compact"/>
                    <w:jc w:val="center"/>
                  </w:pPr>
                  <w:r>
                    <w:t xml:space="preserve">0,823</w:t>
                  </w:r>
                </w:p>
              </w:tc>
            </w:tr>
            <w:tr>
              <w:tc>
                <w:tcPr/>
                <w:p>
                  <w:pPr>
                    <w:pStyle w:val="Compact"/>
                    <w:jc w:val="center"/>
                  </w:pPr>
                  <w:r>
                    <w:t xml:space="preserve">GSE20685</w:t>
                  </w:r>
                </w:p>
              </w:tc>
              <w:tc>
                <w:tcPr/>
                <w:p>
                  <w:pPr>
                    <w:pStyle w:val="Compact"/>
                    <w:jc w:val="center"/>
                  </w:pPr>
                  <w:r>
                    <w:t xml:space="preserve">congelado</w:t>
                  </w:r>
                </w:p>
              </w:tc>
              <w:tc>
                <w:tcPr/>
                <w:p>
                  <w:pPr>
                    <w:pStyle w:val="Compact"/>
                    <w:jc w:val="center"/>
                  </w:pPr>
                  <w:r>
                    <w:t xml:space="preserve">327</w:t>
                  </w:r>
                </w:p>
              </w:tc>
              <w:tc>
                <w:tcPr/>
                <w:p>
                  <w:pPr>
                    <w:pStyle w:val="Compact"/>
                    <w:jc w:val="center"/>
                  </w:pPr>
                  <w:r>
                    <w:t xml:space="preserve">0,591</w:t>
                  </w:r>
                </w:p>
              </w:tc>
              <w:tc>
                <w:tcPr/>
                <w:p>
                  <w:pPr>
                    <w:pStyle w:val="Compact"/>
                    <w:jc w:val="center"/>
                  </w:pPr>
                  <w:r>
                    <w:t xml:space="preserve">0,544</w:t>
                  </w:r>
                </w:p>
              </w:tc>
              <w:tc>
                <w:tcPr/>
                <w:p>
                  <w:pPr>
                    <w:pStyle w:val="Compact"/>
                    <w:jc w:val="center"/>
                  </w:pPr>
                  <w:r>
                    <w:rPr>
                      <w:b/>
                      <w:bCs/>
                    </w:rPr>
                    <w:t xml:space="preserve">+0,047</w:t>
                  </w:r>
                </w:p>
              </w:tc>
              <w:tc>
                <w:tcPr/>
                <w:p>
                  <w:pPr>
                    <w:pStyle w:val="Compact"/>
                    <w:jc w:val="center"/>
                  </w:pPr>
                  <w:r>
                    <w:t xml:space="preserve">(+0,007, +0,085)</w:t>
                  </w:r>
                </w:p>
              </w:tc>
              <w:tc>
                <w:tcPr/>
                <w:p>
                  <w:pPr>
                    <w:pStyle w:val="Compact"/>
                    <w:jc w:val="center"/>
                  </w:pPr>
                  <w:r>
                    <w:t xml:space="preserve">0,843</w:t>
                  </w:r>
                </w:p>
              </w:tc>
            </w:tr>
            <w:tr>
              <w:tc>
                <w:tcPr/>
                <w:p>
                  <w:pPr>
                    <w:pStyle w:val="Compact"/>
                    <w:jc w:val="center"/>
                  </w:pPr>
                  <w:r>
                    <w:t xml:space="preserve">GSE1456</w:t>
                  </w:r>
                </w:p>
              </w:tc>
              <w:tc>
                <w:tcPr/>
                <w:p>
                  <w:pPr>
                    <w:pStyle w:val="Compact"/>
                    <w:jc w:val="center"/>
                  </w:pPr>
                  <w:r>
                    <w:t xml:space="preserve">intra</w:t>
                  </w:r>
                </w:p>
              </w:tc>
              <w:tc>
                <w:tcPr/>
                <w:p>
                  <w:pPr>
                    <w:pStyle w:val="Compact"/>
                    <w:jc w:val="center"/>
                  </w:pPr>
                  <w:r>
                    <w:t xml:space="preserve">159</w:t>
                  </w:r>
                </w:p>
              </w:tc>
              <w:tc>
                <w:tcPr/>
                <w:p>
                  <w:pPr>
                    <w:pStyle w:val="Compact"/>
                    <w:jc w:val="center"/>
                  </w:pPr>
                  <w:r>
                    <w:t xml:space="preserve">0,661</w:t>
                  </w:r>
                </w:p>
              </w:tc>
              <w:tc>
                <w:tcPr/>
                <w:p>
                  <w:pPr>
                    <w:pStyle w:val="Compact"/>
                    <w:jc w:val="center"/>
                  </w:pPr>
                  <w:r>
                    <w:t xml:space="preserve">0,564</w:t>
                  </w:r>
                </w:p>
              </w:tc>
              <w:tc>
                <w:tcPr/>
                <w:p>
                  <w:pPr>
                    <w:pStyle w:val="Compact"/>
                    <w:jc w:val="center"/>
                  </w:pPr>
                  <w:r>
                    <w:rPr>
                      <w:b/>
                      <w:bCs/>
                    </w:rPr>
                    <w:t xml:space="preserve">+0,097</w:t>
                  </w:r>
                </w:p>
              </w:tc>
              <w:tc>
                <w:tcPr/>
                <w:p>
                  <w:pPr>
                    <w:pStyle w:val="Compact"/>
                    <w:jc w:val="center"/>
                  </w:pPr>
                  <w:r>
                    <w:t xml:space="preserve">(+0,032, +0,166)</w:t>
                  </w:r>
                </w:p>
              </w:tc>
              <w:tc>
                <w:tcPr/>
                <w:p>
                  <w:pPr>
                    <w:pStyle w:val="Compact"/>
                    <w:jc w:val="center"/>
                  </w:pPr>
                  <w:r>
                    <w:t xml:space="preserve">0,697</w:t>
                  </w:r>
                </w:p>
              </w:tc>
            </w:tr>
            <w:tr>
              <w:tc>
                <w:tcPr/>
                <w:p>
                  <w:pPr>
                    <w:pStyle w:val="Compact"/>
                    <w:jc w:val="center"/>
                  </w:pPr>
                  <w:r>
                    <w:t xml:space="preserve">GSE1456</w:t>
                  </w:r>
                </w:p>
              </w:tc>
              <w:tc>
                <w:tcPr/>
                <w:p>
                  <w:pPr>
                    <w:pStyle w:val="Compact"/>
                    <w:jc w:val="center"/>
                  </w:pPr>
                  <w:r>
                    <w:t xml:space="preserve">congelado</w:t>
                  </w:r>
                </w:p>
              </w:tc>
              <w:tc>
                <w:tcPr/>
                <w:p>
                  <w:pPr>
                    <w:pStyle w:val="Compact"/>
                    <w:jc w:val="center"/>
                  </w:pPr>
                  <w:r>
                    <w:t xml:space="preserve">159</w:t>
                  </w:r>
                </w:p>
              </w:tc>
              <w:tc>
                <w:tcPr/>
                <w:p>
                  <w:pPr>
                    <w:pStyle w:val="Compact"/>
                    <w:jc w:val="center"/>
                  </w:pPr>
                  <w:r>
                    <w:t xml:space="preserve">0,622</w:t>
                  </w:r>
                </w:p>
              </w:tc>
              <w:tc>
                <w:tcPr/>
                <w:p>
                  <w:pPr>
                    <w:pStyle w:val="Compact"/>
                    <w:jc w:val="center"/>
                  </w:pPr>
                  <w:r>
                    <w:t xml:space="preserve">0,510</w:t>
                  </w:r>
                </w:p>
              </w:tc>
              <w:tc>
                <w:tcPr/>
                <w:p>
                  <w:pPr>
                    <w:pStyle w:val="Compact"/>
                    <w:jc w:val="center"/>
                  </w:pPr>
                  <w:r>
                    <w:rPr>
                      <w:b/>
                      <w:bCs/>
                    </w:rPr>
                    <w:t xml:space="preserve">+0,111</w:t>
                  </w:r>
                </w:p>
              </w:tc>
              <w:tc>
                <w:tcPr/>
                <w:p>
                  <w:pPr>
                    <w:pStyle w:val="Compact"/>
                    <w:jc w:val="center"/>
                  </w:pPr>
                  <w:r>
                    <w:t xml:space="preserve">(+0,045, +0,181)</w:t>
                  </w:r>
                </w:p>
              </w:tc>
              <w:tc>
                <w:tcPr/>
                <w:p>
                  <w:pPr>
                    <w:pStyle w:val="Compact"/>
                    <w:jc w:val="center"/>
                  </w:pPr>
                  <w:r>
                    <w:t xml:space="preserve">0,617</w:t>
                  </w:r>
                </w:p>
              </w:tc>
            </w:tr>
          </w:tbl>
          <w:bookmarkEnd w:id="197"/>
          <w:p/>
        </w:tc>
      </w:tr>
    </w:tbl>
    <w:tbl>
      <w:tblPr>
        <w:tblStyle w:val="Table"/>
        <w:tblW w:type="pct" w:w="5000"/>
        <w:tblLayout w:type="fixed"/>
        <w:tblLook w:firstRow="0" w:lastRow="0" w:firstColumn="0" w:lastColumn="0" w:noHBand="0" w:noVBand="0" w:val="0000"/>
      </w:tblPr>
      <w:tblGrid>
        <w:gridCol w:w="7920"/>
      </w:tblGrid>
      <w:tr>
        <w:tc>
          <w:tcPr/>
          <w:bookmarkStart w:id="201" w:name="fig-headtohead"/>
          <w:p>
            <w:pPr>
              <w:pStyle w:val="Compact"/>
              <w:jc w:val="center"/>
            </w:pPr>
            <w:r>
              <w:drawing>
                <wp:inline>
                  <wp:extent cx="5687999" cy="3554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26— Comparação head-to-head CorePAM (24 genes) vs PAM50-full (49 genes) por coorte e modo de pontuação. Em TCGA-BRCA, desempenho equivalente. Nas três coortes restantes, o modelo de 24 genes superou significativamente o de 49 genes, com vantagem crescente com a distância de plataforma em relação ao SCAN-B.</w:t>
            </w:r>
          </w:p>
          <w:bookmarkEnd w:id="201"/>
        </w:tc>
      </w:tr>
    </w:tbl>
    <w:p>
      <w:r>
        <w:br w:type="page"/>
      </w:r>
    </w:p>
    <w:bookmarkEnd w:id="202"/>
    <w:bookmarkStart w:id="208"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tbl>
      <w:tblPr>
        <w:tblStyle w:val="Table"/>
        <w:tblW w:type="pct" w:w="5000"/>
        <w:tblLayout w:type="fixed"/>
        <w:tblLook w:firstRow="0" w:lastRow="0" w:firstColumn="0" w:lastColumn="0" w:noHBand="0" w:noVBand="0" w:val="0000"/>
      </w:tblPr>
      <w:tblGrid>
        <w:gridCol w:w="7920"/>
      </w:tblGrid>
      <w:tr>
        <w:tc>
          <w:tcPr/>
          <w:bookmarkStart w:id="203" w:name="tbl-comparison"/>
          <w:p>
            <w:pPr>
              <w:jc w:val="center"/>
            </w:pPr>
            <w:pPr>
              <w:jc w:val="left"/>
              <w:spacing w:before="200"/>
              <w:pStyle w:val="ImageCaption"/>
            </w:pPr>
            <w:r>
              <w:t xml:space="preserve">Tabela 17—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pct" w:w="5000"/>
              <w:tblLayout w:type="fixed"/>
              <w:tblLook w:firstRow="1" w:lastRow="0" w:firstColumn="0" w:lastColumn="0" w:noHBand="0" w:noVBand="0" w:val="0020"/>
            </w:tblPr>
            <w:tblGrid>
              <w:gridCol w:w="792"/>
              <w:gridCol w:w="792"/>
              <w:gridCol w:w="792"/>
              <w:gridCol w:w="792"/>
              <w:gridCol w:w="1188"/>
              <w:gridCol w:w="118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CorePAM C</w:t>
                  </w:r>
                </w:p>
              </w:tc>
              <w:tc>
                <w:tcPr/>
                <w:p>
                  <w:pPr>
                    <w:pStyle w:val="Compact"/>
                    <w:jc w:val="center"/>
                  </w:pPr>
                  <w:r>
                    <w:rPr>
                      <w:i/>
                      <w:iCs/>
                    </w:rPr>
                    <w:t xml:space="preserve">ROR-S</w:t>
                  </w:r>
                  <w:r>
                    <w:t xml:space="preserve"> </w:t>
                  </w:r>
                  <w:r>
                    <w:t xml:space="preserve">C</w:t>
                  </w:r>
                </w:p>
              </w:tc>
              <w:tc>
                <w:tcPr/>
                <w:p>
                  <w:pPr>
                    <w:pStyle w:val="Compact"/>
                    <w:jc w:val="center"/>
                  </w:pPr>
                  <w:r>
                    <w:t xml:space="preserve">ODX-RS C</w:t>
                  </w:r>
                </w:p>
              </w:tc>
              <w:tc>
                <w:tcPr/>
                <w:p>
                  <w:pPr>
                    <w:pStyle w:val="Compact"/>
                    <w:jc w:val="center"/>
                  </w:pPr>
                  <w:r>
                    <w:t xml:space="preserve">CorePAM HR</w:t>
                  </w:r>
                </w:p>
              </w:tc>
              <w:tc>
                <w:tcPr/>
                <w:p>
                  <w:pPr>
                    <w:pStyle w:val="Compact"/>
                    <w:jc w:val="center"/>
                  </w:pPr>
                  <w:r>
                    <w:rPr>
                      <w:i/>
                      <w:iCs/>
                    </w:rPr>
                    <w:t xml:space="preserve">ROR-S</w:t>
                  </w:r>
                  <w:r>
                    <w:t xml:space="preserve"> </w:t>
                  </w:r>
                  <w:r>
                    <w:t xml:space="preserve">HR</w:t>
                  </w:r>
                </w:p>
              </w:tc>
              <w:tc>
                <w:tcPr/>
                <w:p>
                  <w:pPr>
                    <w:pStyle w:val="Compact"/>
                    <w:jc w:val="center"/>
                  </w:pPr>
                  <w:r>
                    <w:t xml:space="preserve">ODX-RS HR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rPr>
                      <w:b/>
                      <w:bCs/>
                    </w:rP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rPr>
                      <w:b/>
                      <w:bCs/>
                    </w:rP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rPr>
                      <w:b/>
                      <w:bCs/>
                    </w:rP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rPr>
                      <w:b/>
                      <w:bCs/>
                    </w:rPr>
                    <w:t xml:space="preserve">1,25</w:t>
                  </w:r>
                </w:p>
              </w:tc>
              <w:tc>
                <w:tcPr/>
                <w:p>
                  <w:pPr>
                    <w:pStyle w:val="Compact"/>
                    <w:jc w:val="center"/>
                  </w:pPr>
                  <w:r>
                    <w:t xml:space="preserve">1,13</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0,643</w:t>
                  </w:r>
                </w:p>
              </w:tc>
              <w:tc>
                <w:tcPr/>
                <w:p>
                  <w:pPr>
                    <w:pStyle w:val="Compact"/>
                    <w:jc w:val="center"/>
                  </w:pPr>
                  <w:r>
                    <w:rPr>
                      <w:b/>
                      <w:bCs/>
                    </w:rP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rPr>
                      <w:b/>
                      <w:bCs/>
                    </w:rPr>
                    <w:t xml:space="preserve">1,51</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0,646</w:t>
                  </w:r>
                </w:p>
              </w:tc>
              <w:tc>
                <w:tcPr/>
                <w:p>
                  <w:pPr>
                    <w:pStyle w:val="Compact"/>
                    <w:jc w:val="center"/>
                  </w:pPr>
                  <w:r>
                    <w:rPr>
                      <w:b/>
                      <w:bCs/>
                    </w:rPr>
                    <w:t xml:space="preserve">0,651</w:t>
                  </w:r>
                </w:p>
              </w:tc>
              <w:tc>
                <w:tcPr/>
                <w:p>
                  <w:pPr>
                    <w:pStyle w:val="Compact"/>
                    <w:jc w:val="center"/>
                  </w:pPr>
                  <w:r>
                    <w:t xml:space="preserve">1,40</w:t>
                  </w:r>
                </w:p>
              </w:tc>
              <w:tc>
                <w:tcPr/>
                <w:p>
                  <w:pPr>
                    <w:pStyle w:val="Compact"/>
                    <w:jc w:val="center"/>
                  </w:pPr>
                  <w:r>
                    <w:t xml:space="preserve">1,55</w:t>
                  </w:r>
                </w:p>
              </w:tc>
              <w:tc>
                <w:tcPr/>
                <w:p>
                  <w:pPr>
                    <w:pStyle w:val="Compact"/>
                    <w:jc w:val="center"/>
                  </w:pPr>
                  <w:r>
                    <w:rPr>
                      <w:b/>
                      <w:bCs/>
                    </w:rPr>
                    <w:t xml:space="preserve">1,61</w:t>
                  </w:r>
                </w:p>
              </w:tc>
            </w:tr>
          </w:tbl>
          <w:bookmarkEnd w:id="203"/>
          <w:p/>
        </w:tc>
      </w:tr>
    </w:tbl>
    <w:tbl>
      <w:tblPr>
        <w:tblStyle w:val="Table"/>
        <w:tblW w:type="pct" w:w="5000"/>
        <w:tblLayout w:type="fixed"/>
        <w:tblLook w:firstRow="0" w:lastRow="0" w:firstColumn="0" w:lastColumn="0" w:noHBand="0" w:noVBand="0" w:val="0000"/>
      </w:tblPr>
      <w:tblGrid>
        <w:gridCol w:w="7920"/>
      </w:tblGrid>
      <w:tr>
        <w:tc>
          <w:tcPr/>
          <w:bookmarkStart w:id="207" w:name="fig-cindex-comparison"/>
          <w:p>
            <w:pPr>
              <w:pStyle w:val="Compact"/>
              <w:jc w:val="center"/>
            </w:pPr>
            <w:r>
              <w:drawing>
                <wp:inline>
                  <wp:extent cx="5687999" cy="4062857"/>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687999" cy="4062857"/>
                          </a:xfrm>
                          <a:prstGeom prst="rect">
                            <a:avLst/>
                          </a:prstGeom>
                          <a:noFill/>
                          <a:ln w="9525">
                            <a:noFill/>
                            <a:headEnd/>
                            <a:tailEnd/>
                          </a:ln>
                        </pic:spPr>
                      </pic:pic>
                    </a:graphicData>
                  </a:graphic>
                </wp:inline>
              </w:drawing>
            </w:r>
          </w:p>
          <w:p>
            <w:pPr>
              <w:jc w:val="center"/>
            </w:pPr>
            <w:pPr>
              <w:jc w:val="left"/>
              <w:spacing w:before="200"/>
              <w:pStyle w:val="ImageCaption"/>
            </w:pPr>
            <w:r>
              <w:t xml:space="preserve">Figura 27— Comparação de C-index: CorePAM vs ROR-S vs OncotypeDX-RS (implementações genefu) por coorte. O CorePAM demonstra desempenho competitivo, com vantagem nas coortes RNA-seq e déficits nas coortes microarray — refletindo o domínio de treinamento.</w:t>
            </w:r>
          </w:p>
          <w:bookmarkEnd w:id="207"/>
        </w:tc>
      </w:tr>
    </w:tbl>
    <w:p>
      <w:r>
        <w:br w:type="page"/>
      </w:r>
    </w:p>
    <w:bookmarkEnd w:id="208"/>
    <w:bookmarkEnd w:id="209"/>
    <w:bookmarkStart w:id="224" w:name="discussão"/>
    <w:p>
      <w:pPr>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p>
      <w:r>
        <w:br w:type="page"/>
      </w:r>
    </w:p>
    <w:bookmarkEnd w:id="223"/>
    <w:bookmarkEnd w:id="224"/>
    <w:bookmarkStart w:id="225"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p>
      <w:r>
        <w:br w:type="page"/>
      </w:r>
    </w:p>
    <w:bookmarkEnd w:id="225"/>
    <w:bookmarkStart w:id="378" w:name="referências-bibliográficas"/>
    <w:p>
      <w:pPr>
        <w:pStyle w:val="Heading1"/>
      </w:pPr>
      <w:r>
        <w:t xml:space="preserve">REFERÊNCIAS BIBLIOGRÁFICAS</w:t>
      </w:r>
    </w:p>
    <w:bookmarkStart w:id="377"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75">
        <w:r>
          <w:rPr>
            <w:rStyle w:val="Hyperlink"/>
          </w:rPr>
          <w:t xml:space="preserve">https://doi.org/10.1186/s13058-026-02298-5</w:t>
        </w:r>
      </w:hyperlink>
    </w:p>
    <w:bookmarkEnd w:id="376"/>
    <w:bookmarkEnd w:id="377"/>
    <w:p>
      <w:r>
        <w:br w:type="page"/>
      </w:r>
    </w:p>
    <w:bookmarkEnd w:id="378"/>
    <w:bookmarkStart w:id="379" w:name="X346f3bf0109e93783daf3030b368b98445b36f7"/>
    <w:p>
      <w:pPr>
        <w:pStyle w:val="Heading1"/>
      </w:pPr>
      <w:r>
        <w:t xml:space="preserve">APÊNDICE A — Artigo aceito no</w:t>
      </w:r>
      <w:r>
        <w:t xml:space="preserve"> </w:t>
      </w:r>
      <w:r>
        <w:rPr>
          <w:i/>
          <w:iCs/>
        </w:rPr>
        <w:t xml:space="preserve">Breast Cancer Research</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Local para artigo aceito publicado em revista</w:t>
            </w:r>
          </w:p>
        </w:tc>
      </w:tr>
      <w:tr>
        <w:tc>
          <w:tcPr/>
          <w:p>
            <w:pPr>
              <w:pStyle w:val="Compact"/>
              <w:jc w:val="left"/>
            </w:pPr>
            <w:r>
              <w:t xml:space="preserve">Inserir aqui o PDF da versão final publicada assim que a versão de registro estiver disponível no site da revista.</w:t>
            </w:r>
          </w:p>
        </w:tc>
      </w:tr>
      <w:tr>
        <w:tc>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p>
      <w:r>
        <w:br w:type="page"/>
      </w:r>
    </w:p>
    <w:bookmarkEnd w:id="379"/>
    <w:bookmarkStart w:id="383"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tbl>
      <w:tblPr>
        <w:tblStyle w:val="Table"/>
        <w:tblW w:type="pct" w:w="5000"/>
        <w:tblLayout w:type="fixed"/>
        <w:tblLook w:firstRow="0" w:lastRow="0" w:firstColumn="0" w:lastColumn="0" w:noHBand="0" w:noVBand="0" w:val="0000"/>
      </w:tblPr>
      <w:tblGrid>
        <w:gridCol w:w="7920"/>
      </w:tblGrid>
      <w:tr>
        <w:tc>
          <w:tcPr/>
          <w:bookmarkStart w:id="380" w:name="tbl-pipeline-org"/>
          <w:p>
            <w:pPr>
              <w:jc w:val="center"/>
            </w:pPr>
            <w:pPr>
              <w:jc w:val="left"/>
              <w:spacing w:before="200"/>
              <w:pStyle w:val="ImageCaption"/>
            </w:pPr>
            <w:r>
              <w:t xml:space="preserve">Tabela 18— Organização do</w:t>
            </w:r>
            <w:r>
              <w:t xml:space="preserve"> </w:t>
            </w:r>
            <w:r>
              <w:rPr>
                <w:i/>
                <w:iCs/>
              </w:rPr>
              <w:t xml:space="preserve">pipeline</w:t>
            </w:r>
            <w:r>
              <w:t xml:space="preserve"> </w:t>
            </w:r>
            <w:r>
              <w:t xml:space="preserve">computacional por blocos</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center"/>
                  </w:pPr>
                  <w:r>
                    <w:t xml:space="preserve">Bloco</w:t>
                  </w:r>
                </w:p>
              </w:tc>
              <w:tc>
                <w:tcPr/>
                <w:p>
                  <w:pPr>
                    <w:pStyle w:val="Compact"/>
                    <w:jc w:val="center"/>
                  </w:pPr>
                  <w:r>
                    <w:t xml:space="preserve">Scripts</w:t>
                  </w:r>
                </w:p>
              </w:tc>
              <w:tc>
                <w:tcPr/>
                <w:p>
                  <w:pPr>
                    <w:pStyle w:val="Compact"/>
                    <w:jc w:val="center"/>
                  </w:pPr>
                  <w:r>
                    <w:t xml:space="preserve">Função</w:t>
                  </w:r>
                </w:p>
              </w:tc>
            </w:tr>
            <w:tr>
              <w:tc>
                <w:tcPr/>
                <w:p>
                  <w:pPr>
                    <w:pStyle w:val="Compact"/>
                    <w:jc w:val="center"/>
                  </w:pPr>
                  <w:r>
                    <w:t xml:space="preserve">Setup</w:t>
                  </w:r>
                </w:p>
              </w:tc>
              <w:tc>
                <w:tcPr/>
                <w:p>
                  <w:pPr>
                    <w:pStyle w:val="Compact"/>
                    <w:jc w:val="center"/>
                  </w:pPr>
                  <w:r>
                    <w:t xml:space="preserve">00</w:t>
                  </w:r>
                </w:p>
              </w:tc>
              <w:tc>
                <w:tcPr/>
                <w:p>
                  <w:pPr>
                    <w:pStyle w:val="Compact"/>
                    <w:jc w:val="center"/>
                  </w:pPr>
                  <w:r>
                    <w:t xml:space="preserve">Configuração do ambiente, paleta de cores, validação</w:t>
                  </w:r>
                </w:p>
              </w:tc>
            </w:tr>
            <w:tr>
              <w:tc>
                <w:tcPr/>
                <w:p>
                  <w:pPr>
                    <w:pStyle w:val="Compact"/>
                    <w:jc w:val="center"/>
                  </w:pPr>
                  <w:r>
                    <w:t xml:space="preserve">Dados</w:t>
                  </w:r>
                </w:p>
              </w:tc>
              <w:tc>
                <w:tcPr/>
                <w:p>
                  <w:pPr>
                    <w:pStyle w:val="Compact"/>
                    <w:jc w:val="center"/>
                  </w:pPr>
                  <w:r>
                    <w:t xml:space="preserve">01-04</w:t>
                  </w:r>
                </w:p>
              </w:tc>
              <w:tc>
                <w:tcPr/>
                <w:p>
                  <w:pPr>
                    <w:pStyle w:val="Compact"/>
                    <w:jc w:val="center"/>
                  </w:pPr>
                  <w:r>
                    <w:rPr>
                      <w:i/>
                      <w:iCs/>
                    </w:rPr>
                    <w:t xml:space="preserve">Download</w:t>
                  </w:r>
                  <w:r>
                    <w:t xml:space="preserve">, harmonização clínica, pré-processamento</w:t>
                  </w:r>
                </w:p>
              </w:tc>
            </w:tr>
            <w:tr>
              <w:tc>
                <w:tcPr/>
                <w:p>
                  <w:pPr>
                    <w:pStyle w:val="Compact"/>
                    <w:jc w:val="center"/>
                  </w:pPr>
                  <w:r>
                    <w:t xml:space="preserve">Derivação</w:t>
                  </w:r>
                </w:p>
              </w:tc>
              <w:tc>
                <w:tcPr/>
                <w:p>
                  <w:pPr>
                    <w:pStyle w:val="Compact"/>
                    <w:jc w:val="center"/>
                  </w:pPr>
                  <w:r>
                    <w:t xml:space="preserve">05</w:t>
                  </w:r>
                </w:p>
              </w:tc>
              <w:tc>
                <w:tcPr/>
                <w:p>
                  <w:pPr>
                    <w:pStyle w:val="Compact"/>
                    <w:jc w:val="center"/>
                  </w:pPr>
                  <w:r>
                    <w:t xml:space="preserve">Derivação do CorePAM (CONGELADO)</w:t>
                  </w:r>
                </w:p>
              </w:tc>
            </w:tr>
            <w:tr>
              <w:tc>
                <w:tcPr/>
                <w:p>
                  <w:pPr>
                    <w:pStyle w:val="Compact"/>
                    <w:jc w:val="center"/>
                  </w:pPr>
                  <w:r>
                    <w:t xml:space="preserve">Scoring</w:t>
                  </w:r>
                </w:p>
              </w:tc>
              <w:tc>
                <w:tcPr/>
                <w:p>
                  <w:pPr>
                    <w:pStyle w:val="Compact"/>
                    <w:jc w:val="center"/>
                  </w:pPr>
                  <w:r>
                    <w:t xml:space="preserve">06</w:t>
                  </w:r>
                </w:p>
              </w:tc>
              <w:tc>
                <w:tcPr/>
                <w:p>
                  <w:pPr>
                    <w:pStyle w:val="Compact"/>
                    <w:jc w:val="center"/>
                  </w:pPr>
                  <w:r>
                    <w:rPr>
                      <w:i/>
                      <w:iCs/>
                    </w:rPr>
                    <w:t xml:space="preserve">Z-score</w:t>
                  </w:r>
                  <w:r>
                    <w:t xml:space="preserve"> </w:t>
                  </w:r>
                  <w:r>
                    <w:t xml:space="preserve">e cálculo do escore por coorte</w:t>
                  </w:r>
                </w:p>
              </w:tc>
            </w:tr>
            <w:tr>
              <w:tc>
                <w:tcPr/>
                <w:p>
                  <w:pPr>
                    <w:pStyle w:val="Compact"/>
                    <w:jc w:val="center"/>
                  </w:pPr>
                  <w:r>
                    <w:t xml:space="preserve">Sobrevida</w:t>
                  </w:r>
                </w:p>
              </w:tc>
              <w:tc>
                <w:tcPr/>
                <w:p>
                  <w:pPr>
                    <w:pStyle w:val="Compact"/>
                    <w:jc w:val="center"/>
                  </w:pPr>
                  <w:r>
                    <w:t xml:space="preserve">07-08</w:t>
                  </w:r>
                </w:p>
              </w:tc>
              <w:tc>
                <w:tcPr/>
                <w:p>
                  <w:pPr>
                    <w:pStyle w:val="Compact"/>
                    <w:jc w:val="center"/>
                  </w:pPr>
                  <w:r>
                    <w:t xml:space="preserve">Análise de sobrevida + meta-análise</w:t>
                  </w:r>
                </w:p>
              </w:tc>
            </w:tr>
            <w:tr>
              <w:tc>
                <w:tcPr/>
                <w:p>
                  <w:pPr>
                    <w:pStyle w:val="Compact"/>
                    <w:jc w:val="center"/>
                  </w:pPr>
                  <w:r>
                    <w:t xml:space="preserve">Valor incremental</w:t>
                  </w:r>
                </w:p>
              </w:tc>
              <w:tc>
                <w:tcPr/>
                <w:p>
                  <w:pPr>
                    <w:pStyle w:val="Compact"/>
                    <w:jc w:val="center"/>
                  </w:pPr>
                  <w:r>
                    <w:t xml:space="preserve">11</w:t>
                  </w:r>
                </w:p>
              </w:tc>
              <w:tc>
                <w:tcPr/>
                <w:p>
                  <w:pPr>
                    <w:pStyle w:val="Compact"/>
                    <w:jc w:val="center"/>
                  </w:pPr>
                  <w:r>
                    <w:t xml:space="preserve">Delta-</w:t>
                  </w:r>
                  <w:r>
                    <w:rPr>
                      <w:i/>
                      <w:iCs/>
                    </w:rPr>
                    <w:t xml:space="preserve">C-index</w:t>
                  </w:r>
                  <w:r>
                    <w:t xml:space="preserve"> </w:t>
                  </w:r>
                  <w:r>
                    <w:t xml:space="preserve">e DCA</w:t>
                  </w:r>
                </w:p>
              </w:tc>
            </w:tr>
            <w:tr>
              <w:tc>
                <w:tcPr/>
                <w:p>
                  <w:pPr>
                    <w:pStyle w:val="Compact"/>
                    <w:jc w:val="center"/>
                  </w:pPr>
                  <w:r>
                    <w:t xml:space="preserve">QC</w:t>
                  </w:r>
                </w:p>
              </w:tc>
              <w:tc>
                <w:tcPr/>
                <w:p>
                  <w:pPr>
                    <w:pStyle w:val="Compact"/>
                    <w:jc w:val="center"/>
                  </w:pPr>
                  <w:r>
                    <w:t xml:space="preserve">13-16</w:t>
                  </w:r>
                </w:p>
              </w:tc>
              <w:tc>
                <w:tcPr/>
                <w:p>
                  <w:pPr>
                    <w:pStyle w:val="Compact"/>
                    <w:jc w:val="center"/>
                  </w:pPr>
                  <w:r>
                    <w:t xml:space="preserve">Correlações, PCA,</w:t>
                  </w:r>
                  <w:r>
                    <w:t xml:space="preserve"> </w:t>
                  </w:r>
                  <w:r>
                    <w:rPr>
                      <w:i/>
                      <w:iCs/>
                    </w:rPr>
                    <w:t xml:space="preserve">schema</w:t>
                  </w:r>
                  <w:r>
                    <w:t xml:space="preserve">, anti-hardcoding</w:t>
                  </w:r>
                </w:p>
              </w:tc>
            </w:tr>
            <w:tr>
              <w:tc>
                <w:tcPr/>
                <w:p>
                  <w:pPr>
                    <w:pStyle w:val="Compact"/>
                    <w:jc w:val="center"/>
                  </w:pPr>
                  <w:r>
                    <w:t xml:space="preserve">Render</w:t>
                  </w:r>
                </w:p>
              </w:tc>
              <w:tc>
                <w:tcPr/>
                <w:p>
                  <w:pPr>
                    <w:pStyle w:val="Compact"/>
                    <w:jc w:val="center"/>
                  </w:pPr>
                  <w:r>
                    <w:t xml:space="preserve">17-18</w:t>
                  </w:r>
                </w:p>
              </w:tc>
              <w:tc>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p>
                  <w:pPr>
                    <w:pStyle w:val="Compact"/>
                    <w:jc w:val="center"/>
                  </w:pPr>
                  <w:r>
                    <w:t xml:space="preserve">pCR</w:t>
                  </w:r>
                </w:p>
              </w:tc>
              <w:tc>
                <w:tcPr/>
                <w:p>
                  <w:pPr>
                    <w:pStyle w:val="Compact"/>
                    <w:jc w:val="center"/>
                  </w:pPr>
                  <w:r>
                    <w:t xml:space="preserve">19-23b</w:t>
                  </w:r>
                </w:p>
              </w:tc>
              <w:tc>
                <w:tcPr/>
                <w:p>
                  <w:pPr>
                    <w:pStyle w:val="Compact"/>
                    <w:jc w:val="center"/>
                  </w:pPr>
                  <w:r>
                    <w:rPr>
                      <w:i/>
                      <w:iCs/>
                    </w:rPr>
                    <w:t xml:space="preserve">Download</w:t>
                  </w:r>
                  <w:r>
                    <w:t xml:space="preserve">, preparação, análise e figuras de pCR</w:t>
                  </w:r>
                </w:p>
              </w:tc>
            </w:tr>
            <w:tr>
              <w:tc>
                <w:tcPr/>
                <w:p>
                  <w:pPr>
                    <w:pStyle w:val="Compact"/>
                    <w:jc w:val="center"/>
                  </w:pPr>
                  <w:r>
                    <w:t xml:space="preserve">4ª coorte</w:t>
                  </w:r>
                </w:p>
              </w:tc>
              <w:tc>
                <w:tcPr/>
                <w:p>
                  <w:pPr>
                    <w:pStyle w:val="Compact"/>
                    <w:jc w:val="center"/>
                  </w:pPr>
                  <w:r>
                    <w:t xml:space="preserve">24</w:t>
                  </w:r>
                </w:p>
              </w:tc>
              <w:tc>
                <w:tcPr/>
                <w:p>
                  <w:pPr>
                    <w:pStyle w:val="Compact"/>
                    <w:jc w:val="center"/>
                  </w:pPr>
                  <w:r>
                    <w:t xml:space="preserve">Integração GSE1456 (Stockholm)</w:t>
                  </w:r>
                </w:p>
              </w:tc>
            </w:tr>
            <w:tr>
              <w:tc>
                <w:tcPr/>
                <w:p>
                  <w:pPr>
                    <w:pStyle w:val="Compact"/>
                    <w:jc w:val="center"/>
                  </w:pPr>
                  <w:r>
                    <w:t xml:space="preserve">Sensibilidade</w:t>
                  </w:r>
                </w:p>
              </w:tc>
              <w:tc>
                <w:tcPr/>
                <w:p>
                  <w:pPr>
                    <w:pStyle w:val="Compact"/>
                    <w:jc w:val="center"/>
                  </w:pPr>
                  <w:r>
                    <w:t xml:space="preserve">25-29</w:t>
                  </w:r>
                </w:p>
              </w:tc>
              <w:tc>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p>
                  <w:pPr>
                    <w:pStyle w:val="Compact"/>
                    <w:jc w:val="center"/>
                  </w:pPr>
                  <w:r>
                    <w:t xml:space="preserve">Revisão major</w:t>
                  </w:r>
                </w:p>
              </w:tc>
              <w:tc>
                <w:tcPr/>
                <w:p>
                  <w:pPr>
                    <w:pStyle w:val="Compact"/>
                    <w:jc w:val="center"/>
                  </w:pPr>
                  <w:r>
                    <w:t xml:space="preserve">30-36</w:t>
                  </w:r>
                </w:p>
              </w:tc>
              <w:tc>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p>
                  <w:pPr>
                    <w:pStyle w:val="Compact"/>
                    <w:jc w:val="center"/>
                  </w:pPr>
                  <w:r>
                    <w:t xml:space="preserve">R2 (revisão)</w:t>
                  </w:r>
                </w:p>
              </w:tc>
              <w:tc>
                <w:tcPr/>
                <w:p>
                  <w:pPr>
                    <w:pStyle w:val="Compact"/>
                    <w:jc w:val="center"/>
                  </w:pPr>
                  <w:r>
                    <w:t xml:space="preserve">37-38</w:t>
                  </w:r>
                </w:p>
              </w:tc>
              <w:tc>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1" w:name="tbl-pipeline-full"/>
          <w:p>
            <w:pPr>
              <w:jc w:val="center"/>
            </w:pPr>
            <w:pPr>
              <w:jc w:val="left"/>
              <w:spacing w:before="200"/>
              <w:pStyle w:val="ImageCaption"/>
            </w:pPr>
            <w:r>
              <w:t xml:space="preserve">Tabela 19— Lista completa dos scripts do</w:t>
            </w:r>
            <w:r>
              <w:t xml:space="preserve"> </w:t>
            </w:r>
            <w:r>
              <w:rPr>
                <w:i/>
                <w:iCs/>
              </w:rPr>
              <w:t xml:space="preserve">pipeline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center"/>
                  </w:pPr>
                  <w:r>
                    <w:t xml:space="preserve">Script</w:t>
                  </w:r>
                </w:p>
              </w:tc>
              <w:tc>
                <w:tcPr/>
                <w:p>
                  <w:pPr>
                    <w:pStyle w:val="Compact"/>
                    <w:jc w:val="center"/>
                  </w:pPr>
                  <w:r>
                    <w:t xml:space="preserve">Descrição</w:t>
                  </w:r>
                </w:p>
              </w:tc>
            </w:tr>
            <w:tr>
              <w:tc>
                <w:tcPr/>
                <w:p>
                  <w:pPr>
                    <w:pStyle w:val="Compact"/>
                    <w:jc w:val="center"/>
                  </w:pPr>
                  <w:r>
                    <w:rPr>
                      <w:rStyle w:val="VerbatimChar"/>
                    </w:rPr>
                    <w:t xml:space="preserve">00_colors.R</w:t>
                  </w:r>
                </w:p>
              </w:tc>
              <w:tc>
                <w:tcPr/>
                <w:p>
                  <w:pPr>
                    <w:pStyle w:val="Compact"/>
                    <w:jc w:val="center"/>
                  </w:pPr>
                  <w:r>
                    <w:t xml:space="preserve">Paleta de cores reprodutível para figuras</w:t>
                  </w:r>
                </w:p>
              </w:tc>
            </w:tr>
            <w:tr>
              <w:tc>
                <w:tcPr/>
                <w:p>
                  <w:pPr>
                    <w:pStyle w:val="Compact"/>
                    <w:jc w:val="center"/>
                  </w:pPr>
                  <w:r>
                    <w:rPr>
                      <w:rStyle w:val="VerbatimChar"/>
                    </w:rPr>
                    <w:t xml:space="preserve">00_setup.R</w:t>
                  </w:r>
                </w:p>
              </w:tc>
              <w:tc>
                <w:tcPr/>
                <w:p>
                  <w:pPr>
                    <w:pStyle w:val="Compact"/>
                    <w:jc w:val="center"/>
                  </w:pPr>
                  <w:r>
                    <w:t xml:space="preserve">Parâmetros congelados (alpha, K, margem, lambda grid)</w:t>
                  </w:r>
                </w:p>
              </w:tc>
            </w:tr>
            <w:tr>
              <w:tc>
                <w:tcPr/>
                <w:p>
                  <w:pPr>
                    <w:pStyle w:val="Compact"/>
                    <w:jc w:val="center"/>
                  </w:pPr>
                  <w:r>
                    <w:rPr>
                      <w:rStyle w:val="VerbatimChar"/>
                    </w:rPr>
                    <w:t xml:space="preserve">00_validate_all.R</w:t>
                  </w:r>
                </w:p>
              </w:tc>
              <w:tc>
                <w:tcPr/>
                <w:p>
                  <w:pPr>
                    <w:pStyle w:val="Compact"/>
                    <w:jc w:val="center"/>
                  </w:pPr>
                  <w:r>
                    <w:t xml:space="preserve">Validação estrutural de entradas e saídas</w:t>
                  </w:r>
                </w:p>
              </w:tc>
            </w:tr>
            <w:tr>
              <w:tc>
                <w:tcPr/>
                <w:p>
                  <w:pPr>
                    <w:pStyle w:val="Compact"/>
                    <w:jc w:val="center"/>
                  </w:pPr>
                  <w:r>
                    <w:rPr>
                      <w:rStyle w:val="VerbatimChar"/>
                    </w:rPr>
                    <w:t xml:space="preserve">01_download_raw_data.R</w:t>
                  </w:r>
                </w:p>
              </w:tc>
              <w:tc>
                <w:tcPr/>
                <w:p>
                  <w:pPr>
                    <w:pStyle w:val="Compact"/>
                    <w:jc w:val="center"/>
                  </w:pPr>
                  <w:r>
                    <w:rPr>
                      <w:i/>
                      <w:iCs/>
                    </w:rPr>
                    <w:t xml:space="preserve">Download</w:t>
                  </w:r>
                  <w:r>
                    <w:t xml:space="preserve"> </w:t>
                  </w:r>
                  <w:r>
                    <w:t xml:space="preserve">das matrizes de SCAN-B, TCGA, METABRIC, GEO</w:t>
                  </w:r>
                </w:p>
              </w:tc>
            </w:tr>
            <w:tr>
              <w:tc>
                <w:tcPr/>
                <w:p>
                  <w:pPr>
                    <w:pStyle w:val="Compact"/>
                    <w:jc w:val="center"/>
                  </w:pPr>
                  <w:r>
                    <w:rPr>
                      <w:rStyle w:val="VerbatimChar"/>
                    </w:rPr>
                    <w:t xml:space="preserve">02_harmonize_clinical_GSE20685.R</w:t>
                  </w:r>
                </w:p>
              </w:tc>
              <w:tc>
                <w:tcPr/>
                <w:p>
                  <w:pPr>
                    <w:pStyle w:val="Compact"/>
                    <w:jc w:val="center"/>
                  </w:pPr>
                  <w:r>
                    <w:t xml:space="preserve">Harmonização clínica GSE20685</w:t>
                  </w:r>
                </w:p>
              </w:tc>
            </w:tr>
            <w:tr>
              <w:tc>
                <w:tcPr/>
                <w:p>
                  <w:pPr>
                    <w:pStyle w:val="Compact"/>
                    <w:jc w:val="center"/>
                  </w:pPr>
                  <w:r>
                    <w:rPr>
                      <w:rStyle w:val="VerbatimChar"/>
                    </w:rPr>
                    <w:t xml:space="preserve">02_harmonize_clinical_METABRIC.R</w:t>
                  </w:r>
                </w:p>
              </w:tc>
              <w:tc>
                <w:tcPr/>
                <w:p>
                  <w:pPr>
                    <w:pStyle w:val="Compact"/>
                    <w:jc w:val="center"/>
                  </w:pPr>
                  <w:r>
                    <w:t xml:space="preserve">Harmonização clínica METABRIC</w:t>
                  </w:r>
                </w:p>
              </w:tc>
            </w:tr>
            <w:tr>
              <w:tc>
                <w:tcPr/>
                <w:p>
                  <w:pPr>
                    <w:pStyle w:val="Compact"/>
                    <w:jc w:val="center"/>
                  </w:pPr>
                  <w:r>
                    <w:rPr>
                      <w:rStyle w:val="VerbatimChar"/>
                    </w:rPr>
                    <w:t xml:space="preserve">02_harmonize_clinical_SCANB.R</w:t>
                  </w:r>
                </w:p>
              </w:tc>
              <w:tc>
                <w:tcPr/>
                <w:p>
                  <w:pPr>
                    <w:pStyle w:val="Compact"/>
                    <w:jc w:val="center"/>
                  </w:pPr>
                  <w:r>
                    <w:t xml:space="preserve">Harmonização clínica SCAN-B</w:t>
                  </w:r>
                </w:p>
              </w:tc>
            </w:tr>
            <w:tr>
              <w:tc>
                <w:tcPr/>
                <w:p>
                  <w:pPr>
                    <w:pStyle w:val="Compact"/>
                    <w:jc w:val="center"/>
                  </w:pPr>
                  <w:r>
                    <w:rPr>
                      <w:rStyle w:val="VerbatimChar"/>
                    </w:rPr>
                    <w:t xml:space="preserve">02_harmonize_clinical_TCGA_BRCA.R</w:t>
                  </w:r>
                </w:p>
              </w:tc>
              <w:tc>
                <w:tcPr/>
                <w:p>
                  <w:pPr>
                    <w:pStyle w:val="Compact"/>
                    <w:jc w:val="center"/>
                  </w:pPr>
                  <w:r>
                    <w:t xml:space="preserve">Harmonização clínica TCGA-BRCA</w:t>
                  </w:r>
                </w:p>
              </w:tc>
            </w:tr>
            <w:tr>
              <w:tc>
                <w:tcPr/>
                <w:p>
                  <w:pPr>
                    <w:pStyle w:val="Compact"/>
                    <w:jc w:val="center"/>
                  </w:pPr>
                  <w:r>
                    <w:rPr>
                      <w:rStyle w:val="VerbatimChar"/>
                    </w:rPr>
                    <w:t xml:space="preserve">03_expression_preprocess_GSE20685.R</w:t>
                  </w:r>
                </w:p>
              </w:tc>
              <w:tc>
                <w:tcPr/>
                <w:p>
                  <w:pPr>
                    <w:pStyle w:val="Compact"/>
                    <w:jc w:val="center"/>
                  </w:pPr>
                  <w:r>
                    <w:t xml:space="preserve">Pré-processamento de expressão GSE20685</w:t>
                  </w:r>
                </w:p>
              </w:tc>
            </w:tr>
            <w:tr>
              <w:tc>
                <w:tcPr/>
                <w:p>
                  <w:pPr>
                    <w:pStyle w:val="Compact"/>
                    <w:jc w:val="center"/>
                  </w:pPr>
                  <w:r>
                    <w:rPr>
                      <w:rStyle w:val="VerbatimChar"/>
                    </w:rPr>
                    <w:t xml:space="preserve">03_expression_preprocess_METABRIC.R</w:t>
                  </w:r>
                </w:p>
              </w:tc>
              <w:tc>
                <w:tcPr/>
                <w:p>
                  <w:pPr>
                    <w:pStyle w:val="Compact"/>
                    <w:jc w:val="center"/>
                  </w:pPr>
                  <w:r>
                    <w:t xml:space="preserve">Pré-processamento de expressão METABRIC</w:t>
                  </w:r>
                </w:p>
              </w:tc>
            </w:tr>
            <w:tr>
              <w:tc>
                <w:tcPr/>
                <w:p>
                  <w:pPr>
                    <w:pStyle w:val="Compact"/>
                    <w:jc w:val="center"/>
                  </w:pPr>
                  <w:r>
                    <w:rPr>
                      <w:rStyle w:val="VerbatimChar"/>
                    </w:rPr>
                    <w:t xml:space="preserve">03_expression_preprocess_SCANB.R</w:t>
                  </w:r>
                </w:p>
              </w:tc>
              <w:tc>
                <w:tcPr/>
                <w:p>
                  <w:pPr>
                    <w:pStyle w:val="Compact"/>
                    <w:jc w:val="center"/>
                  </w:pPr>
                  <w:r>
                    <w:t xml:space="preserve">Pré-processamento de expressão SCAN-B</w:t>
                  </w:r>
                </w:p>
              </w:tc>
            </w:tr>
            <w:tr>
              <w:tc>
                <w:tcPr/>
                <w:p>
                  <w:pPr>
                    <w:pStyle w:val="Compact"/>
                    <w:jc w:val="center"/>
                  </w:pPr>
                  <w:r>
                    <w:rPr>
                      <w:rStyle w:val="VerbatimChar"/>
                    </w:rPr>
                    <w:t xml:space="preserve">03_expression_preprocess_TCGA_BRCA.R</w:t>
                  </w:r>
                </w:p>
              </w:tc>
              <w:tc>
                <w:tcPr/>
                <w:p>
                  <w:pPr>
                    <w:pStyle w:val="Compact"/>
                    <w:jc w:val="center"/>
                  </w:pPr>
                  <w:r>
                    <w:t xml:space="preserve">Pré-processamento de expressão TCGA-BRCA</w:t>
                  </w:r>
                </w:p>
              </w:tc>
            </w:tr>
            <w:tr>
              <w:tc>
                <w:tcPr/>
                <w:p>
                  <w:pPr>
                    <w:pStyle w:val="Compact"/>
                    <w:jc w:val="center"/>
                  </w:pPr>
                  <w:r>
                    <w:rPr>
                      <w:rStyle w:val="VerbatimChar"/>
                    </w:rPr>
                    <w:t xml:space="preserve">03_utils_gene_mapping.R</w:t>
                  </w:r>
                </w:p>
              </w:tc>
              <w:tc>
                <w:tcPr/>
                <w:p>
                  <w:pPr>
                    <w:pStyle w:val="Compact"/>
                    <w:jc w:val="center"/>
                  </w:pPr>
                  <w:r>
                    <w:t xml:space="preserve">Utilitários de mapeamento ENSEMBL → HUGO</w:t>
                  </w:r>
                </w:p>
              </w:tc>
            </w:tr>
            <w:tr>
              <w:tc>
                <w:tcPr/>
                <w:p>
                  <w:pPr>
                    <w:pStyle w:val="Compact"/>
                    <w:jc w:val="center"/>
                  </w:pPr>
                  <w:r>
                    <w:rPr>
                      <w:rStyle w:val="VerbatimChar"/>
                    </w:rPr>
                    <w:t xml:space="preserve">04_gene_audit_freeze.R</w:t>
                  </w:r>
                </w:p>
              </w:tc>
              <w:tc>
                <w:tcPr/>
                <w:p>
                  <w:pPr>
                    <w:pStyle w:val="Compact"/>
                    <w:jc w:val="center"/>
                  </w:pPr>
                  <w:r>
                    <w:t xml:space="preserve">Auditoria e congelamento dos 50 genes candidatos</w:t>
                  </w:r>
                </w:p>
              </w:tc>
            </w:tr>
            <w:tr>
              <w:tc>
                <w:tcPr/>
                <w:p>
                  <w:pPr>
                    <w:pStyle w:val="Compact"/>
                    <w:jc w:val="center"/>
                  </w:pPr>
                  <w:r>
                    <w:rPr>
                      <w:rStyle w:val="VerbatimChar"/>
                    </w:rPr>
                    <w:t xml:space="preserve">05_reduce_pam50_to_corepam_FINAL.R</w:t>
                  </w:r>
                </w:p>
              </w:tc>
              <w:tc>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p>
                  <w:pPr>
                    <w:pStyle w:val="Compact"/>
                    <w:jc w:val="center"/>
                  </w:pPr>
                  <w:r>
                    <w:rPr>
                      <w:rStyle w:val="VerbatimChar"/>
                    </w:rPr>
                    <w:t xml:space="preserve">06_zscore_and_score_GSE20685.R</w:t>
                  </w:r>
                </w:p>
              </w:tc>
              <w:tc>
                <w:tcPr/>
                <w:p>
                  <w:pPr>
                    <w:pStyle w:val="Compact"/>
                    <w:jc w:val="center"/>
                  </w:pPr>
                  <w:r>
                    <w:rPr>
                      <w:i/>
                      <w:iCs/>
                    </w:rPr>
                    <w:t xml:space="preserve">Z-score</w:t>
                  </w:r>
                  <w:r>
                    <w:t xml:space="preserve"> </w:t>
                  </w:r>
                  <w:r>
                    <w:t xml:space="preserve">e escore GSE20685</w:t>
                  </w:r>
                </w:p>
              </w:tc>
            </w:tr>
            <w:tr>
              <w:tc>
                <w:tcPr/>
                <w:p>
                  <w:pPr>
                    <w:pStyle w:val="Compact"/>
                    <w:jc w:val="center"/>
                  </w:pPr>
                  <w:r>
                    <w:rPr>
                      <w:rStyle w:val="VerbatimChar"/>
                    </w:rPr>
                    <w:t xml:space="preserve">06_zscore_and_score_METABRIC.R</w:t>
                  </w:r>
                </w:p>
              </w:tc>
              <w:tc>
                <w:tcPr/>
                <w:p>
                  <w:pPr>
                    <w:pStyle w:val="Compact"/>
                    <w:jc w:val="center"/>
                  </w:pPr>
                  <w:r>
                    <w:rPr>
                      <w:i/>
                      <w:iCs/>
                    </w:rPr>
                    <w:t xml:space="preserve">Z-score</w:t>
                  </w:r>
                  <w:r>
                    <w:t xml:space="preserve"> </w:t>
                  </w:r>
                  <w:r>
                    <w:t xml:space="preserve">e escore METABRIC</w:t>
                  </w:r>
                </w:p>
              </w:tc>
            </w:tr>
            <w:tr>
              <w:tc>
                <w:tcPr/>
                <w:p>
                  <w:pPr>
                    <w:pStyle w:val="Compact"/>
                    <w:jc w:val="center"/>
                  </w:pPr>
                  <w:r>
                    <w:rPr>
                      <w:rStyle w:val="VerbatimChar"/>
                    </w:rPr>
                    <w:t xml:space="preserve">06_zscore_and_score_SCANB.R</w:t>
                  </w:r>
                </w:p>
              </w:tc>
              <w:tc>
                <w:tcPr/>
                <w:p>
                  <w:pPr>
                    <w:pStyle w:val="Compact"/>
                    <w:jc w:val="center"/>
                  </w:pPr>
                  <w:r>
                    <w:rPr>
                      <w:i/>
                      <w:iCs/>
                    </w:rPr>
                    <w:t xml:space="preserve">Z-score</w:t>
                  </w:r>
                  <w:r>
                    <w:t xml:space="preserve"> </w:t>
                  </w:r>
                  <w:r>
                    <w:t xml:space="preserve">e escore SCAN-B</w:t>
                  </w:r>
                </w:p>
              </w:tc>
            </w:tr>
            <w:tr>
              <w:tc>
                <w:tcPr/>
                <w:p>
                  <w:pPr>
                    <w:pStyle w:val="Compact"/>
                    <w:jc w:val="center"/>
                  </w:pPr>
                  <w:r>
                    <w:rPr>
                      <w:rStyle w:val="VerbatimChar"/>
                    </w:rPr>
                    <w:t xml:space="preserve">06_zscore_and_score_TCGA_BRCA.R</w:t>
                  </w:r>
                </w:p>
              </w:tc>
              <w:tc>
                <w:tcPr/>
                <w:p>
                  <w:pPr>
                    <w:pStyle w:val="Compact"/>
                    <w:jc w:val="center"/>
                  </w:pPr>
                  <w:r>
                    <w:rPr>
                      <w:i/>
                      <w:iCs/>
                    </w:rPr>
                    <w:t xml:space="preserve">Z-score</w:t>
                  </w:r>
                  <w:r>
                    <w:t xml:space="preserve"> </w:t>
                  </w:r>
                  <w:r>
                    <w:t xml:space="preserve">e escore TCGA-BRCA</w:t>
                  </w:r>
                </w:p>
              </w:tc>
            </w:tr>
            <w:tr>
              <w:tc>
                <w:tcPr/>
                <w:p>
                  <w:pPr>
                    <w:pStyle w:val="Compact"/>
                    <w:jc w:val="center"/>
                  </w:pPr>
                  <w:r>
                    <w:rPr>
                      <w:rStyle w:val="VerbatimChar"/>
                    </w:rPr>
                    <w:t xml:space="preserve">07A_preflight_files_strict.R</w:t>
                  </w:r>
                </w:p>
              </w:tc>
              <w:tc>
                <w:tcPr/>
                <w:p>
                  <w:pPr>
                    <w:pStyle w:val="Compact"/>
                    <w:jc w:val="center"/>
                  </w:pPr>
                  <w:r>
                    <w:rPr>
                      <w:i/>
                      <w:iCs/>
                    </w:rPr>
                    <w:t xml:space="preserve">Preflight</w:t>
                  </w:r>
                  <w:r>
                    <w:t xml:space="preserve"> </w:t>
                  </w:r>
                  <w:r>
                    <w:t xml:space="preserve">de arquivos obrigatórios</w:t>
                  </w:r>
                </w:p>
              </w:tc>
            </w:tr>
            <w:tr>
              <w:tc>
                <w:tcPr/>
                <w:p>
                  <w:pPr>
                    <w:pStyle w:val="Compact"/>
                    <w:jc w:val="center"/>
                  </w:pPr>
                  <w:r>
                    <w:rPr>
                      <w:rStyle w:val="VerbatimChar"/>
                    </w:rPr>
                    <w:t xml:space="preserve">07D_validate_one_cohort_corepam.R</w:t>
                  </w:r>
                </w:p>
              </w:tc>
              <w:tc>
                <w:tcPr/>
                <w:p>
                  <w:pPr>
                    <w:pStyle w:val="Compact"/>
                    <w:jc w:val="center"/>
                  </w:pPr>
                  <w:r>
                    <w:t xml:space="preserve">Validação unitária por coorte</w:t>
                  </w:r>
                </w:p>
              </w:tc>
            </w:tr>
            <w:tr>
              <w:tc>
                <w:tcPr/>
                <w:p>
                  <w:pPr>
                    <w:pStyle w:val="Compact"/>
                    <w:jc w:val="center"/>
                  </w:pPr>
                  <w:r>
                    <w:rPr>
                      <w:rStyle w:val="VerbatimChar"/>
                    </w:rPr>
                    <w:t xml:space="preserve">07_survival_analysis_GSE20685.R</w:t>
                  </w:r>
                </w:p>
              </w:tc>
              <w:tc>
                <w:tcPr/>
                <w:p>
                  <w:pPr>
                    <w:pStyle w:val="Compact"/>
                    <w:jc w:val="center"/>
                  </w:pPr>
                  <w:r>
                    <w:t xml:space="preserve">Sobrevida GSE20685 (Cox + KM + C-index)</w:t>
                  </w:r>
                </w:p>
              </w:tc>
            </w:tr>
            <w:tr>
              <w:tc>
                <w:tcPr/>
                <w:p>
                  <w:pPr>
                    <w:pStyle w:val="Compact"/>
                    <w:jc w:val="center"/>
                  </w:pPr>
                  <w:r>
                    <w:rPr>
                      <w:rStyle w:val="VerbatimChar"/>
                    </w:rPr>
                    <w:t xml:space="preserve">07_survival_analysis_METABRIC.R</w:t>
                  </w:r>
                </w:p>
              </w:tc>
              <w:tc>
                <w:tcPr/>
                <w:p>
                  <w:pPr>
                    <w:pStyle w:val="Compact"/>
                    <w:jc w:val="center"/>
                  </w:pPr>
                  <w:r>
                    <w:t xml:space="preserve">Sobrevida METABRIC (DSS + Fine-Gray)</w:t>
                  </w:r>
                </w:p>
              </w:tc>
            </w:tr>
            <w:tr>
              <w:tc>
                <w:tcPr/>
                <w:p>
                  <w:pPr>
                    <w:pStyle w:val="Compact"/>
                    <w:jc w:val="center"/>
                  </w:pPr>
                  <w:r>
                    <w:rPr>
                      <w:rStyle w:val="VerbatimChar"/>
                    </w:rPr>
                    <w:t xml:space="preserve">07_survival_analysis_SCANB.R</w:t>
                  </w:r>
                </w:p>
              </w:tc>
              <w:tc>
                <w:tcPr/>
                <w:p>
                  <w:pPr>
                    <w:pStyle w:val="Compact"/>
                    <w:jc w:val="center"/>
                  </w:pPr>
                  <w:r>
                    <w:t xml:space="preserve">Sobrevida SCAN-B (coorte de treinamento)</w:t>
                  </w:r>
                </w:p>
              </w:tc>
            </w:tr>
            <w:tr>
              <w:tc>
                <w:tcPr/>
                <w:p>
                  <w:pPr>
                    <w:pStyle w:val="Compact"/>
                    <w:jc w:val="center"/>
                  </w:pPr>
                  <w:r>
                    <w:rPr>
                      <w:rStyle w:val="VerbatimChar"/>
                    </w:rPr>
                    <w:t xml:space="preserve">07_survival_analysis_TCGA_BRCA.R</w:t>
                  </w:r>
                </w:p>
              </w:tc>
              <w:tc>
                <w:tcPr/>
                <w:p>
                  <w:pPr>
                    <w:pStyle w:val="Compact"/>
                    <w:jc w:val="center"/>
                  </w:pPr>
                  <w:r>
                    <w:t xml:space="preserve">Sobrevida TCGA-BRCA</w:t>
                  </w:r>
                </w:p>
              </w:tc>
            </w:tr>
            <w:tr>
              <w:tc>
                <w:tcPr/>
                <w:p>
                  <w:pPr>
                    <w:pStyle w:val="Compact"/>
                    <w:jc w:val="center"/>
                  </w:pPr>
                  <w:r>
                    <w:rPr>
                      <w:rStyle w:val="VerbatimChar"/>
                    </w:rPr>
                    <w:t xml:space="preserve">07x_extra_figures.R</w:t>
                  </w:r>
                </w:p>
              </w:tc>
              <w:tc>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p>
                  <w:pPr>
                    <w:pStyle w:val="Compact"/>
                    <w:jc w:val="center"/>
                  </w:pPr>
                  <w:r>
                    <w:rPr>
                      <w:rStyle w:val="VerbatimChar"/>
                    </w:rPr>
                    <w:t xml:space="preserve">07x_pcr_os_extra_figures.R</w:t>
                  </w:r>
                </w:p>
              </w:tc>
              <w:tc>
                <w:tcPr/>
                <w:p>
                  <w:pPr>
                    <w:pStyle w:val="Compact"/>
                    <w:jc w:val="center"/>
                  </w:pPr>
                  <w:r>
                    <w:t xml:space="preserve">Figuras suplementares pCR × OS</w:t>
                  </w:r>
                </w:p>
              </w:tc>
            </w:tr>
            <w:tr>
              <w:tc>
                <w:tcPr/>
                <w:p>
                  <w:pPr>
                    <w:pStyle w:val="Compact"/>
                    <w:jc w:val="center"/>
                  </w:pPr>
                  <w:r>
                    <w:rPr>
                      <w:rStyle w:val="VerbatimChar"/>
                    </w:rPr>
                    <w:t xml:space="preserve">07y_pam50full_comparison.R</w:t>
                  </w:r>
                </w:p>
              </w:tc>
              <w:tc>
                <w:tcPr/>
                <w:p>
                  <w:pPr>
                    <w:pStyle w:val="Compact"/>
                    <w:jc w:val="center"/>
                  </w:pPr>
                  <w:r>
                    <w:t xml:space="preserve">Comparação PAM50-full vs CorePAM</w:t>
                  </w:r>
                </w:p>
              </w:tc>
            </w:tr>
            <w:tr>
              <w:tc>
                <w:tcPr/>
                <w:p>
                  <w:pPr>
                    <w:pStyle w:val="Compact"/>
                    <w:jc w:val="center"/>
                  </w:pPr>
                  <w:r>
                    <w:rPr>
                      <w:rStyle w:val="VerbatimChar"/>
                    </w:rPr>
                    <w:t xml:space="preserve">07z_fig1_study_design.R</w:t>
                  </w:r>
                </w:p>
              </w:tc>
              <w:tc>
                <w:tcPr/>
                <w:p>
                  <w:pPr>
                    <w:pStyle w:val="Compact"/>
                    <w:jc w:val="center"/>
                  </w:pPr>
                  <w:r>
                    <w:t xml:space="preserve">Figura 1 — desenho do estudo</w:t>
                  </w:r>
                </w:p>
              </w:tc>
            </w:tr>
            <w:tr>
              <w:tc>
                <w:tcPr/>
                <w:p>
                  <w:pPr>
                    <w:pStyle w:val="Compact"/>
                    <w:jc w:val="center"/>
                  </w:pPr>
                  <w:r>
                    <w:rPr>
                      <w:rStyle w:val="VerbatimChar"/>
                    </w:rPr>
                    <w:t xml:space="preserve">07z_table_figures_survival.R</w:t>
                  </w:r>
                </w:p>
              </w:tc>
              <w:tc>
                <w:tcPr/>
                <w:p>
                  <w:pPr>
                    <w:pStyle w:val="Compact"/>
                    <w:jc w:val="center"/>
                  </w:pPr>
                  <w:r>
                    <w:t xml:space="preserve">Tabelas e figuras consolidadas de sobrevida</w:t>
                  </w:r>
                </w:p>
              </w:tc>
            </w:tr>
            <w:tr>
              <w:tc>
                <w:tcPr/>
                <w:p>
                  <w:pPr>
                    <w:pStyle w:val="Compact"/>
                    <w:jc w:val="center"/>
                  </w:pPr>
                  <w:r>
                    <w:rPr>
                      <w:rStyle w:val="VerbatimChar"/>
                    </w:rPr>
                    <w:t xml:space="preserve">08_meta_survival.R</w:t>
                  </w:r>
                </w:p>
              </w:tc>
              <w:tc>
                <w:tcPr/>
                <w:p>
                  <w:pPr>
                    <w:pStyle w:val="Compact"/>
                    <w:jc w:val="center"/>
                  </w:pPr>
                  <w:r>
                    <w:t xml:space="preserve">Meta-análise de sobrevida (REML + Hartung-Knapp)</w:t>
                  </w:r>
                </w:p>
              </w:tc>
            </w:tr>
            <w:tr>
              <w:tc>
                <w:tcPr/>
                <w:p>
                  <w:pPr>
                    <w:pStyle w:val="Compact"/>
                    <w:jc w:val="center"/>
                  </w:pPr>
                  <w:r>
                    <w:rPr>
                      <w:rStyle w:val="VerbatimChar"/>
                    </w:rPr>
                    <w:t xml:space="preserve">11_incremental_value_and_dca.R</w:t>
                  </w:r>
                </w:p>
              </w:tc>
              <w:tc>
                <w:tcPr/>
                <w:p>
                  <w:pPr>
                    <w:pStyle w:val="Compact"/>
                    <w:jc w:val="center"/>
                  </w:pPr>
                  <w:r>
                    <w:t xml:space="preserve">Delta-</w:t>
                  </w:r>
                  <w:r>
                    <w:rPr>
                      <w:i/>
                      <w:iCs/>
                    </w:rPr>
                    <w:t xml:space="preserve">C-index</w:t>
                  </w:r>
                  <w:r>
                    <w:t xml:space="preserve"> </w:t>
                  </w:r>
                  <w:r>
                    <w:t xml:space="preserve">e DCA (curva de decisão)</w:t>
                  </w:r>
                </w:p>
              </w:tc>
            </w:tr>
            <w:tr>
              <w:tc>
                <w:tcPr/>
                <w:p>
                  <w:pPr>
                    <w:pStyle w:val="Compact"/>
                    <w:jc w:val="center"/>
                  </w:pPr>
                  <w:r>
                    <w:rPr>
                      <w:rStyle w:val="VerbatimChar"/>
                    </w:rPr>
                    <w:t xml:space="preserve">11b_dca_corepam.R</w:t>
                  </w:r>
                </w:p>
              </w:tc>
              <w:tc>
                <w:tcPr/>
                <w:p>
                  <w:pPr>
                    <w:pStyle w:val="Compact"/>
                    <w:jc w:val="center"/>
                  </w:pPr>
                  <w:r>
                    <w:t xml:space="preserve">DCA auxiliar do CorePAM</w:t>
                  </w:r>
                </w:p>
              </w:tc>
            </w:tr>
            <w:tr>
              <w:tc>
                <w:tcPr/>
                <w:p>
                  <w:pPr>
                    <w:pStyle w:val="Compact"/>
                    <w:jc w:val="center"/>
                  </w:pPr>
                  <w:r>
                    <w:rPr>
                      <w:rStyle w:val="VerbatimChar"/>
                    </w:rPr>
                    <w:t xml:space="preserve">13_qc_correlations_offdiag.R</w:t>
                  </w:r>
                </w:p>
              </w:tc>
              <w:tc>
                <w:tcPr/>
                <w:p>
                  <w:pPr>
                    <w:pStyle w:val="Compact"/>
                    <w:jc w:val="center"/>
                  </w:pPr>
                  <w:r>
                    <w:t xml:space="preserve">QC — correlações inter-coortes</w:t>
                  </w:r>
                </w:p>
              </w:tc>
            </w:tr>
            <w:tr>
              <w:tc>
                <w:tcPr/>
                <w:p>
                  <w:pPr>
                    <w:pStyle w:val="Compact"/>
                    <w:jc w:val="center"/>
                  </w:pPr>
                  <w:r>
                    <w:rPr>
                      <w:rStyle w:val="VerbatimChar"/>
                    </w:rPr>
                    <w:t xml:space="preserve">14_qc_metabric_pca_forensics.R</w:t>
                  </w:r>
                </w:p>
              </w:tc>
              <w:tc>
                <w:tcPr/>
                <w:p>
                  <w:pPr>
                    <w:pStyle w:val="Compact"/>
                    <w:jc w:val="center"/>
                  </w:pPr>
                  <w:r>
                    <w:t xml:space="preserve">QC — PCA forensics METABRIC</w:t>
                  </w:r>
                </w:p>
              </w:tc>
            </w:tr>
            <w:tr>
              <w:tc>
                <w:tcPr/>
                <w:p>
                  <w:pPr>
                    <w:pStyle w:val="Compact"/>
                    <w:jc w:val="center"/>
                  </w:pPr>
                  <w:r>
                    <w:rPr>
                      <w:rStyle w:val="VerbatimChar"/>
                    </w:rPr>
                    <w:t xml:space="preserve">15_qc_schema_range_checks.R</w:t>
                  </w:r>
                </w:p>
              </w:tc>
              <w:tc>
                <w:tcPr/>
                <w:p>
                  <w:pPr>
                    <w:pStyle w:val="Compact"/>
                    <w:jc w:val="center"/>
                  </w:pPr>
                  <w:r>
                    <w:t xml:space="preserve">QC — consistência de</w:t>
                  </w:r>
                  <w:r>
                    <w:t xml:space="preserve"> </w:t>
                  </w:r>
                  <w:r>
                    <w:rPr>
                      <w:i/>
                      <w:iCs/>
                    </w:rPr>
                    <w:t xml:space="preserve">schema</w:t>
                  </w:r>
                  <w:r>
                    <w:t xml:space="preserve"> </w:t>
                  </w:r>
                  <w:r>
                    <w:t xml:space="preserve">e faixas</w:t>
                  </w:r>
                </w:p>
              </w:tc>
            </w:tr>
            <w:tr>
              <w:tc>
                <w:tcPr/>
                <w:p>
                  <w:pPr>
                    <w:pStyle w:val="Compact"/>
                    <w:jc w:val="center"/>
                  </w:pPr>
                  <w:r>
                    <w:rPr>
                      <w:rStyle w:val="VerbatimChar"/>
                    </w:rPr>
                    <w:t xml:space="preserve">16_qc_text_vs_results_assert.R</w:t>
                  </w:r>
                </w:p>
              </w:tc>
              <w:tc>
                <w:tcPr/>
                <w:p>
                  <w:pPr>
                    <w:pStyle w:val="Compact"/>
                    <w:jc w:val="center"/>
                  </w:pPr>
                  <w:r>
                    <w:t xml:space="preserve">QC anti-hardcoding (números do texto vs saída)</w:t>
                  </w:r>
                </w:p>
              </w:tc>
            </w:tr>
            <w:tr>
              <w:tc>
                <w:tcPr/>
                <w:p>
                  <w:pPr>
                    <w:pStyle w:val="Compact"/>
                    <w:jc w:val="center"/>
                  </w:pPr>
                  <w:r>
                    <w:rPr>
                      <w:rStyle w:val="VerbatimChar"/>
                    </w:rPr>
                    <w:t xml:space="preserve">17_render_manuscript_quarto.R</w:t>
                  </w:r>
                </w:p>
              </w:tc>
              <w:tc>
                <w:tcPr/>
                <w:p>
                  <w:pPr>
                    <w:pStyle w:val="Compact"/>
                    <w:jc w:val="center"/>
                  </w:pPr>
                  <w:r>
                    <w:t xml:space="preserve">Renderização do manuscrito (Quarto)</w:t>
                  </w:r>
                </w:p>
              </w:tc>
            </w:tr>
            <w:tr>
              <w:tc>
                <w:tcPr/>
                <w:p>
                  <w:pPr>
                    <w:pStyle w:val="Compact"/>
                    <w:jc w:val="center"/>
                  </w:pPr>
                  <w:r>
                    <w:rPr>
                      <w:rStyle w:val="VerbatimChar"/>
                    </w:rPr>
                    <w:t xml:space="preserve">18_make_submission_bundle.R</w:t>
                  </w:r>
                </w:p>
              </w:tc>
              <w:tc>
                <w:tcPr/>
                <w:p>
                  <w:pPr>
                    <w:pStyle w:val="Compact"/>
                    <w:jc w:val="center"/>
                  </w:pPr>
                  <w:r>
                    <w:rPr>
                      <w:i/>
                      <w:iCs/>
                    </w:rPr>
                    <w:t xml:space="preserve">Bundle</w:t>
                  </w:r>
                  <w:r>
                    <w:t xml:space="preserve"> </w:t>
                  </w:r>
                  <w:r>
                    <w:t xml:space="preserve">de submissão (arquivos + hashes)</w:t>
                  </w:r>
                </w:p>
              </w:tc>
            </w:tr>
            <w:tr>
              <w:tc>
                <w:tcPr/>
                <w:p>
                  <w:pPr>
                    <w:pStyle w:val="Compact"/>
                    <w:jc w:val="center"/>
                  </w:pPr>
                  <w:r>
                    <w:rPr>
                      <w:rStyle w:val="VerbatimChar"/>
                    </w:rPr>
                    <w:t xml:space="preserve">19_download_pCR_raw_data.R</w:t>
                  </w:r>
                </w:p>
              </w:tc>
              <w:tc>
                <w:tcPr/>
                <w:p>
                  <w:pPr>
                    <w:pStyle w:val="Compact"/>
                    <w:jc w:val="center"/>
                  </w:pPr>
                  <w:r>
                    <w:rPr>
                      <w:i/>
                      <w:iCs/>
                    </w:rPr>
                    <w:t xml:space="preserve">Download</w:t>
                  </w:r>
                  <w:r>
                    <w:t xml:space="preserve"> </w:t>
                  </w:r>
                  <w:r>
                    <w:t xml:space="preserve">das coortes neoadjuvantes (pCR)</w:t>
                  </w:r>
                </w:p>
              </w:tc>
            </w:tr>
            <w:tr>
              <w:tc>
                <w:tcPr/>
                <w:p>
                  <w:pPr>
                    <w:pStyle w:val="Compact"/>
                    <w:jc w:val="center"/>
                  </w:pPr>
                  <w:r>
                    <w:rPr>
                      <w:rStyle w:val="VerbatimChar"/>
                    </w:rPr>
                    <w:t xml:space="preserve">20_prepare_pCR_GSE20194.R</w:t>
                  </w:r>
                </w:p>
              </w:tc>
              <w:tc>
                <w:tcPr/>
                <w:p>
                  <w:pPr>
                    <w:pStyle w:val="Compact"/>
                    <w:jc w:val="center"/>
                  </w:pPr>
                  <w:r>
                    <w:t xml:space="preserve">Preparação GSE20194</w:t>
                  </w:r>
                </w:p>
              </w:tc>
            </w:tr>
            <w:tr>
              <w:tc>
                <w:tcPr/>
                <w:p>
                  <w:pPr>
                    <w:pStyle w:val="Compact"/>
                    <w:jc w:val="center"/>
                  </w:pPr>
                  <w:r>
                    <w:rPr>
                      <w:rStyle w:val="VerbatimChar"/>
                    </w:rPr>
                    <w:t xml:space="preserve">20_prepare_pCR_GSE25066.R</w:t>
                  </w:r>
                </w:p>
              </w:tc>
              <w:tc>
                <w:tcPr/>
                <w:p>
                  <w:pPr>
                    <w:pStyle w:val="Compact"/>
                    <w:jc w:val="center"/>
                  </w:pPr>
                  <w:r>
                    <w:t xml:space="preserve">Preparação GSE25066</w:t>
                  </w:r>
                </w:p>
              </w:tc>
            </w:tr>
            <w:tr>
              <w:tc>
                <w:tcPr/>
                <w:p>
                  <w:pPr>
                    <w:pStyle w:val="Compact"/>
                    <w:jc w:val="center"/>
                  </w:pPr>
                  <w:r>
                    <w:rPr>
                      <w:rStyle w:val="VerbatimChar"/>
                    </w:rPr>
                    <w:t xml:space="preserve">20_prepare_pCR_GSE32646.R</w:t>
                  </w:r>
                </w:p>
              </w:tc>
              <w:tc>
                <w:tcPr/>
                <w:p>
                  <w:pPr>
                    <w:pStyle w:val="Compact"/>
                    <w:jc w:val="center"/>
                  </w:pPr>
                  <w:r>
                    <w:t xml:space="preserve">Preparação GSE32646</w:t>
                  </w:r>
                </w:p>
              </w:tc>
            </w:tr>
            <w:tr>
              <w:tc>
                <w:tcPr/>
                <w:p>
                  <w:pPr>
                    <w:pStyle w:val="Compact"/>
                    <w:jc w:val="center"/>
                  </w:pPr>
                  <w:r>
                    <w:rPr>
                      <w:rStyle w:val="VerbatimChar"/>
                    </w:rPr>
                    <w:t xml:space="preserve">20_prepare_pCR_ISPY1.R</w:t>
                  </w:r>
                </w:p>
              </w:tc>
              <w:tc>
                <w:tcPr/>
                <w:p>
                  <w:pPr>
                    <w:pStyle w:val="Compact"/>
                    <w:jc w:val="center"/>
                  </w:pPr>
                  <w:r>
                    <w:t xml:space="preserve">Preparação I-SPY1</w:t>
                  </w:r>
                </w:p>
              </w:tc>
            </w:tr>
            <w:tr>
              <w:tc>
                <w:tcPr/>
                <w:p>
                  <w:pPr>
                    <w:pStyle w:val="Compact"/>
                    <w:jc w:val="center"/>
                  </w:pPr>
                  <w:r>
                    <w:rPr>
                      <w:rStyle w:val="VerbatimChar"/>
                    </w:rPr>
                    <w:t xml:space="preserve">20_prepare_pCR_ISPY2.R</w:t>
                  </w:r>
                </w:p>
              </w:tc>
              <w:tc>
                <w:tcPr/>
                <w:p>
                  <w:pPr>
                    <w:pStyle w:val="Compact"/>
                    <w:jc w:val="center"/>
                  </w:pPr>
                  <w:r>
                    <w:t xml:space="preserve">Preparação I-SPY2</w:t>
                  </w:r>
                </w:p>
              </w:tc>
            </w:tr>
            <w:tr>
              <w:tc>
                <w:tcPr/>
                <w:p>
                  <w:pPr>
                    <w:pStyle w:val="Compact"/>
                    <w:jc w:val="center"/>
                  </w:pPr>
                  <w:r>
                    <w:rPr>
                      <w:rStyle w:val="VerbatimChar"/>
                    </w:rPr>
                    <w:t xml:space="preserve">20_utils_pcr_extract.R</w:t>
                  </w:r>
                </w:p>
              </w:tc>
              <w:tc>
                <w:tcPr/>
                <w:p>
                  <w:pPr>
                    <w:pStyle w:val="Compact"/>
                    <w:jc w:val="center"/>
                  </w:pPr>
                  <w:r>
                    <w:t xml:space="preserve">Utilitários de extração de pCR</w:t>
                  </w:r>
                </w:p>
              </w:tc>
            </w:tr>
            <w:tr>
              <w:tc>
                <w:tcPr/>
                <w:p>
                  <w:pPr>
                    <w:pStyle w:val="Compact"/>
                    <w:jc w:val="center"/>
                  </w:pPr>
                  <w:r>
                    <w:rPr>
                      <w:rStyle w:val="VerbatimChar"/>
                    </w:rPr>
                    <w:t xml:space="preserve">21_ispy2_analysis.R</w:t>
                  </w:r>
                </w:p>
              </w:tc>
              <w:tc>
                <w:tcPr/>
                <w:p>
                  <w:pPr>
                    <w:pStyle w:val="Compact"/>
                    <w:jc w:val="center"/>
                  </w:pPr>
                  <w:r>
                    <w:t xml:space="preserve">Análise exploratória I-SPY2</w:t>
                  </w:r>
                </w:p>
              </w:tc>
            </w:tr>
            <w:tr>
              <w:tc>
                <w:tcPr/>
                <w:p>
                  <w:pPr>
                    <w:pStyle w:val="Compact"/>
                    <w:jc w:val="center"/>
                  </w:pPr>
                  <w:r>
                    <w:rPr>
                      <w:rStyle w:val="VerbatimChar"/>
                    </w:rPr>
                    <w:t xml:space="preserve">21_pCR_logistic_analysis.R</w:t>
                  </w:r>
                </w:p>
              </w:tc>
              <w:tc>
                <w:tcPr/>
                <w:p>
                  <w:pPr>
                    <w:pStyle w:val="Compact"/>
                    <w:jc w:val="center"/>
                  </w:pPr>
                  <w:r>
                    <w:t xml:space="preserve">Regressão logística de pCR por coorte</w:t>
                  </w:r>
                </w:p>
              </w:tc>
            </w:tr>
            <w:tr>
              <w:tc>
                <w:tcPr/>
                <w:p>
                  <w:pPr>
                    <w:pStyle w:val="Compact"/>
                    <w:jc w:val="center"/>
                  </w:pPr>
                  <w:r>
                    <w:rPr>
                      <w:rStyle w:val="VerbatimChar"/>
                    </w:rPr>
                    <w:t xml:space="preserve">21b_sensitivity_intersection.R</w:t>
                  </w:r>
                </w:p>
              </w:tc>
              <w:tc>
                <w:tcPr/>
                <w:p>
                  <w:pPr>
                    <w:pStyle w:val="Compact"/>
                    <w:jc w:val="center"/>
                  </w:pPr>
                  <w:r>
                    <w:t xml:space="preserve">Sensibilidade sobre interseção de genes</w:t>
                  </w:r>
                </w:p>
              </w:tc>
            </w:tr>
            <w:tr>
              <w:tc>
                <w:tcPr/>
                <w:p>
                  <w:pPr>
                    <w:pStyle w:val="Compact"/>
                    <w:jc w:val="center"/>
                  </w:pPr>
                  <w:r>
                    <w:rPr>
                      <w:rStyle w:val="VerbatimChar"/>
                    </w:rPr>
                    <w:t xml:space="preserve">21c_pcr_er_interaction.R</w:t>
                  </w:r>
                </w:p>
              </w:tc>
              <w:tc>
                <w:tcPr/>
                <w:p>
                  <w:pPr>
                    <w:pStyle w:val="Compact"/>
                    <w:jc w:val="center"/>
                  </w:pPr>
                  <w:r>
                    <w:t xml:space="preserve">Interação pCR × ER</w:t>
                  </w:r>
                </w:p>
              </w:tc>
            </w:tr>
            <w:tr>
              <w:tc>
                <w:tcPr/>
                <w:p>
                  <w:pPr>
                    <w:pStyle w:val="Compact"/>
                    <w:jc w:val="center"/>
                  </w:pPr>
                  <w:r>
                    <w:rPr>
                      <w:rStyle w:val="VerbatimChar"/>
                    </w:rPr>
                    <w:t xml:space="preserve">22_meta_pCR.R</w:t>
                  </w:r>
                </w:p>
              </w:tc>
              <w:tc>
                <w:tcPr/>
                <w:p>
                  <w:pPr>
                    <w:pStyle w:val="Compact"/>
                    <w:jc w:val="center"/>
                  </w:pPr>
                  <w:r>
                    <w:t xml:space="preserve">Meta-análise de pCR (DerSimonian-Laird)</w:t>
                  </w:r>
                </w:p>
              </w:tc>
            </w:tr>
            <w:tr>
              <w:tc>
                <w:tcPr/>
                <w:p>
                  <w:pPr>
                    <w:pStyle w:val="Compact"/>
                    <w:jc w:val="center"/>
                  </w:pPr>
                  <w:r>
                    <w:rPr>
                      <w:rStyle w:val="VerbatimChar"/>
                    </w:rPr>
                    <w:t xml:space="preserve">22b_meta_pCR_with_ispy2.R</w:t>
                  </w:r>
                </w:p>
              </w:tc>
              <w:tc>
                <w:tcPr/>
                <w:p>
                  <w:pPr>
                    <w:pStyle w:val="Compact"/>
                    <w:jc w:val="center"/>
                  </w:pPr>
                  <w:r>
                    <w:t xml:space="preserve">Meta-análise de pCR incluindo I-SPY2</w:t>
                  </w:r>
                </w:p>
              </w:tc>
            </w:tr>
            <w:tr>
              <w:tc>
                <w:tcPr/>
                <w:p>
                  <w:pPr>
                    <w:pStyle w:val="Compact"/>
                    <w:jc w:val="center"/>
                  </w:pPr>
                  <w:r>
                    <w:rPr>
                      <w:rStyle w:val="VerbatimChar"/>
                    </w:rPr>
                    <w:t xml:space="preserve">23_pCR_figures.R</w:t>
                  </w:r>
                </w:p>
              </w:tc>
              <w:tc>
                <w:tcPr/>
                <w:p>
                  <w:pPr>
                    <w:pStyle w:val="Compact"/>
                    <w:jc w:val="center"/>
                  </w:pPr>
                  <w:r>
                    <w:t xml:space="preserve">Figuras de pCR (forest, painéis)</w:t>
                  </w:r>
                </w:p>
              </w:tc>
            </w:tr>
            <w:tr>
              <w:tc>
                <w:tcPr/>
                <w:p>
                  <w:pPr>
                    <w:pStyle w:val="Compact"/>
                    <w:jc w:val="center"/>
                  </w:pPr>
                  <w:r>
                    <w:rPr>
                      <w:rStyle w:val="VerbatimChar"/>
                    </w:rPr>
                    <w:t xml:space="preserve">23b_pCR_ispy2_figures.R</w:t>
                  </w:r>
                </w:p>
              </w:tc>
              <w:tc>
                <w:tcPr/>
                <w:p>
                  <w:pPr>
                    <w:pStyle w:val="Compact"/>
                    <w:jc w:val="center"/>
                  </w:pPr>
                  <w:r>
                    <w:t xml:space="preserve">Figuras de I-SPY2</w:t>
                  </w:r>
                </w:p>
              </w:tc>
            </w:tr>
            <w:tr>
              <w:tc>
                <w:tcPr/>
                <w:p>
                  <w:pPr>
                    <w:pStyle w:val="Compact"/>
                    <w:jc w:val="center"/>
                  </w:pPr>
                  <w:r>
                    <w:rPr>
                      <w:rStyle w:val="VerbatimChar"/>
                    </w:rPr>
                    <w:t xml:space="preserve">24_integrate_GSE1456_stockholm.R</w:t>
                  </w:r>
                </w:p>
              </w:tc>
              <w:tc>
                <w:tcPr/>
                <w:p>
                  <w:pPr>
                    <w:pStyle w:val="Compact"/>
                    <w:jc w:val="center"/>
                  </w:pPr>
                  <w:r>
                    <w:t xml:space="preserve">Integração da 4ª coorte (Stockholm)</w:t>
                  </w:r>
                </w:p>
              </w:tc>
            </w:tr>
            <w:tr>
              <w:tc>
                <w:tcPr/>
                <w:p>
                  <w:pPr>
                    <w:pStyle w:val="Compact"/>
                    <w:jc w:val="center"/>
                  </w:pPr>
                  <w:r>
                    <w:rPr>
                      <w:rStyle w:val="VerbatimChar"/>
                    </w:rPr>
                    <w:t xml:space="preserve">25_sensitivity_corea_expanded.R</w:t>
                  </w:r>
                </w:p>
              </w:tc>
              <w:tc>
                <w:tcPr/>
                <w:p>
                  <w:pPr>
                    <w:pStyle w:val="Compact"/>
                    <w:jc w:val="center"/>
                  </w:pPr>
                  <w:r>
                    <w:t xml:space="preserve">CORE-A expandido (+ T, N, grau, HER2)</w:t>
                  </w:r>
                </w:p>
              </w:tc>
            </w:tr>
            <w:tr>
              <w:tc>
                <w:tcPr/>
                <w:p>
                  <w:pPr>
                    <w:pStyle w:val="Compact"/>
                    <w:jc w:val="center"/>
                  </w:pPr>
                  <w:r>
                    <w:rPr>
                      <w:rStyle w:val="VerbatimChar"/>
                    </w:rPr>
                    <w:t xml:space="preserve">26_sensitivity_genefu_comparison.R</w:t>
                  </w:r>
                </w:p>
              </w:tc>
              <w:tc>
                <w:tcPr/>
                <w:p>
                  <w:pPr>
                    <w:pStyle w:val="Compact"/>
                    <w:jc w:val="center"/>
                  </w:pPr>
                  <w:r>
                    <w:t xml:space="preserve">Comparação com ROR-S e OncotypeDX (</w:t>
                  </w:r>
                  <w:r>
                    <w:rPr>
                      <w:i/>
                      <w:iCs/>
                    </w:rPr>
                    <w:t xml:space="preserve">genefu</w:t>
                  </w:r>
                  <w:r>
                    <w:t xml:space="preserve">)</w:t>
                  </w:r>
                </w:p>
              </w:tc>
            </w:tr>
            <w:tr>
              <w:tc>
                <w:tcPr/>
                <w:p>
                  <w:pPr>
                    <w:pStyle w:val="Compact"/>
                    <w:jc w:val="center"/>
                  </w:pPr>
                  <w:r>
                    <w:rPr>
                      <w:rStyle w:val="VerbatimChar"/>
                    </w:rPr>
                    <w:t xml:space="preserve">27_bootstrap_gene_stability.R</w:t>
                  </w:r>
                </w:p>
              </w:tc>
              <w:tc>
                <w:tcPr/>
                <w:p>
                  <w:pPr>
                    <w:pStyle w:val="Compact"/>
                    <w:jc w:val="center"/>
                  </w:pPr>
                  <w:r>
                    <w:rPr>
                      <w:i/>
                      <w:iCs/>
                    </w:rPr>
                    <w:t xml:space="preserve">Bootstrap</w:t>
                  </w:r>
                  <w:r>
                    <w:t xml:space="preserve"> </w:t>
                  </w:r>
                  <w:r>
                    <w:t xml:space="preserve">B = 200 (estabilidade de seleção)</w:t>
                  </w:r>
                </w:p>
              </w:tc>
            </w:tr>
            <w:tr>
              <w:tc>
                <w:tcPr/>
                <w:p>
                  <w:pPr>
                    <w:pStyle w:val="Compact"/>
                    <w:jc w:val="center"/>
                  </w:pPr>
                  <w:r>
                    <w:rPr>
                      <w:rStyle w:val="VerbatimChar"/>
                    </w:rPr>
                    <w:t xml:space="preserve">28_dropgene_sensitivity.R</w:t>
                  </w:r>
                </w:p>
              </w:tc>
              <w:tc>
                <w:tcPr/>
                <w:p>
                  <w:pPr>
                    <w:pStyle w:val="Compact"/>
                    <w:jc w:val="center"/>
                  </w:pPr>
                  <w:r>
                    <w:rPr>
                      <w:i/>
                      <w:iCs/>
                    </w:rPr>
                    <w:t xml:space="preserve">Leave-one-gene-out</w:t>
                  </w:r>
                  <w:r>
                    <w:t xml:space="preserve"> </w:t>
                  </w:r>
                  <w:r>
                    <w:t xml:space="preserve">(</w:t>
                  </w:r>
                </w:p>
              </w:tc>
            </w:tr>
            <w:tr>
              <w:tc>
                <w:tcPr/>
                <w:p>
                  <w:pPr>
                    <w:pStyle w:val="Compact"/>
                    <w:jc w:val="center"/>
                  </w:pPr>
                  <w:r>
                    <w:rPr>
                      <w:rStyle w:val="VerbatimChar"/>
                    </w:rPr>
                    <w:t xml:space="preserve">29_corea_sensitivity_forest.R</w:t>
                  </w:r>
                </w:p>
              </w:tc>
              <w:tc>
                <w:tcPr/>
                <w:p>
                  <w:pPr>
                    <w:pStyle w:val="Compact"/>
                    <w:jc w:val="center"/>
                  </w:pPr>
                  <w:r>
                    <w:rPr>
                      <w:i/>
                      <w:iCs/>
                    </w:rPr>
                    <w:t xml:space="preserve">Forest plot</w:t>
                  </w:r>
                  <w:r>
                    <w:t xml:space="preserve"> </w:t>
                  </w:r>
                  <w:r>
                    <w:t xml:space="preserve">de sensibilidade CORE-A</w:t>
                  </w:r>
                </w:p>
              </w:tc>
            </w:tr>
            <w:tr>
              <w:tc>
                <w:tcPr/>
                <w:p>
                  <w:pPr>
                    <w:pStyle w:val="Compact"/>
                    <w:jc w:val="center"/>
                  </w:pPr>
                  <w:r>
                    <w:rPr>
                      <w:rStyle w:val="VerbatimChar"/>
                    </w:rPr>
                    <w:t xml:space="preserve">30_frozen_zscore_sensitivity.R</w:t>
                  </w:r>
                </w:p>
              </w:tc>
              <w:tc>
                <w:tcPr/>
                <w:p>
                  <w:pPr>
                    <w:pStyle w:val="Compact"/>
                    <w:jc w:val="center"/>
                  </w:pPr>
                  <w:r>
                    <w:rPr>
                      <w:i/>
                      <w:iCs/>
                    </w:rPr>
                    <w:t xml:space="preserve">Single-sample scoring</w:t>
                  </w:r>
                  <w:r>
                    <w:t xml:space="preserve"> </w:t>
                  </w:r>
                  <w:r>
                    <w:t xml:space="preserve">com parâmetros congelados</w:t>
                  </w:r>
                </w:p>
              </w:tc>
            </w:tr>
            <w:tr>
              <w:tc>
                <w:tcPr/>
                <w:p>
                  <w:pPr>
                    <w:pStyle w:val="Compact"/>
                    <w:jc w:val="center"/>
                  </w:pPr>
                  <w:r>
                    <w:rPr>
                      <w:rStyle w:val="VerbatimChar"/>
                    </w:rPr>
                    <w:t xml:space="preserve">30b_add_GSE1456_frozen.R</w:t>
                  </w:r>
                </w:p>
              </w:tc>
              <w:tc>
                <w:tcPr/>
                <w:p>
                  <w:pPr>
                    <w:pStyle w:val="Compact"/>
                    <w:jc w:val="center"/>
                  </w:pPr>
                  <w:r>
                    <w:t xml:space="preserve">Extensão congelada para GSE1456</w:t>
                  </w:r>
                </w:p>
              </w:tc>
            </w:tr>
            <w:tr>
              <w:tc>
                <w:tcPr/>
                <w:p>
                  <w:pPr>
                    <w:pStyle w:val="Compact"/>
                    <w:jc w:val="center"/>
                  </w:pPr>
                  <w:r>
                    <w:rPr>
                      <w:rStyle w:val="VerbatimChar"/>
                    </w:rPr>
                    <w:t xml:space="preserve">31_uno_c_and_tdauc.R</w:t>
                  </w:r>
                </w:p>
              </w:tc>
              <w:tc>
                <w:tcPr/>
                <w:p>
                  <w:pPr>
                    <w:pStyle w:val="Compact"/>
                    <w:jc w:val="center"/>
                  </w:pPr>
                  <w:r>
                    <w:rPr>
                      <w:i/>
                      <w:iCs/>
                    </w:rPr>
                    <w:t xml:space="preserve">C</w:t>
                  </w:r>
                  <w:r>
                    <w:t xml:space="preserve"> </w:t>
                  </w:r>
                  <w:r>
                    <w:t xml:space="preserve">de Uno e AUC tempo-dependente (Blanche)</w:t>
                  </w:r>
                </w:p>
              </w:tc>
            </w:tr>
            <w:tr>
              <w:tc>
                <w:tcPr/>
                <w:p>
                  <w:pPr>
                    <w:pStyle w:val="Compact"/>
                    <w:jc w:val="center"/>
                  </w:pPr>
                  <w:r>
                    <w:rPr>
                      <w:rStyle w:val="VerbatimChar"/>
                    </w:rPr>
                    <w:t xml:space="preserve">32_calibration_formal.R</w:t>
                  </w:r>
                </w:p>
              </w:tc>
              <w:tc>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p>
                  <w:pPr>
                    <w:pStyle w:val="Compact"/>
                    <w:jc w:val="center"/>
                  </w:pPr>
                  <w:r>
                    <w:rPr>
                      <w:rStyle w:val="VerbatimChar"/>
                    </w:rPr>
                    <w:t xml:space="preserve">34_subgroup_er_stratified.R</w:t>
                  </w:r>
                </w:p>
              </w:tc>
              <w:tc>
                <w:tcPr/>
                <w:p>
                  <w:pPr>
                    <w:pStyle w:val="Compact"/>
                    <w:jc w:val="center"/>
                  </w:pPr>
                  <w:r>
                    <w:t xml:space="preserve">Subgrupos estratificados por ER</w:t>
                  </w:r>
                </w:p>
              </w:tc>
            </w:tr>
            <w:tr>
              <w:tc>
                <w:tcPr/>
                <w:p>
                  <w:pPr>
                    <w:pStyle w:val="Compact"/>
                    <w:jc w:val="center"/>
                  </w:pPr>
                  <w:r>
                    <w:rPr>
                      <w:rStyle w:val="VerbatimChar"/>
                    </w:rPr>
                    <w:t xml:space="preserve">35_er_neg_bootstrap_stability.R</w:t>
                  </w:r>
                </w:p>
              </w:tc>
              <w:tc>
                <w:tcPr/>
                <w:p>
                  <w:pPr>
                    <w:pStyle w:val="Compact"/>
                    <w:jc w:val="center"/>
                  </w:pPr>
                  <w:r>
                    <w:t xml:space="preserve">Estabilidade</w:t>
                  </w:r>
                  <w:r>
                    <w:t xml:space="preserve"> </w:t>
                  </w:r>
                  <w:r>
                    <w:rPr>
                      <w:i/>
                      <w:iCs/>
                    </w:rPr>
                    <w:t xml:space="preserve">bootstrap</w:t>
                  </w:r>
                  <w:r>
                    <w:t xml:space="preserve"> </w:t>
                  </w:r>
                  <w:r>
                    <w:t xml:space="preserve">em ER-negativo</w:t>
                  </w:r>
                </w:p>
              </w:tc>
            </w:tr>
            <w:tr>
              <w:tc>
                <w:tcPr/>
                <w:p>
                  <w:pPr>
                    <w:pStyle w:val="Compact"/>
                    <w:jc w:val="center"/>
                  </w:pPr>
                  <w:r>
                    <w:rPr>
                      <w:rStyle w:val="VerbatimChar"/>
                    </w:rPr>
                    <w:t xml:space="preserve">36_full_clinical_baseline.R</w:t>
                  </w:r>
                </w:p>
              </w:tc>
              <w:tc>
                <w:tcPr/>
                <w:p>
                  <w:pPr>
                    <w:pStyle w:val="Compact"/>
                    <w:jc w:val="center"/>
                  </w:pPr>
                  <w:r>
                    <w:rPr>
                      <w:i/>
                      <w:iCs/>
                    </w:rPr>
                    <w:t xml:space="preserve">Baseline</w:t>
                  </w:r>
                  <w:r>
                    <w:t xml:space="preserve"> </w:t>
                  </w:r>
                  <w:r>
                    <w:t xml:space="preserve">clínico completo (36 variáveis)</w:t>
                  </w:r>
                </w:p>
              </w:tc>
            </w:tr>
            <w:tr>
              <w:tc>
                <w:tcPr/>
                <w:p>
                  <w:pPr>
                    <w:pStyle w:val="Compact"/>
                    <w:jc w:val="center"/>
                  </w:pPr>
                  <w:r>
                    <w:rPr>
                      <w:rStyle w:val="VerbatimChar"/>
                    </w:rPr>
                    <w:t xml:space="preserve">37_R2_km_multipanel.R</w:t>
                  </w:r>
                </w:p>
              </w:tc>
              <w:tc>
                <w:tcPr/>
                <w:p>
                  <w:pPr>
                    <w:pStyle w:val="Compact"/>
                    <w:jc w:val="center"/>
                  </w:pPr>
                  <w:r>
                    <w:t xml:space="preserve">KM</w:t>
                  </w:r>
                  <w:r>
                    <w:t xml:space="preserve"> </w:t>
                  </w:r>
                  <w:r>
                    <w:rPr>
                      <w:i/>
                      <w:iCs/>
                    </w:rPr>
                    <w:t xml:space="preserve">multipanel</w:t>
                  </w:r>
                  <w:r>
                    <w:t xml:space="preserve"> </w:t>
                  </w:r>
                  <w:r>
                    <w:t xml:space="preserve">(resposta à R2)</w:t>
                  </w:r>
                </w:p>
              </w:tc>
            </w:tr>
            <w:tr>
              <w:tc>
                <w:tcPr/>
                <w:p>
                  <w:pPr>
                    <w:pStyle w:val="Compact"/>
                    <w:jc w:val="center"/>
                  </w:pPr>
                  <w:r>
                    <w:rPr>
                      <w:rStyle w:val="VerbatimChar"/>
                    </w:rPr>
                    <w:t xml:space="preserve">38_R2_headtohead_24vs50.R</w:t>
                  </w:r>
                </w:p>
              </w:tc>
              <w:tc>
                <w:tcPr/>
                <w:p>
                  <w:pPr>
                    <w:pStyle w:val="Compact"/>
                    <w:jc w:val="center"/>
                  </w:pPr>
                  <w:r>
                    <w:rPr>
                      <w:i/>
                      <w:iCs/>
                    </w:rPr>
                    <w:t xml:space="preserve">Head-to-head</w:t>
                  </w:r>
                  <w:r>
                    <w:t xml:space="preserve"> </w:t>
                  </w:r>
                  <w:r>
                    <w:t xml:space="preserve">24 vs 50 genes (resposta à R2)</w:t>
                  </w:r>
                </w:p>
              </w:tc>
            </w:tr>
          </w:tbl>
          <w:bookmarkEnd w:id="381"/>
          <w:p/>
        </w:tc>
      </w:tr>
    </w:tbl>
    <w:p>
      <w:r>
        <w:br w:type="page"/>
      </w:r>
    </w:p>
    <w:bookmarkStart w:id="382"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2"/>
    <w:bookmarkEnd w:id="38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2026-05-18T00:59:33Z</dcterms:created>
  <dcterms:modified xsi:type="dcterms:W3CDTF">2026-05-18T00:59:33Z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