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1.png" ContentType="image/png"/>
  <Override PartName="/word/media/rId36.png" ContentType="image/png"/>
  <Override PartName="/word/media/rId60.png" ContentType="image/png"/>
  <Override PartName="/word/media/rId74.png" ContentType="image/png"/>
  <Override PartName="/word/media/rId48.png" ContentType="image/png"/>
  <Override PartName="/word/media/rId131.png" ContentType="image/png"/>
  <Override PartName="/word/media/rId127.png" ContentType="image/png"/>
  <Override PartName="/word/media/rId115.png" ContentType="image/png"/>
  <Override PartName="/word/media/rId123.png" ContentType="image/png"/>
  <Override PartName="/word/media/rId119.png" ContentType="image/png"/>
  <Override PartName="/word/media/rId137.png" ContentType="image/png"/>
  <Override PartName="/word/media/rId147.png" ContentType="image/png"/>
  <Override PartName="/word/media/rId143.png" ContentType="image/png"/>
  <Override PartName="/word/media/rId180.png" ContentType="image/png"/>
  <Override PartName="/word/media/rId184.png" ContentType="image/png"/>
  <Override PartName="/word/media/rId192.png" ContentType="image/png"/>
  <Override PartName="/word/media/rId188.png" ContentType="image/png"/>
  <Override PartName="/word/media/rId156.png" ContentType="image/png"/>
  <Override PartName="/word/media/rId166.png" ContentType="image/png"/>
  <Override PartName="/word/media/rId105.png" ContentType="image/png"/>
  <Override PartName="/word/media/rId204.png" ContentType="image/png"/>
  <Override PartName="/word/media/rId162.png" ContentType="image/png"/>
  <Override PartName="/word/media/rId109.png" ContentType="image/png"/>
  <Override PartName="/word/media/rId173.png" ContentType="image/png"/>
  <Override PartName="/word/media/rId198.png" ContentType="image/png"/>
  <Override PartName="/word/media/rId96.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bookmarkStart w:id="20" w:name="dedicatória"/>
    <w:p>
      <w:pPr>
        <w:pageBreakBefore/>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bookmarkEnd w:id="20"/>
    <w:bookmarkStart w:id="21" w:name="agradecimentos"/>
    <w:p>
      <w:pPr>
        <w:pageBreakBefore/>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1"/>
    <w:bookmarkStart w:id="22"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bookmarkEnd w:id="22"/>
    <w:bookmarkStart w:id="23" w:name="resumo"/>
    <w:p>
      <w:pPr>
        <w:pageBreakBefore/>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bookmarkEnd w:id="23"/>
    <w:bookmarkStart w:id="24" w:name="abstract"/>
    <w:p>
      <w:pPr>
        <w:pageBreakBefore/>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bookmarkEnd w:id="24"/>
    <w:bookmarkStart w:id="25" w:name="lista-de-figuras"/>
    <w:p>
      <w:pPr>
        <w:pageBreakBefore/>
        <w:pStyle w:val="Heading1"/>
      </w:pPr>
      <w:r>
        <w:t xml:space="preserve">LISTA DE FIGURAS</w:t>
      </w:r>
    </w:p>
    <!--FIGLIST_START-->
    <w:p>
      <w:pPr>
        <w:tabs>
          <w:tab w:val="right" w:leader="dot" w:pos="8640"/>
        </w:tabs>
        <w:spacing w:after="0" w:line="360" w:lineRule="auto"/>
        <w:ind w:left="0" w:right="0"/>
      </w:pPr>
      <w:r>
        <w:t xml:space="preserve">Figura 1 – Subtipos moleculares intrínsecos do câncer de mama</w:t>
      </w:r>
      <w:r>
        <w:tab/>
        <w:t xml:space="preserve">20</w:t>
      </w:r>
    </w:p>
    <w:p>
      <w:pPr>
        <w:tabs>
          <w:tab w:val="right" w:leader="dot" w:pos="8640"/>
        </w:tabs>
        <w:spacing w:after="0" w:line="360" w:lineRule="auto"/>
        <w:ind w:left="0" w:right="0"/>
      </w:pPr>
      <w:r>
        <w:t xml:space="preserve">Figura 2 – Linha do tempo das principais assinaturas gênicas em câncer de mama</w:t>
      </w:r>
      <w:r>
        <w:tab/>
        <w:t xml:space="preserve">21</w:t>
      </w:r>
    </w:p>
    <w:p>
      <w:pPr>
        <w:tabs>
          <w:tab w:val="right" w:leader="dot" w:pos="8640"/>
        </w:tabs>
        <w:spacing w:after="0" w:line="360" w:lineRule="auto"/>
        <w:ind w:left="0" w:right="0"/>
      </w:pPr>
      <w:r>
        <w:t xml:space="preserve">Figura 3 – Desenho do estudo CorePAM</w:t>
      </w:r>
      <w:r>
        <w:tab/>
        <w:t xml:space="preserve">26</w:t>
      </w:r>
    </w:p>
    <w:p>
      <w:pPr>
        <w:tabs>
          <w:tab w:val="right" w:leader="dot" w:pos="8640"/>
        </w:tabs>
        <w:spacing w:after="0" w:line="360" w:lineRule="auto"/>
        <w:ind w:left="0" w:right="0"/>
      </w:pPr>
      <w:r>
        <w:t xml:space="preserve">Figura 4 – Fluxograma das coortes do estudo</w:t>
      </w:r>
      <w:r>
        <w:tab/>
        <w:t xml:space="preserve">30</w:t>
      </w:r>
    </w:p>
    <w:p>
      <w:pPr>
        <w:tabs>
          <w:tab w:val="right" w:leader="dot" w:pos="8640"/>
        </w:tabs>
        <w:spacing w:after="0" w:line="360" w:lineRule="auto"/>
        <w:ind w:left="0" w:right="0"/>
      </w:pPr>
      <w:r>
        <w:t xml:space="preserve">Figura 5 – Esquema de derivação do CorePAM</w:t>
      </w:r>
      <w:r>
        <w:tab/>
        <w:t xml:space="preserve">34</w:t>
      </w:r>
    </w:p>
    <w:p>
      <w:pPr>
        <w:tabs>
          <w:tab w:val="right" w:leader="dot" w:pos="8640"/>
        </w:tabs>
        <w:spacing w:after="0" w:line="360" w:lineRule="auto"/>
        <w:ind w:left="0" w:right="0"/>
      </w:pPr>
      <w:r>
        <w:t xml:space="preserve">Figura 6 – Fronteira de Pareto: C-index out-of-fold em função do número de genes (graus de liberdade) ao longo do caminho de regularização elastic-net</w:t>
      </w:r>
      <w:r>
        <w:tab/>
        <w:t xml:space="preserve">41</w:t>
      </w:r>
    </w:p>
    <w:p>
      <w:pPr>
        <w:tabs>
          <w:tab w:val="right" w:leader="dot" w:pos="8640"/>
        </w:tabs>
        <w:spacing w:after="0" w:line="360" w:lineRule="auto"/>
        <w:ind w:left="0" w:right="0"/>
      </w:pPr>
      <w:r>
        <w:t xml:space="preserve">Figura 7 – Pesos dos 24 genes CorePAM (gráfico lollipop)</w:t>
      </w:r>
      <w:r>
        <w:tab/>
        <w:t xml:space="preserve">44</w:t>
      </w:r>
    </w:p>
    <w:p>
      <w:pPr>
        <w:tabs>
          <w:tab w:val="right" w:leader="dot" w:pos="8640"/>
        </w:tabs>
        <w:spacing w:after="0" w:line="360" w:lineRule="auto"/>
        <w:ind w:left="0" w:right="0"/>
      </w:pPr>
      <w:r>
        <w:t xml:space="preserve">Figura 8 – Estabilidade bootstrap da seleção de genes (B = 200 reajustes no SCAN-B)</w:t>
      </w:r>
      <w:r>
        <w:tab/>
        <w:t xml:space="preserve">46</w:t>
      </w:r>
    </w:p>
    <w:p>
      <w:pPr>
        <w:tabs>
          <w:tab w:val="right" w:leader="dot" w:pos="8640"/>
        </w:tabs>
        <w:spacing w:after="0" w:line="360" w:lineRule="auto"/>
        <w:ind w:left="0" w:right="0"/>
      </w:pPr>
      <w:r>
        <w:t xml:space="preserve">Figura 9 – Análise de sensibilidade leave-one-gene-out</w:t>
      </w:r>
      <w:r>
        <w:tab/>
        <w:t xml:space="preserve">47</w:t>
      </w:r>
    </w:p>
    <w:p>
      <w:pPr>
        <w:tabs>
          <w:tab w:val="right" w:leader="dot" w:pos="8640"/>
        </w:tabs>
        <w:spacing w:after="0" w:line="360" w:lineRule="auto"/>
        <w:ind w:left="0" w:right="0"/>
      </w:pPr>
      <w:r>
        <w:t xml:space="preserve">Figura 10 – Curvas de Kaplan-Meier nas cinco coortes (painel múltiplo)</w:t>
      </w:r>
      <w:r>
        <w:tab/>
        <w:t xml:space="preserve">50</w:t>
      </w:r>
    </w:p>
    <w:p>
      <w:pPr>
        <w:tabs>
          <w:tab w:val="right" w:leader="dot" w:pos="8640"/>
        </w:tabs>
        <w:spacing w:after="0" w:line="360" w:lineRule="auto"/>
        <w:ind w:left="0" w:right="0"/>
      </w:pPr>
      <w:r>
        <w:t xml:space="preserve">Figura 11 – Curva de Kaplan-Meier na coorte de treinamento SCAN-B (N = 3 069; sobrevida global)</w:t>
      </w:r>
      <w:r>
        <w:tab/>
        <w:t xml:space="preserve">51</w:t>
      </w:r>
    </w:p>
    <w:p>
      <w:pPr>
        <w:tabs>
          <w:tab w:val="right" w:leader="dot" w:pos="8640"/>
        </w:tabs>
        <w:spacing w:after="0" w:line="360" w:lineRule="auto"/>
        <w:ind w:left="0" w:right="0"/>
      </w:pPr>
      <w:r>
        <w:t xml:space="preserve">Figura 12 – Curva de Kaplan-Meier na coorte TCGA-BRCA (N = 1 072; RNA-seq; sobrevida global)</w:t>
      </w:r>
      <w:r>
        <w:tab/>
        <w:t xml:space="preserve">52</w:t>
      </w:r>
    </w:p>
    <w:p>
      <w:pPr>
        <w:tabs>
          <w:tab w:val="right" w:leader="dot" w:pos="8640"/>
        </w:tabs>
        <w:spacing w:after="0" w:line="360" w:lineRule="auto"/>
        <w:ind w:left="0" w:right="0"/>
      </w:pPr>
      <w:r>
        <w:t xml:space="preserve">Figura 13 – Curva de Kaplan-Meier na coorte METABRIC (N = 1 978; microarray Illumina; sobrevida doença-específica)</w:t>
      </w:r>
      <w:r>
        <w:tab/>
        <w:t xml:space="preserve">53</w:t>
      </w:r>
    </w:p>
    <w:p>
      <w:pPr>
        <w:tabs>
          <w:tab w:val="right" w:leader="dot" w:pos="8640"/>
        </w:tabs>
        <w:spacing w:after="0" w:line="360" w:lineRule="auto"/>
        <w:ind w:left="0" w:right="0"/>
      </w:pPr>
      <w:r>
        <w:t xml:space="preserve">Figura 14 – Curva de Kaplan-Meier na coorte GSE20685 (N = 327; microarray Affymetrix; sobrevida global)</w:t>
      </w:r>
      <w:r>
        <w:tab/>
        <w:t xml:space="preserve">54</w:t>
      </w:r>
    </w:p>
    <w:p>
      <w:pPr>
        <w:tabs>
          <w:tab w:val="right" w:leader="dot" w:pos="8640"/>
        </w:tabs>
        <w:spacing w:after="0" w:line="360" w:lineRule="auto"/>
        <w:ind w:left="0" w:right="0"/>
      </w:pPr>
      <w:r>
        <w:t xml:space="preserve">Figura 15 – Forest plot da meta-análise de sobrevida (HR por 1-DP, K = 4 coortes de validação)</w:t>
      </w:r>
      <w:r>
        <w:tab/>
        <w:t xml:space="preserve">55</w:t>
      </w:r>
    </w:p>
    <w:p>
      <w:pPr>
        <w:tabs>
          <w:tab w:val="right" w:leader="dot" w:pos="8640"/>
        </w:tabs>
        <w:spacing w:after="0" w:line="360" w:lineRule="auto"/>
        <w:ind w:left="0" w:right="0"/>
      </w:pPr>
      <w:r>
        <w:t xml:space="preserve">Figura 16 – Delta-C-index incremental do CorePAM sobre o modelo clínico CORE-A</w:t>
      </w:r>
      <w:r>
        <w:tab/>
        <w:t xml:space="preserve">57</w:t>
      </w:r>
    </w:p>
    <w:p>
      <w:pPr>
        <w:tabs>
          <w:tab w:val="right" w:leader="dot" w:pos="8640"/>
        </w:tabs>
        <w:spacing w:after="0" w:line="360" w:lineRule="auto"/>
        <w:ind w:left="0" w:right="0"/>
      </w:pPr>
      <w:r>
        <w:t xml:space="preserve">Figura 17 – Curvas de calibração (risco predito vs observado) em quatro coortes</w:t>
      </w:r>
      <w:r>
        <w:tab/>
        <w:t xml:space="preserve">59</w:t>
      </w:r>
    </w:p>
    <w:p>
      <w:pPr>
        <w:tabs>
          <w:tab w:val="right" w:leader="dot" w:pos="8640"/>
        </w:tabs>
        <w:spacing w:after="0" w:line="360" w:lineRule="auto"/>
        <w:ind w:left="0" w:right="0"/>
      </w:pPr>
      <w:r>
        <w:t xml:space="preserve">Figura 18 – Correlação entre escores intra-coorte e z-score congelado (parâmetros SCAN-B) por coorte</w:t>
      </w:r>
      <w:r>
        <w:tab/>
        <w:t xml:space="preserve">61</w:t>
      </w:r>
    </w:p>
    <w:p>
      <w:pPr>
        <w:tabs>
          <w:tab w:val="right" w:leader="dot" w:pos="8640"/>
        </w:tabs>
        <w:spacing w:after="0" w:line="360" w:lineRule="auto"/>
        <w:ind w:left="0" w:right="0"/>
      </w:pPr>
      <w:r>
        <w:t xml:space="preserve">Figura 19 – Análise de curva de decisão (DCA) — quatro coortes</w:t>
      </w:r>
      <w:r>
        <w:tab/>
        <w:t xml:space="preserve">63</w:t>
      </w:r>
    </w:p>
    <w:p>
      <w:pPr>
        <w:tabs>
          <w:tab w:val="right" w:leader="dot" w:pos="8640"/>
        </w:tabs>
        <w:spacing w:after="0" w:line="360" w:lineRule="auto"/>
        <w:ind w:left="0" w:right="0"/>
      </w:pPr>
      <w:r>
        <w:t xml:space="preserve">Figura 20 – PCA forense da matriz de expressão METABRIC</w:t>
      </w:r>
      <w:r>
        <w:tab/>
        <w:t xml:space="preserve">64</w:t>
      </w:r>
    </w:p>
    <w:p>
      <w:pPr>
        <w:tabs>
          <w:tab w:val="right" w:leader="dot" w:pos="8640"/>
        </w:tabs>
        <w:spacing w:after="0" w:line="360" w:lineRule="auto"/>
        <w:ind w:left="0" w:right="0"/>
      </w:pPr>
      <w:r>
        <w:t xml:space="preserve">Figura 21 – Forest plot de subgrupos por status de receptor de estrogênio (ER-positivo e ER-negativo)</w:t>
      </w:r>
      <w:r>
        <w:tab/>
        <w:t xml:space="preserve">66</w:t>
      </w:r>
    </w:p>
    <w:p>
      <w:pPr>
        <w:tabs>
          <w:tab w:val="right" w:leader="dot" w:pos="8640"/>
        </w:tabs>
        <w:spacing w:after="0" w:line="360" w:lineRule="auto"/>
        <w:ind w:left="0" w:right="0"/>
      </w:pPr>
      <w:r>
        <w:t xml:space="preserve">Figura 22 – Forest plot de pCR (OR por 1-DP, K = 4 coortes primárias + I-SPY2 exploratória)</w:t>
      </w:r>
      <w:r>
        <w:tab/>
        <w:t xml:space="preserve">68</w:t>
      </w:r>
    </w:p>
    <w:p>
      <w:pPr>
        <w:tabs>
          <w:tab w:val="right" w:leader="dot" w:pos="8640"/>
        </w:tabs>
        <w:spacing w:after="0" w:line="360" w:lineRule="auto"/>
        <w:ind w:left="0" w:right="0"/>
      </w:pPr>
      <w:r>
        <w:t xml:space="preserve">Figura 23 – Curvas ROC para predição de pCR em cada coorte neoadjuvante</w:t>
      </w:r>
      <w:r>
        <w:tab/>
        <w:t xml:space="preserve">69</w:t>
      </w:r>
    </w:p>
    <w:p>
      <w:pPr>
        <w:tabs>
          <w:tab w:val="right" w:leader="dot" w:pos="8640"/>
        </w:tabs>
        <w:spacing w:after="0" w:line="360" w:lineRule="auto"/>
        <w:ind w:left="0" w:right="0"/>
      </w:pPr>
      <w:r>
        <w:t xml:space="preserve">Figura 24 – Distribuição do escore CorePAM por status de pCR em cada coorte neoadjuvante</w:t>
      </w:r>
      <w:r>
        <w:tab/>
        <w:t xml:space="preserve">70</w:t>
      </w:r>
    </w:p>
    <w:p>
      <w:pPr>
        <w:tabs>
          <w:tab w:val="right" w:leader="dot" w:pos="8640"/>
        </w:tabs>
        <w:spacing w:after="0" w:line="360" w:lineRule="auto"/>
        <w:ind w:left="0" w:right="0"/>
      </w:pPr>
      <w:r>
        <w:t xml:space="preserve">Figura 25 – Taxa de pCR por quartil do escore CorePAM em cada coorte neoadjuvante</w:t>
      </w:r>
      <w:r>
        <w:tab/>
        <w:t xml:space="preserve">71</w:t>
      </w:r>
    </w:p>
    <w:p>
      <w:pPr>
        <w:tabs>
          <w:tab w:val="right" w:leader="dot" w:pos="8640"/>
        </w:tabs>
        <w:spacing w:after="0" w:line="360" w:lineRule="auto"/>
        <w:ind w:left="0" w:right="0"/>
      </w:pPr>
      <w:r>
        <w:t xml:space="preserve">Figura 26 – Comparação head-to-head CorePAM (24 genes) vs PAM50-full (49 genes) por coorte e modo de pontuação</w:t>
      </w:r>
      <w:r>
        <w:tab/>
        <w:t xml:space="preserve">73</w:t>
      </w:r>
    </w:p>
    <w:p>
      <w:pPr>
        <w:tabs>
          <w:tab w:val="right" w:leader="dot" w:pos="8640"/>
        </w:tabs>
        <w:spacing w:after="0" w:line="360" w:lineRule="auto"/>
        <w:ind w:left="0" w:right="0"/>
      </w:pPr>
      <w:r>
        <w:t xml:space="preserve">Figura 27 – Comparação de C-index: CorePAM vs ROR-S vs OncotypeDX-RS (implementações genefu) por coorte</w:t>
      </w:r>
      <w:r>
        <w:tab/>
        <w:t xml:space="preserve">75</w:t>
      </w:r>
    </w:p>
    <!--FIGLIST_END-->
    <w:bookmarkEnd w:id="25"/>
    <w:bookmarkStart w:id="26" w:name="lista-de-tabelas"/>
    <w:p>
      <w:pPr>
        <w:pageBreakBefore/>
        <w:pStyle w:val="Heading1"/>
      </w:pPr>
      <w:r>
        <w:t xml:space="preserve">LISTA DE TABELAS</w:t>
      </w:r>
    </w:p>
    <!--TABLIST_START-->
    <w:p>
      <w:pPr>
        <w:tabs>
          <w:tab w:val="right" w:leader="dot" w:pos="8640"/>
        </w:tabs>
        <w:spacing w:after="0" w:line="360" w:lineRule="auto"/>
        <w:ind w:left="0" w:right="0"/>
      </w:pPr>
      <w:r>
        <w:t xml:space="preserve">Tabela 1 – Características das coortes de sobrevida</w:t>
      </w:r>
      <w:r>
        <w:tab/>
        <w:t xml:space="preserve">29</w:t>
      </w:r>
    </w:p>
    <w:p>
      <w:pPr>
        <w:tabs>
          <w:tab w:val="right" w:leader="dot" w:pos="8640"/>
        </w:tabs>
        <w:spacing w:after="0" w:line="360" w:lineRule="auto"/>
        <w:ind w:left="0" w:right="0"/>
      </w:pPr>
      <w:r>
        <w:t xml:space="preserve">Tabela 2 – Características das coortes neoadjuvantes (pCR)</w:t>
      </w:r>
      <w:r>
        <w:tab/>
        <w:t xml:space="preserve">29</w:t>
      </w:r>
    </w:p>
    <w:p>
      <w:pPr>
        <w:tabs>
          <w:tab w:val="right" w:leader="dot" w:pos="8640"/>
        </w:tabs>
        <w:spacing w:after="0" w:line="360" w:lineRule="auto"/>
        <w:ind w:left="0" w:right="0"/>
      </w:pPr>
      <w:r>
        <w:t xml:space="preserve">Tabela 3 – Parâmetros analíticos congelados antes da análise</w:t>
      </w:r>
      <w:r>
        <w:tab/>
        <w:t xml:space="preserve">30</w:t>
      </w:r>
    </w:p>
    <w:p>
      <w:pPr>
        <w:tabs>
          <w:tab w:val="right" w:leader="dot" w:pos="8640"/>
        </w:tabs>
        <w:spacing w:after="0" w:line="360" w:lineRule="auto"/>
        <w:ind w:left="0" w:right="0"/>
      </w:pPr>
      <w:r>
        <w:t xml:space="preserve">Tabela 4 – Cobertura de genes CorePAM por coorte de validação</w:t>
      </w:r>
      <w:r>
        <w:tab/>
        <w:t xml:space="preserve">33</w:t>
      </w:r>
    </w:p>
    <w:p>
      <w:pPr>
        <w:tabs>
          <w:tab w:val="right" w:leader="dot" w:pos="8640"/>
        </w:tabs>
        <w:spacing w:after="0" w:line="360" w:lineRule="auto"/>
        <w:ind w:left="0" w:right="0"/>
      </w:pPr>
      <w:r>
        <w:t xml:space="preserve">Tabela 5 – Lista completa dos 24 genes CorePAM com pesos elastic-net</w:t>
      </w:r>
      <w:r>
        <w:tab/>
        <w:t xml:space="preserve">43</w:t>
      </w:r>
    </w:p>
    <w:p>
      <w:pPr>
        <w:tabs>
          <w:tab w:val="right" w:leader="dot" w:pos="8640"/>
        </w:tabs>
        <w:spacing w:after="0" w:line="360" w:lineRule="auto"/>
        <w:ind w:left="0" w:right="0"/>
      </w:pPr>
      <w:r>
        <w:t xml:space="preserve">Tabela 6 – Desempenho prognóstico do CorePAM por coorte</w:t>
      </w:r>
      <w:r>
        <w:tab/>
        <w:t xml:space="preserve">48</w:t>
      </w:r>
    </w:p>
    <w:p>
      <w:pPr>
        <w:tabs>
          <w:tab w:val="right" w:leader="dot" w:pos="8640"/>
        </w:tabs>
        <w:spacing w:after="0" w:line="360" w:lineRule="auto"/>
        <w:ind w:left="0" w:right="0"/>
      </w:pPr>
      <w:r>
        <w:t xml:space="preserve">Tabela 7 – Meta-análise de efeitos aleatórios — sobrevida (K = 4)</w:t>
      </w:r>
      <w:r>
        <w:tab/>
        <w:t xml:space="preserve">55</w:t>
      </w:r>
    </w:p>
    <w:p>
      <w:pPr>
        <w:tabs>
          <w:tab w:val="right" w:leader="dot" w:pos="8640"/>
        </w:tabs>
        <w:spacing w:after="0" w:line="360" w:lineRule="auto"/>
        <w:ind w:left="0" w:right="0"/>
      </w:pPr>
      <w:r>
        <w:t xml:space="preserve">Tabela 8 – C-index incremental do CorePAM sobre o modelo CORE-A</w:t>
      </w:r>
      <w:r>
        <w:tab/>
        <w:t xml:space="preserve">56</w:t>
      </w:r>
    </w:p>
    <w:p>
      <w:pPr>
        <w:tabs>
          <w:tab w:val="right" w:leader="dot" w:pos="8640"/>
        </w:tabs>
        <w:spacing w:after="0" w:line="360" w:lineRule="auto"/>
        <w:ind w:left="0" w:right="0"/>
      </w:pPr>
      <w:r>
        <w:t xml:space="preserve">Tabela 9 – Modelo clínico expandido com estadiamento anatômico</w:t>
      </w:r>
      <w:r>
        <w:tab/>
        <w:t xml:space="preserve">60</w:t>
      </w:r>
    </w:p>
    <w:p>
      <w:pPr>
        <w:tabs>
          <w:tab w:val="right" w:leader="dot" w:pos="8640"/>
        </w:tabs>
        <w:spacing w:after="0" w:line="360" w:lineRule="auto"/>
        <w:ind w:left="0" w:right="0"/>
      </w:pPr>
      <w:r>
        <w:t xml:space="preserve">Tabela 10 – Modelo clínico completo (6 variáveis) com e sem CorePAM</w:t>
      </w:r>
      <w:r>
        <w:tab/>
        <w:t xml:space="preserve">60</w:t>
      </w:r>
    </w:p>
    <w:p>
      <w:pPr>
        <w:tabs>
          <w:tab w:val="right" w:leader="dot" w:pos="8640"/>
        </w:tabs>
        <w:spacing w:after="0" w:line="360" w:lineRule="auto"/>
        <w:ind w:left="0" w:right="0"/>
      </w:pPr>
      <w:r>
        <w:t xml:space="preserve">Tabela 11 – Análise de sensibilidade do z-score congelado</w:t>
      </w:r>
      <w:r>
        <w:tab/>
        <w:t xml:space="preserve">60</w:t>
      </w:r>
    </w:p>
    <w:p>
      <w:pPr>
        <w:tabs>
          <w:tab w:val="right" w:leader="dot" w:pos="8640"/>
        </w:tabs>
        <w:spacing w:after="0" w:line="360" w:lineRule="auto"/>
        <w:ind w:left="0" w:right="0"/>
      </w:pPr>
      <w:r>
        <w:t xml:space="preserve">Tabela 12 – Estatística C de Uno e AUC tempo-dependente</w:t>
      </w:r>
      <w:r>
        <w:tab/>
        <w:t xml:space="preserve">62</w:t>
      </w:r>
    </w:p>
    <w:p>
      <w:pPr>
        <w:tabs>
          <w:tab w:val="right" w:leader="dot" w:pos="8640"/>
        </w:tabs>
        <w:spacing w:after="0" w:line="360" w:lineRule="auto"/>
        <w:ind w:left="0" w:right="0"/>
      </w:pPr>
      <w:r>
        <w:t xml:space="preserve">Tabela 13 – Calibração formal por coorte</w:t>
      </w:r>
      <w:r>
        <w:tab/>
        <w:t xml:space="preserve">62</w:t>
      </w:r>
    </w:p>
    <w:p>
      <w:pPr>
        <w:tabs>
          <w:tab w:val="right" w:leader="dot" w:pos="8640"/>
        </w:tabs>
        <w:spacing w:after="0" w:line="360" w:lineRule="auto"/>
        <w:ind w:left="0" w:right="0"/>
      </w:pPr>
      <w:r>
        <w:t xml:space="preserve">Tabela 14 – Análise de subgrupo por status de RE</w:t>
      </w:r>
      <w:r>
        <w:tab/>
        <w:t xml:space="preserve">65</w:t>
      </w:r>
    </w:p>
    <w:p>
      <w:pPr>
        <w:tabs>
          <w:tab w:val="right" w:leader="dot" w:pos="8640"/>
        </w:tabs>
        <w:spacing w:after="0" w:line="360" w:lineRule="auto"/>
        <w:ind w:left="0" w:right="0"/>
      </w:pPr>
      <w:r>
        <w:t xml:space="preserve">Tabela 15 – Predição de pCR por coorte neoadjuvante</w:t>
      </w:r>
      <w:r>
        <w:tab/>
        <w:t xml:space="preserve">67</w:t>
      </w:r>
    </w:p>
    <w:p>
      <w:pPr>
        <w:tabs>
          <w:tab w:val="right" w:leader="dot" w:pos="8640"/>
        </w:tabs>
        <w:spacing w:after="0" w:line="360" w:lineRule="auto"/>
        <w:ind w:left="0" w:right="0"/>
      </w:pPr>
      <w:r>
        <w:t xml:space="preserve">Tabela 16 – Comparação head-to-head: CorePAM (24 genes) vs PAM50-full elastic-net (49 genes)</w:t>
      </w:r>
      <w:r>
        <w:tab/>
        <w:t xml:space="preserve">72</w:t>
      </w:r>
    </w:p>
    <w:p>
      <w:pPr>
        <w:tabs>
          <w:tab w:val="right" w:leader="dot" w:pos="8640"/>
        </w:tabs>
        <w:spacing w:after="0" w:line="360" w:lineRule="auto"/>
        <w:ind w:left="0" w:right="0"/>
      </w:pPr>
      <w:r>
        <w:t xml:space="preserve">Tabela 17 – Comparação com ROR-S e OncotypeDX-RS (implementações genefu)</w:t>
      </w:r>
      <w:r>
        <w:tab/>
        <w:t xml:space="preserve">74</w:t>
      </w:r>
    </w:p>
    <w:p>
      <w:pPr>
        <w:tabs>
          <w:tab w:val="right" w:leader="dot" w:pos="8640"/>
        </w:tabs>
        <w:spacing w:after="0" w:line="360" w:lineRule="auto"/>
        <w:ind w:left="0" w:right="0"/>
      </w:pPr>
      <w:r>
        <w:t xml:space="preserve">Tabela 18 – Organização do pipeline computacional por blocos</w:t>
      </w:r>
      <w:r>
        <w:tab/>
        <w:t xml:space="preserve">98</w:t>
      </w:r>
    </w:p>
    <w:p>
      <w:pPr>
        <w:tabs>
          <w:tab w:val="right" w:leader="dot" w:pos="8640"/>
        </w:tabs>
        <w:spacing w:after="0" w:line="360" w:lineRule="auto"/>
        <w:ind w:left="0" w:right="0"/>
      </w:pPr>
      <w:r>
        <w:t xml:space="preserve">Tabela 19 – Lista completa dos scripts do pipeline</w:t>
      </w:r>
      <w:r>
        <w:tab/>
        <w:t xml:space="preserve">99</w:t>
      </w:r>
    </w:p>
    <!--TABLIST_END-->
    <w:bookmarkEnd w:id="26"/>
    <w:bookmarkStart w:id="27" w:name="lista-de-abreviaturas-e-siglas"/>
    <w:p>
      <w:pPr>
        <w:pageBreakBefore/>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bookmarkEnd w:id="27"/>
    <w:bookmarkStart w:id="28" w:name="sumário"/>
    <w:p>
      <w:pPr>
        <w:pageBreakBefore/>
        <w:pStyle w:val="Heading1"/>
      </w:pPr>
      <w:r>
        <w:t xml:space="preserve">SUMÁRIO</w:t>
      </w:r>
    </w:p>
    <!--TOC_START-->
    <w:p>
      <w:pPr>
        <w:tabs>
          <w:tab w:val="right" w:leader="dot" w:pos="8640"/>
        </w:tabs>
        <w:spacing w:after="0" w:line="360" w:lineRule="auto"/>
        <w:ind w:left="0" w:right="0"/>
      </w:pPr>
      <w:r>
        <w:t xml:space="preserve">1. INTRODUÇÃO</w:t>
      </w:r>
      <w:r>
        <w:tab/>
        <w:t xml:space="preserve">18</w:t>
      </w:r>
    </w:p>
    <w:p>
      <w:pPr>
        <w:tabs>
          <w:tab w:val="right" w:leader="dot" w:pos="8640"/>
        </w:tabs>
        <w:spacing w:after="0" w:line="360" w:lineRule="auto"/>
        <w:ind w:left="360" w:right="0"/>
      </w:pPr>
      <w:r>
        <w:t xml:space="preserve">1.1 Epidemiologia e carga global da doença</w:t>
      </w:r>
      <w:r>
        <w:tab/>
        <w:t xml:space="preserve">18</w:t>
      </w:r>
    </w:p>
    <w:p>
      <w:pPr>
        <w:tabs>
          <w:tab w:val="right" w:leader="dot" w:pos="8640"/>
        </w:tabs>
        <w:spacing w:after="0" w:line="360" w:lineRule="auto"/>
        <w:ind w:left="360" w:right="0"/>
      </w:pPr>
      <w:r>
        <w:t xml:space="preserve">1.2 Heterogeneidade tumoral e justificativa da estratificação molecular</w:t>
      </w:r>
      <w:r>
        <w:tab/>
        <w:t xml:space="preserve">18</w:t>
      </w:r>
    </w:p>
    <w:p>
      <w:pPr>
        <w:tabs>
          <w:tab w:val="right" w:leader="dot" w:pos="8640"/>
        </w:tabs>
        <w:spacing w:after="0" w:line="360" w:lineRule="auto"/>
        <w:ind w:left="360" w:right="0"/>
      </w:pPr>
      <w:r>
        <w:t xml:space="preserve">1.3 Subtipos moleculares intrínsecos e o PAM50</w:t>
      </w:r>
      <w:r>
        <w:tab/>
        <w:t xml:space="preserve">19</w:t>
      </w:r>
    </w:p>
    <w:p>
      <w:pPr>
        <w:tabs>
          <w:tab w:val="right" w:leader="dot" w:pos="8640"/>
        </w:tabs>
        <w:spacing w:after="0" w:line="360" w:lineRule="auto"/>
        <w:ind w:left="360" w:right="0"/>
      </w:pPr>
      <w:r>
        <w:t xml:space="preserve">1.4 Assinaturas gênicas: panorama atual e evidência clínica</w:t>
      </w:r>
      <w:r>
        <w:tab/>
        <w:t xml:space="preserve">20</w:t>
      </w:r>
    </w:p>
    <w:p>
      <w:pPr>
        <w:tabs>
          <w:tab w:val="right" w:leader="dot" w:pos="8640"/>
        </w:tabs>
        <w:spacing w:after="0" w:line="360" w:lineRule="auto"/>
        <w:ind w:left="360" w:right="0"/>
      </w:pPr>
      <w:r>
        <w:t xml:space="preserve">1.5 Plataformas de expressão gênica e o desafio da transportabilidade</w:t>
      </w:r>
      <w:r>
        <w:tab/>
        <w:t xml:space="preserve">21</w:t>
      </w:r>
    </w:p>
    <w:p>
      <w:pPr>
        <w:tabs>
          <w:tab w:val="right" w:leader="dot" w:pos="8640"/>
        </w:tabs>
        <w:spacing w:after="0" w:line="360" w:lineRule="auto"/>
        <w:ind w:left="360" w:right="0"/>
      </w:pPr>
      <w:r>
        <w:t xml:space="preserve">1.6 Coortes públicas de câncer de mama</w:t>
      </w:r>
      <w:r>
        <w:tab/>
        <w:t xml:space="preserve">22</w:t>
      </w:r>
    </w:p>
    <w:p>
      <w:pPr>
        <w:tabs>
          <w:tab w:val="right" w:leader="dot" w:pos="8640"/>
        </w:tabs>
        <w:spacing w:after="0" w:line="360" w:lineRule="auto"/>
        <w:ind w:left="360" w:right="0"/>
      </w:pPr>
      <w:r>
        <w:t xml:space="preserve">1.7 A pergunta central</w:t>
      </w:r>
      <w:r>
        <w:tab/>
        <w:t xml:space="preserve">23</w:t>
      </w:r>
    </w:p>
    <w:p>
      <w:pPr>
        <w:tabs>
          <w:tab w:val="right" w:leader="dot" w:pos="8640"/>
        </w:tabs>
        <w:spacing w:after="0" w:line="360" w:lineRule="auto"/>
        <w:ind w:left="0" w:right="0"/>
      </w:pPr>
      <w:r>
        <w:t xml:space="preserve">2. OBJETIVOS</w:t>
      </w:r>
      <w:r>
        <w:tab/>
        <w:t xml:space="preserve">24</w:t>
      </w:r>
    </w:p>
    <w:p>
      <w:pPr>
        <w:tabs>
          <w:tab w:val="right" w:leader="dot" w:pos="8640"/>
        </w:tabs>
        <w:spacing w:after="0" w:line="360" w:lineRule="auto"/>
        <w:ind w:left="360" w:right="0"/>
      </w:pPr>
      <w:r>
        <w:t xml:space="preserve">2.1 Objetivo geral</w:t>
      </w:r>
      <w:r>
        <w:tab/>
        <w:t xml:space="preserve">24</w:t>
      </w:r>
    </w:p>
    <w:p>
      <w:pPr>
        <w:tabs>
          <w:tab w:val="right" w:leader="dot" w:pos="8640"/>
        </w:tabs>
        <w:spacing w:after="0" w:line="360" w:lineRule="auto"/>
        <w:ind w:left="360" w:right="0"/>
      </w:pPr>
      <w:r>
        <w:t xml:space="preserve">2.2 Objetivos específicos</w:t>
      </w:r>
      <w:r>
        <w:tab/>
        <w:t xml:space="preserve">24</w:t>
      </w:r>
    </w:p>
    <w:p>
      <w:pPr>
        <w:tabs>
          <w:tab w:val="right" w:leader="dot" w:pos="8640"/>
        </w:tabs>
        <w:spacing w:after="0" w:line="360" w:lineRule="auto"/>
        <w:ind w:left="0" w:right="0"/>
      </w:pPr>
      <w:r>
        <w:t xml:space="preserve">3. MÉTODO</w:t>
      </w:r>
      <w:r>
        <w:tab/>
        <w:t xml:space="preserve">25</w:t>
      </w:r>
    </w:p>
    <w:p>
      <w:pPr>
        <w:tabs>
          <w:tab w:val="right" w:leader="dot" w:pos="8640"/>
        </w:tabs>
        <w:spacing w:after="0" w:line="360" w:lineRule="auto"/>
        <w:ind w:left="360" w:right="0"/>
      </w:pPr>
      <w:r>
        <w:t xml:space="preserve">3.1 Delineamento do estudo e aspectos éticos</w:t>
      </w:r>
      <w:r>
        <w:tab/>
        <w:t xml:space="preserve">25</w:t>
      </w:r>
    </w:p>
    <w:p>
      <w:pPr>
        <w:tabs>
          <w:tab w:val="right" w:leader="dot" w:pos="8640"/>
        </w:tabs>
        <w:spacing w:after="0" w:line="360" w:lineRule="auto"/>
        <w:ind w:left="720" w:right="0"/>
      </w:pPr>
      <w:r>
        <w:t xml:space="preserve">3.1.1 Tipo de estudo</w:t>
      </w:r>
      <w:r>
        <w:tab/>
        <w:t xml:space="preserve">25</w:t>
      </w:r>
    </w:p>
    <w:p>
      <w:pPr>
        <w:tabs>
          <w:tab w:val="right" w:leader="dot" w:pos="8640"/>
        </w:tabs>
        <w:spacing w:after="0" w:line="360" w:lineRule="auto"/>
        <w:ind w:left="720" w:right="0"/>
      </w:pPr>
      <w:r>
        <w:t xml:space="preserve">3.1.2 Aspectos éticos</w:t>
      </w:r>
      <w:r>
        <w:tab/>
        <w:t xml:space="preserve">26</w:t>
      </w:r>
    </w:p>
    <w:p>
      <w:pPr>
        <w:tabs>
          <w:tab w:val="right" w:leader="dot" w:pos="8640"/>
        </w:tabs>
        <w:spacing w:after="0" w:line="360" w:lineRule="auto"/>
        <w:ind w:left="720" w:right="0"/>
      </w:pPr>
      <w:r>
        <w:t xml:space="preserve">3.1.3 Princípios de validação externa</w:t>
      </w:r>
      <w:r>
        <w:tab/>
        <w:t xml:space="preserve">27</w:t>
      </w:r>
    </w:p>
    <w:p>
      <w:pPr>
        <w:tabs>
          <w:tab w:val="right" w:leader="dot" w:pos="8640"/>
        </w:tabs>
        <w:spacing w:after="0" w:line="360" w:lineRule="auto"/>
        <w:ind w:left="720" w:right="0"/>
      </w:pPr>
      <w:r>
        <w:t xml:space="preserve">3.1.4 Disponibilidade de dados e código</w:t>
      </w:r>
      <w:r>
        <w:tab/>
        <w:t xml:space="preserve">27</w:t>
      </w:r>
    </w:p>
    <w:p>
      <w:pPr>
        <w:tabs>
          <w:tab w:val="right" w:leader="dot" w:pos="8640"/>
        </w:tabs>
        <w:spacing w:after="0" w:line="360" w:lineRule="auto"/>
        <w:ind w:left="720" w:right="0"/>
      </w:pPr>
      <w:r>
        <w:t xml:space="preserve">3.1.5 Uso de modelos de linguagem de grande escala</w:t>
      </w:r>
      <w:r>
        <w:tab/>
        <w:t xml:space="preserve">27</w:t>
      </w:r>
    </w:p>
    <w:p>
      <w:pPr>
        <w:tabs>
          <w:tab w:val="right" w:leader="dot" w:pos="8640"/>
        </w:tabs>
        <w:spacing w:after="0" w:line="360" w:lineRule="auto"/>
        <w:ind w:left="360" w:right="0"/>
      </w:pPr>
      <w:r>
        <w:t xml:space="preserve">3.2 Coortes do estudo</w:t>
      </w:r>
      <w:r>
        <w:tab/>
        <w:t xml:space="preserve">28</w:t>
      </w:r>
    </w:p>
    <w:p>
      <w:pPr>
        <w:tabs>
          <w:tab w:val="right" w:leader="dot" w:pos="8640"/>
        </w:tabs>
        <w:spacing w:after="0" w:line="360" w:lineRule="auto"/>
        <w:ind w:left="360" w:right="0"/>
      </w:pPr>
      <w:r>
        <w:t xml:space="preserve">3.3 Congelamento analítico (analytical freeze)</w:t>
      </w:r>
      <w:r>
        <w:tab/>
        <w:t xml:space="preserve">30</w:t>
      </w:r>
    </w:p>
    <w:p>
      <w:pPr>
        <w:tabs>
          <w:tab w:val="right" w:leader="dot" w:pos="8640"/>
        </w:tabs>
        <w:spacing w:after="0" w:line="360" w:lineRule="auto"/>
        <w:ind w:left="720" w:right="0"/>
      </w:pPr>
      <w:r>
        <w:t xml:space="preserve">3.3.1 Margem de não inferioridade (Delta-C-index = 0,010)</w:t>
      </w:r>
      <w:r>
        <w:tab/>
        <w:t xml:space="preserve">31</w:t>
      </w:r>
    </w:p>
    <w:p>
      <w:pPr>
        <w:tabs>
          <w:tab w:val="right" w:leader="dot" w:pos="8640"/>
        </w:tabs>
        <w:spacing w:after="0" w:line="360" w:lineRule="auto"/>
        <w:ind w:left="720" w:right="0"/>
      </w:pPr>
      <w:r>
        <w:t xml:space="preserve">3.3.2 Atribuição determinística de folds (SHA-256)</w:t>
      </w:r>
      <w:r>
        <w:tab/>
        <w:t xml:space="preserve">31</w:t>
      </w:r>
    </w:p>
    <w:p>
      <w:pPr>
        <w:tabs>
          <w:tab w:val="right" w:leader="dot" w:pos="8640"/>
        </w:tabs>
        <w:spacing w:after="0" w:line="360" w:lineRule="auto"/>
        <w:ind w:left="720" w:right="0"/>
      </w:pPr>
      <w:r>
        <w:t xml:space="preserve">3.3.3 Estratificação por evento</w:t>
      </w:r>
      <w:r>
        <w:tab/>
        <w:t xml:space="preserve">32</w:t>
      </w:r>
    </w:p>
    <w:p>
      <w:pPr>
        <w:tabs>
          <w:tab w:val="right" w:leader="dot" w:pos="8640"/>
        </w:tabs>
        <w:spacing w:after="0" w:line="360" w:lineRule="auto"/>
        <w:ind w:left="360" w:right="0"/>
      </w:pPr>
      <w:r>
        <w:t xml:space="preserve">3.4 Pré-processamento de expressão gênica</w:t>
      </w:r>
      <w:r>
        <w:tab/>
        <w:t xml:space="preserve">32</w:t>
      </w:r>
    </w:p>
    <w:p>
      <w:pPr>
        <w:tabs>
          <w:tab w:val="right" w:leader="dot" w:pos="8640"/>
        </w:tabs>
        <w:spacing w:after="0" w:line="360" w:lineRule="auto"/>
        <w:ind w:left="720" w:right="0"/>
      </w:pPr>
      <w:r>
        <w:t xml:space="preserve">3.4.1 Coortes RNA-seq (SCAN-B, TCGA-BRCA)</w:t>
      </w:r>
      <w:r>
        <w:tab/>
        <w:t xml:space="preserve">32</w:t>
      </w:r>
    </w:p>
    <w:p>
      <w:pPr>
        <w:tabs>
          <w:tab w:val="right" w:leader="dot" w:pos="8640"/>
        </w:tabs>
        <w:spacing w:after="0" w:line="360" w:lineRule="auto"/>
        <w:ind w:left="720" w:right="0"/>
      </w:pPr>
      <w:r>
        <w:t xml:space="preserve">3.4.2 Coortes microarray (METABRIC, GSE20685, GSE1456, GSE25066, GSE20194, GSE32646, I-SPY1)</w:t>
      </w:r>
      <w:r>
        <w:tab/>
        <w:t xml:space="preserve">33</w:t>
      </w:r>
    </w:p>
    <w:p>
      <w:pPr>
        <w:tabs>
          <w:tab w:val="right" w:leader="dot" w:pos="8640"/>
        </w:tabs>
        <w:spacing w:after="0" w:line="360" w:lineRule="auto"/>
        <w:ind w:left="360" w:right="0"/>
      </w:pPr>
      <w:r>
        <w:t xml:space="preserve">3.5 Derivação do CorePAM</w:t>
      </w:r>
      <w:r>
        <w:tab/>
        <w:t xml:space="preserve">34</w:t>
      </w:r>
    </w:p>
    <w:p>
      <w:pPr>
        <w:tabs>
          <w:tab w:val="right" w:leader="dot" w:pos="8640"/>
        </w:tabs>
        <w:spacing w:after="0" w:line="360" w:lineRule="auto"/>
        <w:ind w:left="720" w:right="0"/>
      </w:pPr>
      <w:r>
        <w:t xml:space="preserve">3.5.1 Regressão de Cox elastic-net: justificativa e parâmetros</w:t>
      </w:r>
      <w:r>
        <w:tab/>
        <w:t xml:space="preserve">34</w:t>
      </w:r>
    </w:p>
    <w:p>
      <w:pPr>
        <w:tabs>
          <w:tab w:val="right" w:leader="dot" w:pos="8640"/>
        </w:tabs>
        <w:spacing w:after="0" w:line="360" w:lineRule="auto"/>
        <w:ind w:left="720" w:right="0"/>
      </w:pPr>
      <w:r>
        <w:t xml:space="preserve">3.5.2 Validação cruzada out-of-fold</w:t>
      </w:r>
      <w:r>
        <w:tab/>
        <w:t xml:space="preserve">35</w:t>
      </w:r>
    </w:p>
    <w:p>
      <w:pPr>
        <w:tabs>
          <w:tab w:val="right" w:leader="dot" w:pos="8640"/>
        </w:tabs>
        <w:spacing w:after="0" w:line="360" w:lineRule="auto"/>
        <w:ind w:left="720" w:right="0"/>
      </w:pPr>
      <w:r>
        <w:t xml:space="preserve">3.5.3 Critério de seleção: não inferioridade e fronteira de Pareto</w:t>
      </w:r>
      <w:r>
        <w:tab/>
        <w:t xml:space="preserve">35</w:t>
      </w:r>
    </w:p>
    <w:p>
      <w:pPr>
        <w:tabs>
          <w:tab w:val="right" w:leader="dot" w:pos="8640"/>
        </w:tabs>
        <w:spacing w:after="0" w:line="360" w:lineRule="auto"/>
        <w:ind w:left="720" w:right="0"/>
      </w:pPr>
      <w:r>
        <w:t xml:space="preserve">3.5.4 Análises de estabilidade da seleção</w:t>
      </w:r>
      <w:r>
        <w:tab/>
        <w:t xml:space="preserve">36</w:t>
      </w:r>
    </w:p>
    <w:p>
      <w:pPr>
        <w:tabs>
          <w:tab w:val="right" w:leader="dot" w:pos="8640"/>
        </w:tabs>
        <w:spacing w:after="0" w:line="360" w:lineRule="auto"/>
        <w:ind w:left="360" w:right="0"/>
      </w:pPr>
      <w:r>
        <w:t xml:space="preserve">3.6 Cálculo do escore</w:t>
      </w:r>
      <w:r>
        <w:tab/>
        <w:t xml:space="preserve">36</w:t>
      </w:r>
    </w:p>
    <w:p>
      <w:pPr>
        <w:tabs>
          <w:tab w:val="right" w:leader="dot" w:pos="8640"/>
        </w:tabs>
        <w:spacing w:after="0" w:line="360" w:lineRule="auto"/>
        <w:ind w:left="720" w:right="0"/>
      </w:pPr>
      <w:r>
        <w:t xml:space="preserve">3.6.1 Pontuação congelada (single-sample scoring)</w:t>
      </w:r>
      <w:r>
        <w:tab/>
        <w:t xml:space="preserve">37</w:t>
      </w:r>
    </w:p>
    <w:p>
      <w:pPr>
        <w:tabs>
          <w:tab w:val="right" w:leader="dot" w:pos="8640"/>
        </w:tabs>
        <w:spacing w:after="0" w:line="360" w:lineRule="auto"/>
        <w:ind w:left="360" w:right="0"/>
      </w:pPr>
      <w:r>
        <w:t xml:space="preserve">3.7 Análise de sobrevida</w:t>
      </w:r>
      <w:r>
        <w:tab/>
        <w:t xml:space="preserve">37</w:t>
      </w:r>
    </w:p>
    <w:p>
      <w:pPr>
        <w:tabs>
          <w:tab w:val="right" w:leader="dot" w:pos="8640"/>
        </w:tabs>
        <w:spacing w:after="0" w:line="360" w:lineRule="auto"/>
        <w:ind w:left="720" w:right="0"/>
      </w:pPr>
      <w:r>
        <w:t xml:space="preserve">3.7.1 Modelos de Cox</w:t>
      </w:r>
      <w:r>
        <w:tab/>
        <w:t xml:space="preserve">37</w:t>
      </w:r>
    </w:p>
    <w:p>
      <w:pPr>
        <w:tabs>
          <w:tab w:val="right" w:leader="dot" w:pos="8640"/>
        </w:tabs>
        <w:spacing w:after="0" w:line="360" w:lineRule="auto"/>
        <w:ind w:left="720" w:right="0"/>
      </w:pPr>
      <w:r>
        <w:t xml:space="preserve">3.7.2 Métricas de discriminação</w:t>
      </w:r>
      <w:r>
        <w:tab/>
        <w:t xml:space="preserve">37</w:t>
      </w:r>
    </w:p>
    <w:p>
      <w:pPr>
        <w:tabs>
          <w:tab w:val="right" w:leader="dot" w:pos="8640"/>
        </w:tabs>
        <w:spacing w:after="0" w:line="360" w:lineRule="auto"/>
        <w:ind w:left="720" w:right="0"/>
      </w:pPr>
      <w:r>
        <w:t xml:space="preserve">3.7.3 Curvas de Kaplan-Meier</w:t>
      </w:r>
      <w:r>
        <w:tab/>
        <w:t xml:space="preserve">38</w:t>
      </w:r>
    </w:p>
    <w:p>
      <w:pPr>
        <w:tabs>
          <w:tab w:val="right" w:leader="dot" w:pos="8640"/>
        </w:tabs>
        <w:spacing w:after="0" w:line="360" w:lineRule="auto"/>
        <w:ind w:left="720" w:right="0"/>
      </w:pPr>
      <w:r>
        <w:t xml:space="preserve">3.7.4 Valor incremental: Delta-C-index</w:t>
      </w:r>
      <w:r>
        <w:tab/>
        <w:t xml:space="preserve">38</w:t>
      </w:r>
    </w:p>
    <w:p>
      <w:pPr>
        <w:tabs>
          <w:tab w:val="right" w:leader="dot" w:pos="8640"/>
        </w:tabs>
        <w:spacing w:after="0" w:line="360" w:lineRule="auto"/>
        <w:ind w:left="720" w:right="0"/>
      </w:pPr>
      <w:r>
        <w:t xml:space="preserve">3.7.5 Calibração</w:t>
      </w:r>
      <w:r>
        <w:tab/>
        <w:t xml:space="preserve">38</w:t>
      </w:r>
    </w:p>
    <w:p>
      <w:pPr>
        <w:tabs>
          <w:tab w:val="right" w:leader="dot" w:pos="8640"/>
        </w:tabs>
        <w:spacing w:after="0" w:line="360" w:lineRule="auto"/>
        <w:ind w:left="720" w:right="0"/>
      </w:pPr>
      <w:r>
        <w:t xml:space="preserve">3.7.6 Análise de curva de decisão (DCA)</w:t>
      </w:r>
      <w:r>
        <w:tab/>
        <w:t xml:space="preserve">39</w:t>
      </w:r>
    </w:p>
    <w:p>
      <w:pPr>
        <w:tabs>
          <w:tab w:val="right" w:leader="dot" w:pos="8640"/>
        </w:tabs>
        <w:spacing w:after="0" w:line="360" w:lineRule="auto"/>
        <w:ind w:left="720" w:right="0"/>
      </w:pPr>
      <w:r>
        <w:t xml:space="preserve">3.7.7 Modelos expandidos com estadiamento</w:t>
      </w:r>
      <w:r>
        <w:tab/>
        <w:t xml:space="preserve">39</w:t>
      </w:r>
    </w:p>
    <w:p>
      <w:pPr>
        <w:tabs>
          <w:tab w:val="right" w:leader="dot" w:pos="8640"/>
        </w:tabs>
        <w:spacing w:after="0" w:line="360" w:lineRule="auto"/>
        <w:ind w:left="360" w:right="0"/>
      </w:pPr>
      <w:r>
        <w:t xml:space="preserve">3.8 Meta-análise</w:t>
      </w:r>
      <w:r>
        <w:tab/>
        <w:t xml:space="preserve">39</w:t>
      </w:r>
    </w:p>
    <w:p>
      <w:pPr>
        <w:tabs>
          <w:tab w:val="right" w:leader="dot" w:pos="8640"/>
        </w:tabs>
        <w:spacing w:after="0" w:line="360" w:lineRule="auto"/>
        <w:ind w:left="360" w:right="0"/>
      </w:pPr>
      <w:r>
        <w:t xml:space="preserve">3.9 Comparações head-to-head</w:t>
      </w:r>
      <w:r>
        <w:tab/>
        <w:t xml:space="preserve">40</w:t>
      </w:r>
    </w:p>
    <w:p>
      <w:pPr>
        <w:tabs>
          <w:tab w:val="right" w:leader="dot" w:pos="8640"/>
        </w:tabs>
        <w:spacing w:after="0" w:line="360" w:lineRule="auto"/>
        <w:ind w:left="0" w:right="0"/>
      </w:pPr>
      <w:r>
        <w:t xml:space="preserve">4. RESULTADOS</w:t>
      </w:r>
      <w:r>
        <w:tab/>
        <w:t xml:space="preserve">41</w:t>
      </w:r>
    </w:p>
    <w:p>
      <w:pPr>
        <w:tabs>
          <w:tab w:val="right" w:leader="dot" w:pos="8640"/>
        </w:tabs>
        <w:spacing w:after="0" w:line="360" w:lineRule="auto"/>
        <w:ind w:left="360" w:right="0"/>
      </w:pPr>
      <w:r>
        <w:t xml:space="preserve">4.1 Derivação do CorePAM: os 24 genes</w:t>
      </w:r>
      <w:r>
        <w:tab/>
        <w:t xml:space="preserve">41</w:t>
      </w:r>
    </w:p>
    <w:p>
      <w:pPr>
        <w:tabs>
          <w:tab w:val="right" w:leader="dot" w:pos="8640"/>
        </w:tabs>
        <w:spacing w:after="0" w:line="360" w:lineRule="auto"/>
        <w:ind w:left="360" w:right="0"/>
      </w:pPr>
      <w:r>
        <w:t xml:space="preserve">4.2 Validação prognóstica externa</w:t>
      </w:r>
      <w:r>
        <w:tab/>
        <w:t xml:space="preserve">48</w:t>
      </w:r>
    </w:p>
    <w:p>
      <w:pPr>
        <w:tabs>
          <w:tab w:val="right" w:leader="dot" w:pos="8640"/>
        </w:tabs>
        <w:spacing w:after="0" w:line="360" w:lineRule="auto"/>
        <w:ind w:left="360" w:right="0"/>
      </w:pPr>
      <w:r>
        <w:t xml:space="preserve">4.3 Meta-análise de sobrevida</w:t>
      </w:r>
      <w:r>
        <w:tab/>
        <w:t xml:space="preserve">55</w:t>
      </w:r>
    </w:p>
    <w:p>
      <w:pPr>
        <w:tabs>
          <w:tab w:val="right" w:leader="dot" w:pos="8640"/>
        </w:tabs>
        <w:spacing w:after="0" w:line="360" w:lineRule="auto"/>
        <w:ind w:left="360" w:right="0"/>
      </w:pPr>
      <w:r>
        <w:t xml:space="preserve">4.4 Valor incremental sobre preditores clínicos</w:t>
      </w:r>
      <w:r>
        <w:tab/>
        <w:t xml:space="preserve">56</w:t>
      </w:r>
    </w:p>
    <w:p>
      <w:pPr>
        <w:tabs>
          <w:tab w:val="right" w:leader="dot" w:pos="8640"/>
        </w:tabs>
        <w:spacing w:after="0" w:line="360" w:lineRule="auto"/>
        <w:ind w:left="360" w:right="0"/>
      </w:pPr>
      <w:r>
        <w:t xml:space="preserve">4.5 Independência do estadiamento clínico-patológico</w:t>
      </w:r>
      <w:r>
        <w:tab/>
        <w:t xml:space="preserve">60</w:t>
      </w:r>
    </w:p>
    <w:p>
      <w:pPr>
        <w:tabs>
          <w:tab w:val="right" w:leader="dot" w:pos="8640"/>
        </w:tabs>
        <w:spacing w:after="0" w:line="360" w:lineRule="auto"/>
        <w:ind w:left="360" w:right="0"/>
      </w:pPr>
      <w:r>
        <w:t xml:space="preserve">4.6 Análises de sensibilidade</w:t>
      </w:r>
      <w:r>
        <w:tab/>
        <w:t xml:space="preserve">60</w:t>
      </w:r>
    </w:p>
    <w:p>
      <w:pPr>
        <w:tabs>
          <w:tab w:val="right" w:leader="dot" w:pos="8640"/>
        </w:tabs>
        <w:spacing w:after="0" w:line="360" w:lineRule="auto"/>
        <w:ind w:left="360" w:right="0"/>
      </w:pPr>
      <w:r>
        <w:t xml:space="preserve">4.7 Análise de subgrupo por status de RE</w:t>
      </w:r>
      <w:r>
        <w:tab/>
        <w:t xml:space="preserve">65</w:t>
      </w:r>
    </w:p>
    <w:p>
      <w:pPr>
        <w:tabs>
          <w:tab w:val="right" w:leader="dot" w:pos="8640"/>
        </w:tabs>
        <w:spacing w:after="0" w:line="360" w:lineRule="auto"/>
        <w:ind w:left="720" w:right="0"/>
      </w:pPr>
      <w:r>
        <w:t xml:space="preserve">4.7.1 SCAN-B (N = 2 870; OS)</w:t>
      </w:r>
      <w:r>
        <w:tab/>
        <w:t xml:space="preserve">65</w:t>
      </w:r>
    </w:p>
    <w:p>
      <w:pPr>
        <w:tabs>
          <w:tab w:val="right" w:leader="dot" w:pos="8640"/>
        </w:tabs>
        <w:spacing w:after="0" w:line="360" w:lineRule="auto"/>
        <w:ind w:left="720" w:right="0"/>
      </w:pPr>
      <w:r>
        <w:t xml:space="preserve">4.7.2 METABRIC (N = 1 936; DSS)</w:t>
      </w:r>
      <w:r>
        <w:tab/>
        <w:t xml:space="preserve">65</w:t>
      </w:r>
    </w:p>
    <w:p>
      <w:pPr>
        <w:tabs>
          <w:tab w:val="right" w:leader="dot" w:pos="8640"/>
        </w:tabs>
        <w:spacing w:after="0" w:line="360" w:lineRule="auto"/>
        <w:ind w:left="360" w:right="0"/>
      </w:pPr>
      <w:r>
        <w:t xml:space="preserve">4.8 Resposta patológica completa (pCR)</w:t>
      </w:r>
      <w:r>
        <w:tab/>
        <w:t xml:space="preserve">67</w:t>
      </w:r>
    </w:p>
    <w:p>
      <w:pPr>
        <w:tabs>
          <w:tab w:val="right" w:leader="dot" w:pos="8640"/>
        </w:tabs>
        <w:spacing w:after="0" w:line="360" w:lineRule="auto"/>
        <w:ind w:left="360" w:right="0"/>
      </w:pPr>
      <w:r>
        <w:t xml:space="preserve">4.9 Comparação head-to-head com PAM50-full</w:t>
      </w:r>
      <w:r>
        <w:tab/>
        <w:t xml:space="preserve">72</w:t>
      </w:r>
    </w:p>
    <w:p>
      <w:pPr>
        <w:tabs>
          <w:tab w:val="right" w:leader="dot" w:pos="8640"/>
        </w:tabs>
        <w:spacing w:after="0" w:line="360" w:lineRule="auto"/>
        <w:ind w:left="360" w:right="0"/>
      </w:pPr>
      <w:r>
        <w:t xml:space="preserve">4.10 Comparação com assinaturas estabelecidas</w:t>
      </w:r>
      <w:r>
        <w:tab/>
        <w:t xml:space="preserve">74</w:t>
      </w:r>
    </w:p>
    <w:p>
      <w:pPr>
        <w:tabs>
          <w:tab w:val="right" w:leader="dot" w:pos="8640"/>
        </w:tabs>
        <w:spacing w:after="0" w:line="360" w:lineRule="auto"/>
        <w:ind w:left="0" w:right="0"/>
      </w:pPr>
      <w:r>
        <w:t xml:space="preserve">5. DISCUSSÃO</w:t>
      </w:r>
      <w:r>
        <w:tab/>
        <w:t xml:space="preserve">76</w:t>
      </w:r>
    </w:p>
    <w:p>
      <w:pPr>
        <w:tabs>
          <w:tab w:val="right" w:leader="dot" w:pos="8640"/>
        </w:tabs>
        <w:spacing w:after="0" w:line="360" w:lineRule="auto"/>
        <w:ind w:left="360" w:right="0"/>
      </w:pPr>
      <w:r>
        <w:t xml:space="preserve">5.1 O CorePAM no contexto da medicina de precisão em oncologia</w:t>
      </w:r>
      <w:r>
        <w:tab/>
        <w:t xml:space="preserve">76</w:t>
      </w:r>
    </w:p>
    <w:p>
      <w:pPr>
        <w:tabs>
          <w:tab w:val="right" w:leader="dot" w:pos="8640"/>
        </w:tabs>
        <w:spacing w:after="0" w:line="360" w:lineRule="auto"/>
        <w:ind w:left="360" w:right="0"/>
      </w:pPr>
      <w:r>
        <w:t xml:space="preserve">5.2 Derivação reprodutível: inovação metodológica</w:t>
      </w:r>
      <w:r>
        <w:tab/>
        <w:t xml:space="preserve">77</w:t>
      </w:r>
    </w:p>
    <w:p>
      <w:pPr>
        <w:tabs>
          <w:tab w:val="right" w:leader="dot" w:pos="8640"/>
        </w:tabs>
        <w:spacing w:after="0" w:line="360" w:lineRule="auto"/>
        <w:ind w:left="360" w:right="0"/>
      </w:pPr>
      <w:r>
        <w:t xml:space="preserve">5.3 Coerência biológica: por que esses 24 genes?</w:t>
      </w:r>
      <w:r>
        <w:tab/>
        <w:t xml:space="preserve">78</w:t>
      </w:r>
    </w:p>
    <w:p>
      <w:pPr>
        <w:tabs>
          <w:tab w:val="right" w:leader="dot" w:pos="8640"/>
        </w:tabs>
        <w:spacing w:after="0" w:line="360" w:lineRule="auto"/>
        <w:ind w:left="360" w:right="0"/>
      </w:pPr>
      <w:r>
        <w:t xml:space="preserve">5.4 Transportabilidade cross-plataforma</w:t>
      </w:r>
      <w:r>
        <w:tab/>
        <w:t xml:space="preserve">79</w:t>
      </w:r>
    </w:p>
    <w:p>
      <w:pPr>
        <w:tabs>
          <w:tab w:val="right" w:leader="dot" w:pos="8640"/>
        </w:tabs>
        <w:spacing w:after="0" w:line="360" w:lineRule="auto"/>
        <w:ind w:left="360" w:right="0"/>
      </w:pPr>
      <w:r>
        <w:t xml:space="preserve">5.5 O paradoxo de menos genes, mais informação</w:t>
      </w:r>
      <w:r>
        <w:tab/>
        <w:t xml:space="preserve">80</w:t>
      </w:r>
    </w:p>
    <w:p>
      <w:pPr>
        <w:tabs>
          <w:tab w:val="right" w:leader="dot" w:pos="8640"/>
        </w:tabs>
        <w:spacing w:after="0" w:line="360" w:lineRule="auto"/>
        <w:ind w:left="360" w:right="0"/>
      </w:pPr>
      <w:r>
        <w:t xml:space="preserve">5.6 A questão do z-score: coorte vs amostra única</w:t>
      </w:r>
      <w:r>
        <w:tab/>
        <w:t xml:space="preserve">81</w:t>
      </w:r>
    </w:p>
    <w:p>
      <w:pPr>
        <w:tabs>
          <w:tab w:val="right" w:leader="dot" w:pos="8640"/>
        </w:tabs>
        <w:spacing w:after="0" w:line="360" w:lineRule="auto"/>
        <w:ind w:left="360" w:right="0"/>
      </w:pPr>
      <w:r>
        <w:t xml:space="preserve">5.7 O sinal em doença ER-positiva</w:t>
      </w:r>
      <w:r>
        <w:tab/>
        <w:t xml:space="preserve">81</w:t>
      </w:r>
    </w:p>
    <w:p>
      <w:pPr>
        <w:tabs>
          <w:tab w:val="right" w:leader="dot" w:pos="8640"/>
        </w:tabs>
        <w:spacing w:after="0" w:line="360" w:lineRule="auto"/>
        <w:ind w:left="360" w:right="0"/>
      </w:pPr>
      <w:r>
        <w:t xml:space="preserve">5.8 A ponte entre prognóstico e predição de pCR</w:t>
      </w:r>
      <w:r>
        <w:tab/>
        <w:t xml:space="preserve">82</w:t>
      </w:r>
    </w:p>
    <w:p>
      <w:pPr>
        <w:tabs>
          <w:tab w:val="right" w:leader="dot" w:pos="8640"/>
        </w:tabs>
        <w:spacing w:after="0" w:line="360" w:lineRule="auto"/>
        <w:ind w:left="360" w:right="0"/>
      </w:pPr>
      <w:r>
        <w:t xml:space="preserve">5.9 Calibração: o que o modelo acerta é o que erra</w:t>
      </w:r>
      <w:r>
        <w:tab/>
        <w:t xml:space="preserve">83</w:t>
      </w:r>
    </w:p>
    <w:p>
      <w:pPr>
        <w:tabs>
          <w:tab w:val="right" w:leader="dot" w:pos="8640"/>
        </w:tabs>
        <w:spacing w:after="0" w:line="360" w:lineRule="auto"/>
        <w:ind w:left="360" w:right="0"/>
      </w:pPr>
      <w:r>
        <w:t xml:space="preserve">5.10 Reflexões metodológicas para estudos prognósticos futuros</w:t>
      </w:r>
      <w:r>
        <w:tab/>
        <w:t xml:space="preserve">83</w:t>
      </w:r>
    </w:p>
    <w:p>
      <w:pPr>
        <w:tabs>
          <w:tab w:val="right" w:leader="dot" w:pos="8640"/>
        </w:tabs>
        <w:spacing w:after="0" w:line="360" w:lineRule="auto"/>
        <w:ind w:left="360" w:right="0"/>
      </w:pPr>
      <w:r>
        <w:t xml:space="preserve">5.11 O caminho até a clínica: o que falta?</w:t>
      </w:r>
      <w:r>
        <w:tab/>
        <w:t xml:space="preserve">84</w:t>
      </w:r>
    </w:p>
    <w:p>
      <w:pPr>
        <w:tabs>
          <w:tab w:val="right" w:leader="dot" w:pos="8640"/>
        </w:tabs>
        <w:spacing w:after="0" w:line="360" w:lineRule="auto"/>
        <w:ind w:left="360" w:right="0"/>
      </w:pPr>
      <w:r>
        <w:t xml:space="preserve">5.12 Relevância para o contexto brasileiro e o SUS</w:t>
      </w:r>
      <w:r>
        <w:tab/>
        <w:t xml:space="preserve">84</w:t>
      </w:r>
    </w:p>
    <w:p>
      <w:pPr>
        <w:tabs>
          <w:tab w:val="right" w:leader="dot" w:pos="8640"/>
        </w:tabs>
        <w:spacing w:after="0" w:line="360" w:lineRule="auto"/>
        <w:ind w:left="360" w:right="0"/>
      </w:pPr>
      <w:r>
        <w:t xml:space="preserve">5.13 Limitações</w:t>
      </w:r>
      <w:r>
        <w:tab/>
        <w:t xml:space="preserve">85</w:t>
      </w:r>
    </w:p>
    <w:p>
      <w:pPr>
        <w:tabs>
          <w:tab w:val="right" w:leader="dot" w:pos="8640"/>
        </w:tabs>
        <w:spacing w:after="0" w:line="360" w:lineRule="auto"/>
        <w:ind w:left="360" w:right="0"/>
      </w:pPr>
      <w:r>
        <w:t xml:space="preserve">5.14 Perspectivas e estudos futuros</w:t>
      </w:r>
      <w:r>
        <w:tab/>
        <w:t xml:space="preserve">85</w:t>
      </w:r>
    </w:p>
    <w:p>
      <w:pPr>
        <w:tabs>
          <w:tab w:val="right" w:leader="dot" w:pos="8640"/>
        </w:tabs>
        <w:spacing w:after="0" w:line="360" w:lineRule="auto"/>
        <w:ind w:left="0" w:right="0"/>
      </w:pPr>
      <w:r>
        <w:t xml:space="preserve">6. CONCLUSÃO</w:t>
      </w:r>
      <w:r>
        <w:tab/>
        <w:t xml:space="preserve">87</w:t>
      </w:r>
    </w:p>
    <w:p>
      <w:pPr>
        <w:tabs>
          <w:tab w:val="right" w:leader="dot" w:pos="8640"/>
        </w:tabs>
        <w:spacing w:after="0" w:line="360" w:lineRule="auto"/>
        <w:ind w:left="0" w:right="0"/>
      </w:pPr>
      <w:r>
        <w:t xml:space="preserve">REFERÊNCIAS BIBLIOGRÁFICAS</w:t>
      </w:r>
      <w:r>
        <w:tab/>
        <w:t xml:space="preserve">88</w:t>
      </w:r>
    </w:p>
    <w:p>
      <w:pPr>
        <w:tabs>
          <w:tab w:val="right" w:leader="dot" w:pos="8640"/>
        </w:tabs>
        <w:spacing w:after="0" w:line="360" w:lineRule="auto"/>
        <w:ind w:left="0" w:right="0"/>
      </w:pPr>
      <w:r>
        <w:t xml:space="preserve">APÊNDICE A — Artigo aceito no Breast Cancer Research</w:t>
      </w:r>
      <w:r>
        <w:tab/>
        <w:t xml:space="preserve">97</w:t>
      </w:r>
    </w:p>
    <w:p>
      <w:pPr>
        <w:tabs>
          <w:tab w:val="right" w:leader="dot" w:pos="8640"/>
        </w:tabs>
        <w:spacing w:after="0" w:line="360" w:lineRule="auto"/>
        <w:ind w:left="0" w:right="0"/>
      </w:pPr>
      <w:r>
        <w:t xml:space="preserve">APÊNDICE B — Pipeline computacional</w:t>
      </w:r>
      <w:r>
        <w:tab/>
        <w:t xml:space="preserve">98</w:t>
      </w:r>
    </w:p>
    <w:p>
      <w:pPr>
        <w:tabs>
          <w:tab w:val="right" w:leader="dot" w:pos="8640"/>
        </w:tabs>
        <w:spacing w:after="0" w:line="360" w:lineRule="auto"/>
        <w:ind w:left="360" w:right="0"/>
      </w:pPr>
      <w:r>
        <w:t xml:space="preserve">B.1 Pseudocódigo do procedimento de derivação</w:t>
      </w:r>
      <w:r>
        <w:tab/>
        <w:t xml:space="preserve">102</w:t>
      </w:r>
    </w:p>
    <!--TOC_END-->
    <w:bookmarkEnd w:id="28"/>
    <w:bookmarkStart w:id="44" w:name="introdução"/>
    <w:p>
      <w:pPr>
        <w:sectPr>
          <w:pgSz w:h="16838" w:w="11906"/>
          <w:pgMar w:bottom="1134" w:footer="720" w:gutter="0" w:header="720" w:left="1701" w:right="1134" w:top="1701"/>
          <w:cols w:space="708"/>
          <w:docGrid w:linePitch="360"/>
        </w:sectPr>
      </w:pPr>
    </w:p>
    <w:p>
      <w:pPr>
        <w:pStyle w:val="Heading1"/>
      </w:pPr>
      <w:r>
        <w:t xml:space="preserve">1. INTRODUÇÃO</w:t>
      </w:r>
    </w:p>
    <w:bookmarkStart w:id="29"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e,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29"/>
    <w:bookmarkStart w:id="30"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0"/>
    <w:bookmarkStart w:id="35"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p>
      <w:pPr>
        <w:pStyle w:val="Compact"/>
        <w:jc w:val="center"/>
      </w:pPr>
      <w:bookmarkStart w:id="34" w:name="fig-subtipos"/>
      <w:r>
        <w:drawing>
          <wp:inline>
            <wp:extent cx="5687999" cy="4517315"/>
            <wp:effectExtent b="0" l="0" r="0" t="0"/>
            <wp:docPr descr="" title="" id="32" name="Picture"/>
            <a:graphic>
              <a:graphicData uri="http://schemas.openxmlformats.org/drawingml/2006/picture">
                <pic:pic>
                  <pic:nvPicPr>
                    <pic:cNvPr descr="../figures/didaticas/pt/png/B2_Subtipos_Moleculares_PT.png" id="33" name="Picture"/>
                    <pic:cNvPicPr>
                      <a:picLocks noChangeArrowheads="1" noChangeAspect="1"/>
                    </pic:cNvPicPr>
                  </pic:nvPicPr>
                  <pic:blipFill>
                    <a:blip r:embed="rId31"/>
                    <a:stretch>
                      <a:fillRect/>
                    </a:stretch>
                  </pic:blipFill>
                  <pic:spPr bwMode="auto">
                    <a:xfrm>
                      <a:off x="0" y="0"/>
                      <a:ext cx="5687999" cy="4517315"/>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4"/>
    <w:bookmarkEnd w:id="35"/>
    <w:bookmarkStart w:id="40"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39" w:name="fig-timeline"/>
      <w:r>
        <w:drawing>
          <wp:inline>
            <wp:extent cx="5687999" cy="2940304"/>
            <wp:effectExtent b="0" l="0" r="0" t="0"/>
            <wp:docPr descr="" title="" id="37" name="Picture"/>
            <a:graphic>
              <a:graphicData uri="http://schemas.openxmlformats.org/drawingml/2006/picture">
                <pic:pic>
                  <pic:nvPicPr>
                    <pic:cNvPr descr="../figures/didaticas/pt/png/B3_Timeline_Assinaturas_PT.png" id="38" name="Picture"/>
                    <pic:cNvPicPr>
                      <a:picLocks noChangeArrowheads="1" noChangeAspect="1"/>
                    </pic:cNvPicPr>
                  </pic:nvPicPr>
                  <pic:blipFill>
                    <a:blip r:embed="rId36"/>
                    <a:stretch>
                      <a:fillRect/>
                    </a:stretch>
                  </pic:blipFill>
                  <pic:spPr bwMode="auto">
                    <a:xfrm>
                      <a:off x="0" y="0"/>
                      <a:ext cx="5687999" cy="2940304"/>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39"/>
    <w:bookmarkEnd w:id="40"/>
    <w:bookmarkStart w:id="41"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famílias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abundância e reprodutibilidade técnica robusta</w:t>
      </w:r>
      <w:r>
        <w:rPr>
          <w:vertAlign w:val="superscript"/>
        </w:rPr>
        <w:t xml:space="preserve">32,33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rPr>
          <w:vertAlign w:val="superscript"/>
        </w:rPr>
        <w:t xml:space="preserve">34,35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metodológica com</w:t>
      </w:r>
      <w:r>
        <w:t xml:space="preserve"> </w:t>
      </w:r>
      <w:r>
        <w:rPr>
          <w:i/>
          <w:iCs/>
        </w:rPr>
        <w:t xml:space="preserve">trade-offs</w:t>
      </w:r>
      <w:r>
        <w:t xml:space="preserve"> </w:t>
      </w:r>
      <w:r>
        <w:t xml:space="preserve">explicitamente discutidos adiante.</w:t>
      </w:r>
    </w:p>
    <w:bookmarkEnd w:id="41"/>
    <w:bookmarkStart w:id="42"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36,37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bookmarkEnd w:id="42"/>
    <w:bookmarkStart w:id="43"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bookmarkEnd w:id="43"/>
    <w:bookmarkEnd w:id="44"/>
    <w:bookmarkStart w:id="47" w:name="objetivos"/>
    <w:p>
      <w:pPr>
        <w:pageBreakBefore/>
        <w:pStyle w:val="Heading1"/>
      </w:pPr>
      <w:r>
        <w:t xml:space="preserve">2. OBJETIVOS</w:t>
      </w:r>
    </w:p>
    <w:bookmarkStart w:id="45"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5"/>
    <w:bookmarkStart w:id="46"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bookmarkEnd w:id="46"/>
    <w:bookmarkEnd w:id="47"/>
    <w:bookmarkStart w:id="95" w:name="método"/>
    <w:p>
      <w:pPr>
        <w:pageBreakBefore/>
        <w:pStyle w:val="Heading1"/>
      </w:pPr>
      <w:r>
        <w:t xml:space="preserve">3. MÉTODO</w:t>
      </w:r>
    </w:p>
    <w:bookmarkStart w:id="57" w:name="delineamento-do-estudo-e-aspectos-éticos"/>
    <w:p>
      <w:pPr>
        <w:pStyle w:val="Heading2"/>
      </w:pPr>
      <w:r>
        <w:t xml:space="preserve">3.1 Delineamento do estudo e aspectos éticos</w:t>
      </w:r>
    </w:p>
    <w:bookmarkStart w:id="52"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1" w:name="fig-study-design"/>
      <w:r>
        <w:drawing>
          <wp:inline>
            <wp:extent cx="5687999" cy="4159880"/>
            <wp:effectExtent b="0" l="0" r="0" t="0"/>
            <wp:docPr descr="" title="" id="49" name="Picture"/>
            <a:graphic>
              <a:graphicData uri="http://schemas.openxmlformats.org/drawingml/2006/picture">
                <pic:pic>
                  <pic:nvPicPr>
                    <pic:cNvPr descr="../figures/main/pt/png/Fig1_StudyDesign_PT.png" id="50" name="Picture"/>
                    <pic:cNvPicPr>
                      <a:picLocks noChangeArrowheads="1" noChangeAspect="1"/>
                    </pic:cNvPicPr>
                  </pic:nvPicPr>
                  <pic:blipFill>
                    <a:blip r:embed="rId48"/>
                    <a:stretch>
                      <a:fillRect/>
                    </a:stretch>
                  </pic:blipFill>
                  <pic:spPr bwMode="auto">
                    <a:xfrm>
                      <a:off x="0" y="0"/>
                      <a:ext cx="5687999" cy="4159880"/>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1"/>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bookmarkEnd w:id="52"/>
    <w:bookmarkStart w:id="53"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e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rPr>
          <w:vertAlign w:val="superscript"/>
        </w:rPr>
        <w:t xml:space="preserve">11,36,38–41,44,45</w:t>
      </w:r>
      <w:r>
        <w:t xml:space="preserve">.</w:t>
      </w:r>
    </w:p>
    <w:bookmarkEnd w:id="53"/>
    <w:bookmarkStart w:id="54"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34,35</w:t>
      </w:r>
      <w:r>
        <w:t xml:space="preserve">. Esta escolha é discutida em detalhe adiante.</w:t>
      </w:r>
    </w:p>
    <w:bookmarkEnd w:id="54"/>
    <w:bookmarkStart w:id="55"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B.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55"/>
    <w:bookmarkStart w:id="56"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56"/>
    <w:bookmarkEnd w:id="57"/>
    <w:bookmarkStart w:id="64" w:name="coortes-do-estudo"/>
    <w:p>
      <w:pPr>
        <w:pStyle w:val="Heading2"/>
      </w:pPr>
      <w:r>
        <w:t xml:space="preserve">3.2 Coortes do estudo</w:t>
      </w:r>
    </w:p>
    <w:p>
      <w:pPr>
        <w:pStyle w:val="FirstParagraph"/>
      </w:pPr>
      <w:r>
        <w:t xml:space="preserve">O estudo integrou nove coortes públicas,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36,37</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38</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39</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40</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41–44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resumem os dados essenciais. Na</w:t>
      </w:r>
      <w:r>
        <w:t xml:space="preserve"> </w:t>
      </w:r>
      <w:hyperlink w:anchor="tbl-cohorts-survival">
        <w:r>
          <w:rPr>
            <w:rStyle w:val="Hyperlink"/>
          </w:rPr>
          <w:t xml:space="preserve">Tabela 1</w:t>
        </w:r>
      </w:hyperlink>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p>
      <w:pPr>
        <w:jc w:val="left"/>
        <w:spacing w:before="200"/>
        <w:pStyle w:val="ImageCaption"/>
      </w:pPr>
      <w:bookmarkStart w:id="58" w:name="tbl-cohorts-survival"/>
      <w:r>
        <w:t xml:space="preserve">Tabela 1 — Características das coortes de sobrevida</w:t>
      </w:r>
    </w:p>
    <w:tbl>
      <w:tblPr>
        <w:tblStyle w:val="Table"/>
        <w:tblW w:type="dxa" w:w="9070"/>
        <w:tblLayout w:type="fixed"/>
        <w:tblLook w:firstRow="1" w:lastRow="0" w:firstColumn="0" w:lastColumn="0" w:noHBand="0" w:noVBand="0" w:val="0020"/>
      </w:tblPr>
      <w:tblGrid>
        <w:gridCol w:w="1600"/>
        <w:gridCol w:w="1486"/>
        <w:gridCol w:w="2746"/>
        <w:gridCol w:w="1486"/>
        <w:gridCol w:w="1752"/>
      </w:tblGrid>
      <w:tr>
        <w:trPr>
          <w:tblHeader w:val="on"/>
        </w:trPr>
        <w:tc>
          <w:tcPr>
            <w:tcW w:w="1600" w:type="dxa"/>
          </w:tcPr>
          <w:p>
            <w:pPr>
              <w:pStyle w:val="Compact"/>
              <w:jc w:val="left"/>
              <w:jc w:val="center"/>
            </w:pPr>
            <w:r>
              <w:t xml:space="preserve">Coorte</w:t>
            </w:r>
          </w:p>
        </w:tc>
        <w:tc>
          <w:tcPr>
            <w:tcW w:w="1486" w:type="dxa"/>
          </w:tcPr>
          <w:p>
            <w:pPr>
              <w:pStyle w:val="Compact"/>
              <w:jc w:val="left"/>
              <w:jc w:val="center"/>
            </w:pPr>
            <w:r>
              <w:t xml:space="preserve">Papel</w:t>
            </w:r>
          </w:p>
        </w:tc>
        <w:tc>
          <w:tcPr>
            <w:tcW w:w="2746" w:type="dxa"/>
          </w:tcPr>
          <w:p>
            <w:pPr>
              <w:pStyle w:val="Compact"/>
              <w:jc w:val="left"/>
              <w:jc w:val="center"/>
            </w:pPr>
            <w:r>
              <w:t xml:space="preserve">Tecnologia e desfecho</w:t>
            </w:r>
          </w:p>
        </w:tc>
        <w:tc>
          <w:tcPr>
            <w:tcW w:w="1486" w:type="dxa"/>
          </w:tcPr>
          <w:p>
            <w:pPr>
              <w:pStyle w:val="Compact"/>
              <w:jc w:val="left"/>
              <w:jc w:val="center"/>
            </w:pPr>
            <w:r>
              <w:t xml:space="preserve">N/eventos</w:t>
            </w:r>
          </w:p>
        </w:tc>
        <w:tc>
          <w:tcPr>
            <w:tcW w:w="1752" w:type="dxa"/>
          </w:tcPr>
          <w:p>
            <w:pPr>
              <w:pStyle w:val="Compact"/>
              <w:jc w:val="left"/>
              <w:jc w:val="center"/>
            </w:pPr>
            <w:r>
              <w:t xml:space="preserve">Seguimento</w:t>
            </w:r>
          </w:p>
        </w:tc>
      </w:tr>
      <w:tr>
        <w:tc>
          <w:tcPr>
            <w:tcW w:w="1600" w:type="dxa"/>
          </w:tcPr>
          <w:p>
            <w:pPr>
              <w:pStyle w:val="Compact"/>
              <w:jc w:val="left"/>
              <w:jc w:val="center"/>
            </w:pPr>
            <w:r>
              <w:t xml:space="preserve">SCAN-B</w:t>
            </w:r>
          </w:p>
        </w:tc>
        <w:tc>
          <w:tcPr>
            <w:tcW w:w="1486" w:type="dxa"/>
          </w:tcPr>
          <w:p>
            <w:pPr>
              <w:pStyle w:val="Compact"/>
              <w:jc w:val="left"/>
              <w:jc w:val="center"/>
            </w:pPr>
            <w:r>
              <w:t xml:space="preserve">Derivação</w:t>
            </w:r>
          </w:p>
        </w:tc>
        <w:tc>
          <w:tcPr>
            <w:tcW w:w="2746" w:type="dxa"/>
          </w:tcPr>
          <w:p>
            <w:pPr>
              <w:pStyle w:val="Compact"/>
              <w:jc w:val="left"/>
              <w:jc w:val="center"/>
            </w:pPr>
            <w:r>
              <w:rPr>
                <w:i/>
                <w:iCs/>
              </w:rPr>
              <w:t xml:space="preserve">RNA-seq</w:t>
            </w:r>
            <w:r>
              <w:t xml:space="preserve"> </w:t>
            </w:r>
            <w:r>
              <w:rPr>
                <w:i/>
                <w:iCs/>
              </w:rPr>
              <w:t xml:space="preserve">Illumina</w:t>
            </w:r>
            <w:r>
              <w:t xml:space="preserve">; OS</w:t>
            </w:r>
          </w:p>
        </w:tc>
        <w:tc>
          <w:tcPr>
            <w:tcW w:w="1486" w:type="dxa"/>
          </w:tcPr>
          <w:p>
            <w:pPr>
              <w:pStyle w:val="Compact"/>
              <w:jc w:val="left"/>
              <w:jc w:val="center"/>
            </w:pPr>
            <w:r>
              <w:t xml:space="preserve">3.069/322</w:t>
            </w:r>
          </w:p>
        </w:tc>
        <w:tc>
          <w:tcPr>
            <w:tcW w:w="1752" w:type="dxa"/>
          </w:tcPr>
          <w:p>
            <w:pPr>
              <w:pStyle w:val="Compact"/>
              <w:jc w:val="left"/>
              <w:jc w:val="center"/>
            </w:pPr>
            <w:r>
              <w:t xml:space="preserve">54,9 meses</w:t>
            </w:r>
          </w:p>
        </w:tc>
      </w:tr>
      <w:tr>
        <w:tc>
          <w:tcPr>
            <w:tcW w:w="1600" w:type="dxa"/>
          </w:tcPr>
          <w:p>
            <w:pPr>
              <w:pStyle w:val="Compact"/>
              <w:jc w:val="left"/>
              <w:jc w:val="center"/>
            </w:pPr>
            <w:r>
              <w:t xml:space="preserve">TCGA-BRCA</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RNA-seq</w:t>
            </w:r>
            <w:r>
              <w:t xml:space="preserve"> </w:t>
            </w:r>
            <w:r>
              <w:t xml:space="preserve">GDC; OS</w:t>
            </w:r>
          </w:p>
        </w:tc>
        <w:tc>
          <w:tcPr>
            <w:tcW w:w="1486" w:type="dxa"/>
          </w:tcPr>
          <w:p>
            <w:pPr>
              <w:pStyle w:val="Compact"/>
              <w:jc w:val="left"/>
              <w:jc w:val="center"/>
            </w:pPr>
            <w:r>
              <w:t xml:space="preserve">1.072/150</w:t>
            </w:r>
          </w:p>
        </w:tc>
        <w:tc>
          <w:tcPr>
            <w:tcW w:w="1752" w:type="dxa"/>
          </w:tcPr>
          <w:p>
            <w:pPr>
              <w:pStyle w:val="Compact"/>
              <w:jc w:val="left"/>
              <w:jc w:val="center"/>
            </w:pPr>
            <w:r>
              <w:t xml:space="preserve">32,0 meses</w:t>
            </w:r>
          </w:p>
        </w:tc>
      </w:tr>
      <w:tr>
        <w:tc>
          <w:tcPr>
            <w:tcW w:w="1600" w:type="dxa"/>
          </w:tcPr>
          <w:p>
            <w:pPr>
              <w:pStyle w:val="Compact"/>
              <w:jc w:val="left"/>
              <w:jc w:val="center"/>
            </w:pPr>
            <w:r>
              <w:t xml:space="preserve">METABRIC</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Illumina</w:t>
            </w:r>
            <w:r>
              <w:t xml:space="preserve">; DSS</w:t>
            </w:r>
          </w:p>
        </w:tc>
        <w:tc>
          <w:tcPr>
            <w:tcW w:w="1486" w:type="dxa"/>
          </w:tcPr>
          <w:p>
            <w:pPr>
              <w:pStyle w:val="Compact"/>
              <w:jc w:val="left"/>
              <w:jc w:val="center"/>
            </w:pPr>
            <w:r>
              <w:t xml:space="preserve">1.978/646</w:t>
            </w:r>
          </w:p>
        </w:tc>
        <w:tc>
          <w:tcPr>
            <w:tcW w:w="1752" w:type="dxa"/>
          </w:tcPr>
          <w:p>
            <w:pPr>
              <w:pStyle w:val="Compact"/>
              <w:jc w:val="left"/>
              <w:jc w:val="center"/>
            </w:pPr>
            <w:r>
              <w:t xml:space="preserve">159,0 meses</w:t>
            </w:r>
          </w:p>
        </w:tc>
      </w:tr>
      <w:tr>
        <w:tc>
          <w:tcPr>
            <w:tcW w:w="1600" w:type="dxa"/>
          </w:tcPr>
          <w:p>
            <w:pPr>
              <w:pStyle w:val="Compact"/>
              <w:jc w:val="left"/>
              <w:jc w:val="center"/>
            </w:pPr>
            <w:r>
              <w:t xml:space="preserve">GSE20685</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327/83</w:t>
            </w:r>
          </w:p>
        </w:tc>
        <w:tc>
          <w:tcPr>
            <w:tcW w:w="1752" w:type="dxa"/>
          </w:tcPr>
          <w:p>
            <w:pPr>
              <w:pStyle w:val="Compact"/>
              <w:jc w:val="left"/>
              <w:jc w:val="center"/>
            </w:pPr>
            <w:r>
              <w:t xml:space="preserve">112,8 meses</w:t>
            </w:r>
          </w:p>
        </w:tc>
      </w:tr>
      <w:tr>
        <w:tc>
          <w:tcPr>
            <w:tcW w:w="1600" w:type="dxa"/>
          </w:tcPr>
          <w:p>
            <w:pPr>
              <w:pStyle w:val="Compact"/>
              <w:jc w:val="left"/>
              <w:jc w:val="center"/>
            </w:pPr>
            <w:r>
              <w:t xml:space="preserve">GSE1456</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159/40</w:t>
            </w:r>
          </w:p>
        </w:tc>
        <w:tc>
          <w:tcPr>
            <w:tcW w:w="1752" w:type="dxa"/>
          </w:tcPr>
          <w:p>
            <w:pPr>
              <w:pStyle w:val="Compact"/>
              <w:jc w:val="left"/>
              <w:jc w:val="center"/>
            </w:pPr>
            <w:r>
              <w:t xml:space="preserve">91,0 meses</w:t>
            </w:r>
          </w:p>
        </w:tc>
      </w:tr>
    </w:tbl>
    <w:bookmarkEnd w:id="58"/>
    <w:p/>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p>
      <w:pPr>
        <w:jc w:val="left"/>
        <w:spacing w:before="200"/>
        <w:pStyle w:val="ImageCaption"/>
      </w:pPr>
      <w:bookmarkStart w:id="59" w:name="tbl-cohorts-pcr"/>
      <w:r>
        <w:t xml:space="preserve">Tabela 2 — Características das coortes neoadjuvantes (pCR)</w:t>
      </w:r>
    </w:p>
    <w:tbl>
      <w:tblPr>
        <w:tblStyle w:val="Table"/>
        <w:tblW w:type="dxa" w:w="9070"/>
        <w:tblLayout w:type="fixed"/>
        <w:tblLook w:firstRow="1" w:lastRow="0" w:firstColumn="0" w:lastColumn="0" w:noHBand="0" w:noVBand="0" w:val="0020"/>
      </w:tblPr>
      <w:tblGrid>
        <w:gridCol w:w="1665"/>
        <w:gridCol w:w="2293"/>
        <w:gridCol w:w="2798"/>
        <w:gridCol w:w="2314"/>
      </w:tblGrid>
      <w:tr>
        <w:trPr>
          <w:tblHeader w:val="on"/>
        </w:trPr>
        <w:tc>
          <w:tcPr>
            <w:tcW w:w="1665" w:type="dxa"/>
          </w:tcPr>
          <w:p>
            <w:pPr>
              <w:pStyle w:val="Compact"/>
              <w:jc w:val="left"/>
              <w:jc w:val="center"/>
            </w:pPr>
            <w:r>
              <w:t xml:space="preserve">Coorte</w:t>
            </w:r>
          </w:p>
        </w:tc>
        <w:tc>
          <w:tcPr>
            <w:tcW w:w="2293" w:type="dxa"/>
          </w:tcPr>
          <w:p>
            <w:pPr>
              <w:pStyle w:val="Compact"/>
              <w:jc w:val="left"/>
              <w:jc w:val="center"/>
            </w:pPr>
            <w:r>
              <w:t xml:space="preserve">Plataforma</w:t>
            </w:r>
          </w:p>
        </w:tc>
        <w:tc>
          <w:tcPr>
            <w:tcW w:w="2798" w:type="dxa"/>
          </w:tcPr>
          <w:p>
            <w:pPr>
              <w:pStyle w:val="Compact"/>
              <w:jc w:val="left"/>
              <w:jc w:val="center"/>
            </w:pPr>
            <w:r>
              <w:t xml:space="preserve">N/pCR</w:t>
            </w:r>
          </w:p>
        </w:tc>
        <w:tc>
          <w:tcPr>
            <w:tcW w:w="2314" w:type="dxa"/>
          </w:tcPr>
          <w:p>
            <w:pPr>
              <w:pStyle w:val="Compact"/>
              <w:jc w:val="left"/>
              <w:jc w:val="center"/>
            </w:pPr>
            <w:r>
              <w:t xml:space="preserve">Papel</w:t>
            </w:r>
          </w:p>
        </w:tc>
      </w:tr>
      <w:tr>
        <w:tc>
          <w:tcPr>
            <w:tcW w:w="1665" w:type="dxa"/>
          </w:tcPr>
          <w:p>
            <w:pPr>
              <w:pStyle w:val="Compact"/>
              <w:jc w:val="left"/>
              <w:jc w:val="center"/>
            </w:pPr>
            <w:r>
              <w:t xml:space="preserve">GSE25066</w:t>
            </w:r>
          </w:p>
        </w:tc>
        <w:tc>
          <w:tcPr>
            <w:tcW w:w="2293" w:type="dxa"/>
          </w:tcPr>
          <w:p>
            <w:pPr>
              <w:pStyle w:val="Compact"/>
              <w:jc w:val="left"/>
              <w:jc w:val="center"/>
            </w:pPr>
            <w:r>
              <w:t xml:space="preserve">HGU133A</w:t>
            </w:r>
          </w:p>
        </w:tc>
        <w:tc>
          <w:tcPr>
            <w:tcW w:w="2798" w:type="dxa"/>
          </w:tcPr>
          <w:p>
            <w:pPr>
              <w:pStyle w:val="Compact"/>
              <w:jc w:val="left"/>
              <w:jc w:val="center"/>
            </w:pPr>
            <w:r>
              <w:t xml:space="preserve">182/42 (23,1%)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GSE20194</w:t>
            </w:r>
          </w:p>
        </w:tc>
        <w:tc>
          <w:tcPr>
            <w:tcW w:w="2293" w:type="dxa"/>
          </w:tcPr>
          <w:p>
            <w:pPr>
              <w:pStyle w:val="Compact"/>
              <w:jc w:val="left"/>
              <w:jc w:val="center"/>
            </w:pPr>
            <w:r>
              <w:t xml:space="preserve">HGU133Plus2</w:t>
            </w:r>
          </w:p>
        </w:tc>
        <w:tc>
          <w:tcPr>
            <w:tcW w:w="2798" w:type="dxa"/>
          </w:tcPr>
          <w:p>
            <w:pPr>
              <w:pStyle w:val="Compact"/>
              <w:jc w:val="left"/>
              <w:jc w:val="center"/>
            </w:pPr>
            <w:r>
              <w:t xml:space="preserve">278/56 (20,1%)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GSE32646</w:t>
            </w:r>
          </w:p>
        </w:tc>
        <w:tc>
          <w:tcPr>
            <w:tcW w:w="2293" w:type="dxa"/>
          </w:tcPr>
          <w:p>
            <w:pPr>
              <w:pStyle w:val="Compact"/>
              <w:jc w:val="left"/>
              <w:jc w:val="center"/>
            </w:pPr>
            <w:r>
              <w:t xml:space="preserve">HGU133Plus2</w:t>
            </w:r>
          </w:p>
        </w:tc>
        <w:tc>
          <w:tcPr>
            <w:tcW w:w="2798" w:type="dxa"/>
          </w:tcPr>
          <w:p>
            <w:pPr>
              <w:pStyle w:val="Compact"/>
              <w:jc w:val="left"/>
              <w:jc w:val="center"/>
            </w:pPr>
            <w:r>
              <w:t xml:space="preserve">115/27 (23,5%)</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I-SPY1</w:t>
            </w:r>
          </w:p>
        </w:tc>
        <w:tc>
          <w:tcPr>
            <w:tcW w:w="2293" w:type="dxa"/>
          </w:tcPr>
          <w:p>
            <w:pPr>
              <w:pStyle w:val="Compact"/>
              <w:jc w:val="left"/>
              <w:jc w:val="center"/>
            </w:pPr>
            <w:r>
              <w:rPr>
                <w:i/>
                <w:iCs/>
              </w:rPr>
              <w:t xml:space="preserve">Agilent</w:t>
            </w:r>
            <w:r>
              <w:t xml:space="preserve"> </w:t>
            </w:r>
            <w:r>
              <w:t xml:space="preserve">44K</w:t>
            </w:r>
          </w:p>
        </w:tc>
        <w:tc>
          <w:tcPr>
            <w:tcW w:w="2798" w:type="dxa"/>
          </w:tcPr>
          <w:p>
            <w:pPr>
              <w:pStyle w:val="Compact"/>
              <w:jc w:val="left"/>
              <w:jc w:val="center"/>
            </w:pPr>
            <w:r>
              <w:t xml:space="preserve">122/32 (26,2%)</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I-SPY2</w:t>
            </w:r>
          </w:p>
        </w:tc>
        <w:tc>
          <w:tcPr>
            <w:tcW w:w="2293" w:type="dxa"/>
          </w:tcPr>
          <w:p>
            <w:pPr>
              <w:pStyle w:val="Compact"/>
              <w:jc w:val="left"/>
              <w:jc w:val="center"/>
            </w:pPr>
            <w:r>
              <w:rPr>
                <w:i/>
                <w:iCs/>
              </w:rPr>
              <w:t xml:space="preserve">RNA-seq</w:t>
            </w:r>
          </w:p>
        </w:tc>
        <w:tc>
          <w:tcPr>
            <w:tcW w:w="2798" w:type="dxa"/>
          </w:tcPr>
          <w:p>
            <w:pPr>
              <w:pStyle w:val="Compact"/>
              <w:jc w:val="left"/>
              <w:jc w:val="center"/>
            </w:pPr>
            <w:r>
              <w:t xml:space="preserve">986/319 (32,4%)</w:t>
            </w:r>
          </w:p>
        </w:tc>
        <w:tc>
          <w:tcPr>
            <w:tcW w:w="2314" w:type="dxa"/>
          </w:tcPr>
          <w:p>
            <w:pPr>
              <w:pStyle w:val="Compact"/>
              <w:jc w:val="left"/>
              <w:jc w:val="center"/>
            </w:pPr>
            <w:r>
              <w:t xml:space="preserve">Exploratória</w:t>
            </w:r>
          </w:p>
        </w:tc>
      </w:tr>
    </w:tbl>
    <w:bookmarkEnd w:id="59"/>
    <w:p/>
    <w:bookmarkStart w:id="63" w:name="fig-fluxograma-coortes"/>
    <w:p>
      <w:pPr>
        <w:pStyle w:val="Compact"/>
        <w:jc w:val="center"/>
      </w:pPr>
      <w:r>
        <w:drawing>
          <wp:inline>
            <wp:extent cx="5687999" cy="4800288"/>
            <wp:effectExtent b="0" l="0" r="0" t="0"/>
            <wp:docPr descr="" title="" id="61" name="Picture"/>
            <a:graphic>
              <a:graphicData uri="http://schemas.openxmlformats.org/drawingml/2006/picture">
                <pic:pic>
                  <pic:nvPicPr>
                    <pic:cNvPr descr="../figures/didaticas/pt/png/B6_Fluxograma_Coortes_PT.png" id="62" name="Picture"/>
                    <pic:cNvPicPr>
                      <a:picLocks noChangeArrowheads="1" noChangeAspect="1"/>
                    </pic:cNvPicPr>
                  </pic:nvPicPr>
                  <pic:blipFill>
                    <a:blip r:embed="rId60"/>
                    <a:stretch>
                      <a:fillRect/>
                    </a:stretch>
                  </pic:blipFill>
                  <pic:spPr bwMode="auto">
                    <a:xfrm>
                      <a:off x="0" y="0"/>
                      <a:ext cx="5687999" cy="4800288"/>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3"/>
    <w:bookmarkEnd w:id="64"/>
    <w:bookmarkStart w:id="69"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5" w:name="tbl-freeze"/>
      <w:r>
        <w:t xml:space="preserve">Tabela 3 — Parâmetros analíticos congelados antes da análise</w:t>
      </w:r>
    </w:p>
    <w:tbl>
      <w:tblPr>
        <w:tblStyle w:val="Table"/>
        <w:tblW w:type="dxa" w:w="9070"/>
        <w:tblLayout w:type="fixed"/>
        <w:tblLook w:firstRow="1" w:lastRow="0" w:firstColumn="0" w:lastColumn="0" w:noHBand="0" w:noVBand="0" w:val="0020"/>
      </w:tblPr>
      <w:tblGrid>
        <w:gridCol w:w="2662"/>
        <w:gridCol w:w="2817"/>
        <w:gridCol w:w="3591"/>
      </w:tblGrid>
      <w:tr>
        <w:trPr>
          <w:tblHeader w:val="on"/>
        </w:trPr>
        <w:tc>
          <w:tcPr>
            <w:tcW w:w="2662" w:type="dxa"/>
          </w:tcPr>
          <w:p>
            <w:pPr>
              <w:pStyle w:val="Compact"/>
              <w:jc w:val="center"/>
            </w:pPr>
            <w:r>
              <w:t xml:space="preserve">Parâmetro</w:t>
            </w:r>
          </w:p>
        </w:tc>
        <w:tc>
          <w:tcPr>
            <w:tcW w:w="2817" w:type="dxa"/>
          </w:tcPr>
          <w:p>
            <w:pPr>
              <w:pStyle w:val="Compact"/>
              <w:jc w:val="center"/>
            </w:pPr>
            <w:r>
              <w:t xml:space="preserve">Valor</w:t>
            </w:r>
          </w:p>
        </w:tc>
        <w:tc>
          <w:tcPr>
            <w:tcW w:w="3591" w:type="dxa"/>
          </w:tcPr>
          <w:p>
            <w:pPr>
              <w:pStyle w:val="Compact"/>
              <w:jc w:val="center"/>
            </w:pPr>
            <w:r>
              <w:t xml:space="preserve">Justificativa</w:t>
            </w:r>
          </w:p>
        </w:tc>
      </w:tr>
      <w:tr>
        <w:tc>
          <w:tcPr>
            <w:tcW w:w="2662" w:type="dxa"/>
          </w:tcPr>
          <w:p>
            <w:pPr>
              <w:pStyle w:val="Compact"/>
              <w:jc w:val="center"/>
            </w:pPr>
            <w:r>
              <w:t xml:space="preserve">Margem de não inferioridade (Delta-</w:t>
            </w:r>
            <w:r>
              <w:rPr>
                <w:i/>
                <w:iCs/>
              </w:rPr>
              <w:t xml:space="preserve">C-index</w:t>
            </w:r>
            <w:r>
              <w:t xml:space="preserve">)</w:t>
            </w:r>
          </w:p>
        </w:tc>
        <w:tc>
          <w:tcPr>
            <w:tcW w:w="2817" w:type="dxa"/>
          </w:tcPr>
          <w:p>
            <w:pPr>
              <w:pStyle w:val="Compact"/>
              <w:jc w:val="center"/>
            </w:pPr>
            <w:r>
              <w:t xml:space="preserve">0,010</w:t>
            </w:r>
          </w:p>
        </w:tc>
        <w:tc>
          <w:tcPr>
            <w:tcW w:w="3591" w:type="dxa"/>
          </w:tcPr>
          <w:p>
            <w:pPr>
              <w:pStyle w:val="Compact"/>
              <w:jc w:val="center"/>
            </w:pPr>
            <w:r>
              <w:t xml:space="preserve">&lt; 1/2 EP do</w:t>
            </w:r>
            <w:r>
              <w:t xml:space="preserve"> </w:t>
            </w:r>
            <w:r>
              <w:rPr>
                <w:i/>
                <w:iCs/>
              </w:rPr>
              <w:t xml:space="preserve">C-index</w:t>
            </w:r>
            <w:r>
              <w:t xml:space="preserve"> </w:t>
            </w:r>
            <w:r>
              <w:t xml:space="preserve">OOF</w:t>
            </w:r>
          </w:p>
        </w:tc>
      </w:tr>
      <w:tr>
        <w:tc>
          <w:tcPr>
            <w:tcW w:w="2662"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817" w:type="dxa"/>
          </w:tcPr>
          <w:p>
            <w:pPr>
              <w:pStyle w:val="Compact"/>
              <w:jc w:val="center"/>
            </w:pPr>
            <w:r>
              <w:t xml:space="preserve">0,5</w:t>
            </w:r>
          </w:p>
        </w:tc>
        <w:tc>
          <w:tcPr>
            <w:tcW w:w="3591" w:type="dxa"/>
          </w:tcPr>
          <w:p>
            <w:pPr>
              <w:pStyle w:val="Compact"/>
              <w:jc w:val="center"/>
            </w:pPr>
            <w:r>
              <w:t xml:space="preserve">Balanço entre esparsidade (L1) e estabilidade de grupo (L2)</w:t>
            </w:r>
          </w:p>
        </w:tc>
      </w:tr>
      <w:tr>
        <w:tc>
          <w:tcPr>
            <w:tcW w:w="2662" w:type="dxa"/>
          </w:tcPr>
          <w:p>
            <w:pPr>
              <w:pStyle w:val="Compact"/>
              <w:jc w:val="center"/>
            </w:pPr>
            <w:r>
              <w:t xml:space="preserve">Folds de validação cruzada (K)</w:t>
            </w:r>
          </w:p>
        </w:tc>
        <w:tc>
          <w:tcPr>
            <w:tcW w:w="2817" w:type="dxa"/>
          </w:tcPr>
          <w:p>
            <w:pPr>
              <w:pStyle w:val="Compact"/>
              <w:jc w:val="center"/>
            </w:pPr>
            <w:r>
              <w:t xml:space="preserve">10</w:t>
            </w:r>
          </w:p>
        </w:tc>
        <w:tc>
          <w:tcPr>
            <w:tcW w:w="3591" w:type="dxa"/>
          </w:tcPr>
          <w:p>
            <w:pPr>
              <w:pStyle w:val="Compact"/>
              <w:jc w:val="center"/>
            </w:pPr>
            <w:r>
              <w:t xml:space="preserve">Padrão da literatura</w:t>
            </w:r>
          </w:p>
        </w:tc>
      </w:tr>
      <w:tr>
        <w:tc>
          <w:tcPr>
            <w:tcW w:w="2662" w:type="dxa"/>
          </w:tcPr>
          <w:p>
            <w:pPr>
              <w:pStyle w:val="Compact"/>
              <w:jc w:val="center"/>
            </w:pPr>
            <w:r>
              <w:t xml:space="preserve">Atribuição de</w:t>
            </w:r>
            <w:r>
              <w:t xml:space="preserve"> </w:t>
            </w:r>
            <w:r>
              <w:rPr>
                <w:i/>
                <w:iCs/>
              </w:rPr>
              <w:t xml:space="preserve">folds</w:t>
            </w:r>
          </w:p>
        </w:tc>
        <w:tc>
          <w:tcPr>
            <w:tcW w:w="2817" w:type="dxa"/>
          </w:tcPr>
          <w:p>
            <w:pPr>
              <w:pStyle w:val="Compact"/>
              <w:jc w:val="center"/>
            </w:pPr>
            <w:r>
              <w:t xml:space="preserve">Determinística: SHA-256 do ID do paciente</w:t>
            </w:r>
          </w:p>
        </w:tc>
        <w:tc>
          <w:tcPr>
            <w:tcW w:w="3591" w:type="dxa"/>
          </w:tcPr>
          <w:p>
            <w:pPr>
              <w:pStyle w:val="Compact"/>
              <w:jc w:val="center"/>
            </w:pPr>
            <w:r>
              <w:t xml:space="preserve">Reprodutibilidade exata</w:t>
            </w:r>
          </w:p>
        </w:tc>
      </w:tr>
      <w:tr>
        <w:tc>
          <w:tcPr>
            <w:tcW w:w="2662" w:type="dxa"/>
          </w:tcPr>
          <w:p>
            <w:pPr>
              <w:pStyle w:val="Compact"/>
              <w:jc w:val="center"/>
            </w:pPr>
            <w:r>
              <w:t xml:space="preserve">Estratificação de</w:t>
            </w:r>
            <w:r>
              <w:t xml:space="preserve"> </w:t>
            </w:r>
            <w:r>
              <w:rPr>
                <w:i/>
                <w:iCs/>
              </w:rPr>
              <w:t xml:space="preserve">folds</w:t>
            </w:r>
          </w:p>
        </w:tc>
        <w:tc>
          <w:tcPr>
            <w:tcW w:w="2817" w:type="dxa"/>
          </w:tcPr>
          <w:p>
            <w:pPr>
              <w:pStyle w:val="Compact"/>
              <w:jc w:val="center"/>
            </w:pPr>
            <w:r>
              <w:t xml:space="preserve">Por status de evento</w:t>
            </w:r>
          </w:p>
        </w:tc>
        <w:tc>
          <w:tcPr>
            <w:tcW w:w="3591" w:type="dxa"/>
          </w:tcPr>
          <w:p>
            <w:pPr>
              <w:pStyle w:val="Compact"/>
              <w:jc w:val="center"/>
            </w:pPr>
            <w:r>
              <w:t xml:space="preserve">Representatividade de eventos</w:t>
            </w:r>
          </w:p>
        </w:tc>
      </w:tr>
      <w:tr>
        <w:tc>
          <w:tcPr>
            <w:tcW w:w="2662" w:type="dxa"/>
          </w:tcPr>
          <w:p>
            <w:pPr>
              <w:pStyle w:val="Compact"/>
              <w:jc w:val="center"/>
            </w:pPr>
            <w:r>
              <w:t xml:space="preserve">Cobertura mínima de genes</w:t>
            </w:r>
          </w:p>
        </w:tc>
        <w:tc>
          <w:tcPr>
            <w:tcW w:w="2817" w:type="dxa"/>
          </w:tcPr>
          <w:p>
            <w:pPr>
              <w:pStyle w:val="Compact"/>
              <w:jc w:val="center"/>
            </w:pPr>
            <w:r>
              <w:t xml:space="preserve">80% dos 24 genes CorePAM</w:t>
            </w:r>
          </w:p>
        </w:tc>
        <w:tc>
          <w:tcPr>
            <w:tcW w:w="3591" w:type="dxa"/>
          </w:tcPr>
          <w:p>
            <w:pPr>
              <w:pStyle w:val="Compact"/>
              <w:jc w:val="center"/>
            </w:pPr>
            <w:r>
              <w:t xml:space="preserve">Equilíbrio inclusividade/integridade</w:t>
            </w:r>
          </w:p>
        </w:tc>
      </w:tr>
      <w:tr>
        <w:tc>
          <w:tcPr>
            <w:tcW w:w="2662" w:type="dxa"/>
          </w:tcPr>
          <w:p>
            <w:pPr>
              <w:pStyle w:val="Compact"/>
              <w:jc w:val="center"/>
            </w:pPr>
            <w:r>
              <w:t xml:space="preserve">Número de genes</w:t>
            </w:r>
          </w:p>
        </w:tc>
        <w:tc>
          <w:tcPr>
            <w:tcW w:w="2817" w:type="dxa"/>
          </w:tcPr>
          <w:p>
            <w:pPr>
              <w:pStyle w:val="Compact"/>
              <w:jc w:val="center"/>
            </w:pPr>
            <w:r>
              <w:rPr>
                <w:b/>
                <w:bCs/>
              </w:rPr>
              <w:t xml:space="preserve">Não pré-especificado</w:t>
            </w:r>
          </w:p>
        </w:tc>
        <w:tc>
          <w:tcPr>
            <w:tcW w:w="3591" w:type="dxa"/>
          </w:tcPr>
          <w:p>
            <w:pPr>
              <w:pStyle w:val="Compact"/>
              <w:jc w:val="center"/>
            </w:pPr>
            <w:r>
              <w:t xml:space="preserve">Resultado da análise, não parâmetro</w:t>
            </w:r>
          </w:p>
        </w:tc>
      </w:tr>
    </w:tbl>
    <w:bookmarkEnd w:id="65"/>
    <w:p/>
    <w:bookmarkStart w:id="66"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6"/>
    <w:bookmarkStart w:id="67"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67"/>
    <w:bookmarkStart w:id="68"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8"/>
    <w:bookmarkEnd w:id="69"/>
    <w:bookmarkStart w:id="73"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70"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0"/>
    <w:bookmarkStart w:id="72"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1" w:name="tbl-gene-coverage"/>
      <w:r>
        <w:t xml:space="preserve">Tabela 4 — Cobertura de genes CorePAM por coorte de validação</w:t>
      </w:r>
    </w:p>
    <w:tbl>
      <w:tblPr>
        <w:tblStyle w:val="Table"/>
        <w:tblW w:type="dxa" w:w="9070"/>
        <w:tblLayout w:type="fixed"/>
        <w:tblLook w:firstRow="1" w:lastRow="0" w:firstColumn="0" w:lastColumn="0" w:noHBand="0" w:noVBand="0" w:val="0020"/>
      </w:tblPr>
      <w:tblGrid>
        <w:gridCol w:w="1600"/>
        <w:gridCol w:w="2612"/>
        <w:gridCol w:w="938"/>
        <w:gridCol w:w="1453"/>
        <w:gridCol w:w="2467"/>
      </w:tblGrid>
      <w:tr>
        <w:trPr>
          <w:tblHeader w:val="on"/>
        </w:trPr>
        <w:tc>
          <w:tcPr>
            <w:tcW w:w="1600" w:type="dxa"/>
          </w:tcPr>
          <w:p>
            <w:pPr>
              <w:pStyle w:val="Compact"/>
              <w:jc w:val="left"/>
              <w:jc w:val="center"/>
            </w:pPr>
            <w:r>
              <w:t xml:space="preserve">Coorte</w:t>
            </w:r>
          </w:p>
        </w:tc>
        <w:tc>
          <w:tcPr>
            <w:tcW w:w="2612" w:type="dxa"/>
          </w:tcPr>
          <w:p>
            <w:pPr>
              <w:pStyle w:val="Compact"/>
              <w:jc w:val="left"/>
              <w:jc w:val="center"/>
            </w:pPr>
            <w:r>
              <w:t xml:space="preserve">Plataforma</w:t>
            </w:r>
          </w:p>
        </w:tc>
        <w:tc>
          <w:tcPr>
            <w:tcW w:w="938" w:type="dxa"/>
          </w:tcPr>
          <w:p>
            <w:pPr>
              <w:pStyle w:val="Compact"/>
              <w:jc w:val="center"/>
              <w:jc w:val="center"/>
            </w:pPr>
            <w:r>
              <w:t xml:space="preserve">Genes</w:t>
            </w:r>
          </w:p>
        </w:tc>
        <w:tc>
          <w:tcPr>
            <w:tcW w:w="1453" w:type="dxa"/>
          </w:tcPr>
          <w:p>
            <w:pPr>
              <w:pStyle w:val="Compact"/>
              <w:jc w:val="center"/>
              <w:jc w:val="center"/>
            </w:pPr>
            <w:r>
              <w:t xml:space="preserve">Cobertura</w:t>
            </w:r>
          </w:p>
        </w:tc>
        <w:tc>
          <w:tcPr>
            <w:tcW w:w="2467" w:type="dxa"/>
          </w:tcPr>
          <w:p>
            <w:pPr>
              <w:pStyle w:val="Compact"/>
              <w:jc w:val="left"/>
              <w:jc w:val="center"/>
            </w:pPr>
            <w:r>
              <w:t xml:space="preserve">Ausentes</w:t>
            </w:r>
          </w:p>
        </w:tc>
      </w:tr>
      <w:tr>
        <w:tc>
          <w:tcPr>
            <w:tcW w:w="1600" w:type="dxa"/>
          </w:tcPr>
          <w:p>
            <w:pPr>
              <w:pStyle w:val="Compact"/>
              <w:jc w:val="left"/>
              <w:jc w:val="center"/>
            </w:pPr>
            <w:r>
              <w:t xml:space="preserve">SCAN-B</w:t>
            </w:r>
          </w:p>
        </w:tc>
        <w:tc>
          <w:tcPr>
            <w:tcW w:w="2612" w:type="dxa"/>
          </w:tcPr>
          <w:p>
            <w:pPr>
              <w:pStyle w:val="Compact"/>
              <w:jc w:val="left"/>
              <w:jc w:val="center"/>
            </w:pPr>
            <w:r>
              <w:t xml:space="preserve">RNA-seq Illumina</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TCGA-BRCA</w:t>
            </w:r>
          </w:p>
        </w:tc>
        <w:tc>
          <w:tcPr>
            <w:tcW w:w="2612" w:type="dxa"/>
          </w:tcPr>
          <w:p>
            <w:pPr>
              <w:pStyle w:val="Compact"/>
              <w:jc w:val="left"/>
              <w:jc w:val="center"/>
            </w:pPr>
            <w:r>
              <w:t xml:space="preserve">RNA-seq STAR/GDC</w:t>
            </w:r>
          </w:p>
        </w:tc>
        <w:tc>
          <w:tcPr>
            <w:tcW w:w="938" w:type="dxa"/>
          </w:tcPr>
          <w:p>
            <w:pPr>
              <w:pStyle w:val="Compact"/>
              <w:jc w:val="center"/>
              <w:jc w:val="center"/>
            </w:pPr>
            <w:r>
              <w:t xml:space="preserve">23/24</w:t>
            </w:r>
          </w:p>
        </w:tc>
        <w:tc>
          <w:tcPr>
            <w:tcW w:w="1453" w:type="dxa"/>
          </w:tcPr>
          <w:p>
            <w:pPr>
              <w:pStyle w:val="Compact"/>
              <w:jc w:val="center"/>
              <w:jc w:val="center"/>
            </w:pPr>
            <w:r>
              <w:t xml:space="preserve">95,8%</w:t>
            </w:r>
          </w:p>
        </w:tc>
        <w:tc>
          <w:tcPr>
            <w:tcW w:w="2467" w:type="dxa"/>
          </w:tcPr>
          <w:p>
            <w:pPr>
              <w:pStyle w:val="Compact"/>
              <w:jc w:val="left"/>
              <w:jc w:val="center"/>
            </w:pPr>
            <w:r>
              <w:t xml:space="preserve">MIA</w:t>
            </w:r>
          </w:p>
        </w:tc>
      </w:tr>
      <w:tr>
        <w:tc>
          <w:tcPr>
            <w:tcW w:w="1600" w:type="dxa"/>
          </w:tcPr>
          <w:p>
            <w:pPr>
              <w:pStyle w:val="Compact"/>
              <w:jc w:val="left"/>
              <w:jc w:val="center"/>
            </w:pPr>
            <w:r>
              <w:t xml:space="preserve">METABRIC</w:t>
            </w:r>
          </w:p>
        </w:tc>
        <w:tc>
          <w:tcPr>
            <w:tcW w:w="2612" w:type="dxa"/>
          </w:tcPr>
          <w:p>
            <w:pPr>
              <w:pStyle w:val="Compact"/>
              <w:jc w:val="left"/>
              <w:jc w:val="center"/>
            </w:pPr>
            <w:r>
              <w:t xml:space="preserve">Illumina HT-12</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GSE20685</w:t>
            </w:r>
          </w:p>
        </w:tc>
        <w:tc>
          <w:tcPr>
            <w:tcW w:w="2612" w:type="dxa"/>
          </w:tcPr>
          <w:p>
            <w:pPr>
              <w:pStyle w:val="Compact"/>
              <w:jc w:val="left"/>
              <w:jc w:val="center"/>
            </w:pPr>
            <w:r>
              <w:t xml:space="preserve">Affymetrix HG-U133+</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GSE1456</w:t>
            </w:r>
          </w:p>
        </w:tc>
        <w:tc>
          <w:tcPr>
            <w:tcW w:w="2612" w:type="dxa"/>
          </w:tcPr>
          <w:p>
            <w:pPr>
              <w:pStyle w:val="Compact"/>
              <w:jc w:val="left"/>
              <w:jc w:val="center"/>
            </w:pPr>
            <w:r>
              <w:t xml:space="preserve">Affymetrix HGU133A</w:t>
            </w:r>
          </w:p>
        </w:tc>
        <w:tc>
          <w:tcPr>
            <w:tcW w:w="938" w:type="dxa"/>
          </w:tcPr>
          <w:p>
            <w:pPr>
              <w:pStyle w:val="Compact"/>
              <w:jc w:val="center"/>
              <w:jc w:val="center"/>
            </w:pPr>
            <w:r>
              <w:t xml:space="preserve">21/24</w:t>
            </w:r>
          </w:p>
        </w:tc>
        <w:tc>
          <w:tcPr>
            <w:tcW w:w="1453" w:type="dxa"/>
          </w:tcPr>
          <w:p>
            <w:pPr>
              <w:pStyle w:val="Compact"/>
              <w:jc w:val="center"/>
              <w:jc w:val="center"/>
            </w:pPr>
            <w:r>
              <w:t xml:space="preserve">87,5%</w:t>
            </w:r>
          </w:p>
        </w:tc>
        <w:tc>
          <w:tcPr>
            <w:tcW w:w="2467" w:type="dxa"/>
          </w:tcPr>
          <w:p>
            <w:pPr>
              <w:pStyle w:val="Compact"/>
              <w:jc w:val="left"/>
              <w:jc w:val="center"/>
            </w:pPr>
            <w:r>
              <w:t xml:space="preserve">GPR160; CXXC5; KRT17</w:t>
            </w:r>
          </w:p>
        </w:tc>
      </w:tr>
    </w:tbl>
    <w:bookmarkEnd w:id="71"/>
    <w:p/>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hyperlink w:anchor="tbl-gene-coverage">
        <w:r>
          <w:rPr>
            <w:rStyle w:val="Hyperlink"/>
          </w:rPr>
          <w:t xml:space="preserve">Tabela 4</w:t>
        </w:r>
      </w:hyperlink>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2"/>
    <w:bookmarkEnd w:id="73"/>
    <w:bookmarkStart w:id="82" w:name="derivação-do-corepam"/>
    <w:p>
      <w:pPr>
        <w:pStyle w:val="Heading2"/>
      </w:pPr>
      <w:r>
        <w:t xml:space="preserve">3.5 Derivação do CorePAM</w:t>
      </w:r>
    </w:p>
    <w:p>
      <w:pPr>
        <w:pStyle w:val="Compact"/>
        <w:jc w:val="center"/>
      </w:pPr>
      <w:bookmarkStart w:id="77" w:name="fig-derivacao"/>
      <w:r>
        <w:drawing>
          <wp:inline>
            <wp:extent cx="5687999" cy="5191048"/>
            <wp:effectExtent b="0" l="0" r="0" t="0"/>
            <wp:docPr descr="" title="" id="75" name="Picture"/>
            <a:graphic>
              <a:graphicData uri="http://schemas.openxmlformats.org/drawingml/2006/picture">
                <pic:pic>
                  <pic:nvPicPr>
                    <pic:cNvPr descr="../figures/didaticas/pt/png/B9_Derivacao_CorePAM_PT.png" id="76" name="Picture"/>
                    <pic:cNvPicPr>
                      <a:picLocks noChangeArrowheads="1" noChangeAspect="1"/>
                    </pic:cNvPicPr>
                  </pic:nvPicPr>
                  <pic:blipFill>
                    <a:blip r:embed="rId74"/>
                    <a:stretch>
                      <a:fillRect/>
                    </a:stretch>
                  </pic:blipFill>
                  <pic:spPr bwMode="auto">
                    <a:xfrm>
                      <a:off x="0" y="0"/>
                      <a:ext cx="5687999" cy="5191048"/>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7"/>
    <w:bookmarkStart w:id="78"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78"/>
    <w:bookmarkStart w:id="79"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79"/>
    <w:bookmarkStart w:id="80"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0"/>
    <w:bookmarkStart w:id="81"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1"/>
    <w:bookmarkEnd w:id="82"/>
    <w:bookmarkStart w:id="84"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3"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83"/>
    <w:bookmarkEnd w:id="84"/>
    <w:bookmarkStart w:id="92" w:name="análise-de-sobrevida"/>
    <w:p>
      <w:pPr>
        <w:pStyle w:val="Heading2"/>
      </w:pPr>
      <w:r>
        <w:t xml:space="preserve">3.7 Análise de sobrevida</w:t>
      </w:r>
    </w:p>
    <w:bookmarkStart w:id="85"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85"/>
    <w:bookmarkStart w:id="86"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86"/>
    <w:bookmarkStart w:id="87"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87"/>
    <w:bookmarkStart w:id="88"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88"/>
    <w:bookmarkStart w:id="89"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89"/>
    <w:bookmarkStart w:id="90"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0"/>
    <w:bookmarkStart w:id="91"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1"/>
    <w:bookmarkEnd w:id="92"/>
    <w:bookmarkStart w:id="93"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93"/>
    <w:bookmarkStart w:id="94"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e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bookmarkEnd w:id="94"/>
    <w:bookmarkEnd w:id="95"/>
    <w:bookmarkStart w:id="209" w:name="resultados"/>
    <w:p>
      <w:pPr>
        <w:pageBreakBefore/>
        <w:pStyle w:val="Heading1"/>
      </w:pPr>
      <w:r>
        <w:t xml:space="preserve">4. RESULTADOS</w:t>
      </w:r>
    </w:p>
    <w:bookmarkStart w:id="113"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9" w:name="fig-pareto"/>
      <w:r>
        <w:drawing>
          <wp:inline>
            <wp:extent cx="5687999" cy="3554999"/>
            <wp:effectExtent b="0" l="0" r="0" t="0"/>
            <wp:docPr descr="" title="" id="97" name="Picture"/>
            <a:graphic>
              <a:graphicData uri="http://schemas.openxmlformats.org/drawingml/2006/picture">
                <pic:pic>
                  <pic:nvPicPr>
                    <pic:cNvPr descr="../figures/supp/pt/png/FigS_Pareto_CorePAM_PT.png" id="98" name="Picture"/>
                    <pic:cNvPicPr>
                      <a:picLocks noChangeArrowheads="1" noChangeAspect="1"/>
                    </pic:cNvPicPr>
                  </pic:nvPicPr>
                  <pic:blipFill>
                    <a:blip r:embed="rId96"/>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99"/>
    <w:p>
      <w:r>
        <w:br w:type="page"/>
      </w:r>
    </w:p>
    <w:p>
      <w:pPr>
        <w:jc w:val="left"/>
        <w:spacing w:before="200"/>
        <w:pStyle w:val="ImageCaption"/>
      </w:pPr>
      <w:bookmarkStart w:id="100" w:name="tbl-genes"/>
      <w:r>
        <w:t xml:space="preserve">Tabela 5 — Lista completa dos 24 genes CorePAM com pesos</w:t>
      </w:r>
      <w:r>
        <w:t xml:space="preserve"> </w:t>
      </w:r>
      <w:r>
        <w:rPr>
          <w:i/>
          <w:iCs/>
        </w:rPr>
        <w:t xml:space="preserve">elastic-net</w:t>
      </w:r>
    </w:p>
    <w:tbl>
      <w:tblPr>
        <w:tblStyle w:val="Table"/>
        <w:tblW w:type="dxa" w:w="9070"/>
        <w:tblLayout w:type="fixed"/>
        <w:tblLook w:firstRow="1" w:lastRow="0" w:firstColumn="0" w:lastColumn="0" w:noHBand="0" w:noVBand="0" w:val="0020"/>
      </w:tblPr>
      <w:tblGrid>
        <w:gridCol w:w="921"/>
        <w:gridCol w:w="1214"/>
        <w:gridCol w:w="1654"/>
        <w:gridCol w:w="2094"/>
        <w:gridCol w:w="3187"/>
      </w:tblGrid>
      <w:tr>
        <w:trPr>
          <w:tblHeader w:val="on"/>
        </w:trPr>
        <w:tc>
          <w:tcPr>
            <w:tcW w:w="921" w:type="dxa"/>
          </w:tcPr>
          <w:p>
            <w:pPr>
              <w:pStyle w:val="Compact"/>
              <w:jc w:val="center"/>
            </w:pPr>
            <w:r>
              <w:t xml:space="preserve">Rank</w:t>
            </w:r>
          </w:p>
        </w:tc>
        <w:tc>
          <w:tcPr>
            <w:tcW w:w="1214" w:type="dxa"/>
          </w:tcPr>
          <w:p>
            <w:pPr>
              <w:pStyle w:val="Compact"/>
              <w:jc w:val="center"/>
            </w:pPr>
            <w:r>
              <w:t xml:space="preserve">Gene</w:t>
            </w:r>
          </w:p>
        </w:tc>
        <w:tc>
          <w:tcPr>
            <w:tcW w:w="1654" w:type="dxa"/>
          </w:tcPr>
          <w:p>
            <w:pPr>
              <w:pStyle w:val="Compact"/>
              <w:jc w:val="center"/>
            </w:pPr>
            <w:r>
              <w:t xml:space="preserve">Peso (w</w:t>
            </w:r>
            <w:r>
              <w:rPr>
                <w:vertAlign w:val="subscript"/>
              </w:rPr>
              <w:t xml:space="preserve">i</w:t>
            </w:r>
            <w:r>
              <w:t xml:space="preserve">)</w:t>
            </w:r>
          </w:p>
        </w:tc>
        <w:tc>
          <w:tcPr>
            <w:tcW w:w="2094" w:type="dxa"/>
          </w:tcPr>
          <w:p>
            <w:pPr>
              <w:pStyle w:val="Compact"/>
              <w:jc w:val="center"/>
            </w:pPr>
            <w:r>
              <w:t xml:space="preserve">Direção</w:t>
            </w:r>
          </w:p>
        </w:tc>
        <w:tc>
          <w:tcPr>
            <w:tcW w:w="3187" w:type="dxa"/>
          </w:tcPr>
          <w:p>
            <w:pPr>
              <w:pStyle w:val="Compact"/>
              <w:jc w:val="center"/>
            </w:pPr>
            <w:r>
              <w:t xml:space="preserve">Via biológica principal</w:t>
            </w:r>
          </w:p>
        </w:tc>
      </w:tr>
      <w:tr>
        <w:tc>
          <w:tcPr>
            <w:tcW w:w="921" w:type="dxa"/>
          </w:tcPr>
          <w:p>
            <w:pPr>
              <w:pStyle w:val="Compact"/>
              <w:jc w:val="center"/>
            </w:pPr>
            <w:r>
              <w:t xml:space="preserve">1</w:t>
            </w:r>
          </w:p>
        </w:tc>
        <w:tc>
          <w:tcPr>
            <w:tcW w:w="1214" w:type="dxa"/>
          </w:tcPr>
          <w:p>
            <w:pPr>
              <w:pStyle w:val="Compact"/>
              <w:jc w:val="center"/>
            </w:pPr>
            <w:r>
              <w:t xml:space="preserve">EXO1</w:t>
            </w:r>
          </w:p>
        </w:tc>
        <w:tc>
          <w:tcPr>
            <w:tcW w:w="1654" w:type="dxa"/>
          </w:tcPr>
          <w:p>
            <w:pPr>
              <w:pStyle w:val="Compact"/>
              <w:jc w:val="center"/>
            </w:pPr>
            <w:r>
              <w:t xml:space="preserve">+0,2174</w:t>
            </w:r>
          </w:p>
        </w:tc>
        <w:tc>
          <w:tcPr>
            <w:tcW w:w="2094" w:type="dxa"/>
          </w:tcPr>
          <w:p>
            <w:pPr>
              <w:pStyle w:val="Compact"/>
              <w:jc w:val="center"/>
            </w:pPr>
            <w:r>
              <w:t xml:space="preserve">Risco (+)</w:t>
            </w:r>
          </w:p>
        </w:tc>
        <w:tc>
          <w:tcPr>
            <w:tcW w:w="3187" w:type="dxa"/>
          </w:tcPr>
          <w:p>
            <w:pPr>
              <w:pStyle w:val="Compact"/>
              <w:jc w:val="center"/>
            </w:pPr>
            <w:r>
              <w:t xml:space="preserve">Proliferação / reparo de DNA</w:t>
            </w:r>
          </w:p>
        </w:tc>
      </w:tr>
      <w:tr>
        <w:tc>
          <w:tcPr>
            <w:tcW w:w="921" w:type="dxa"/>
          </w:tcPr>
          <w:p>
            <w:pPr>
              <w:pStyle w:val="Compact"/>
              <w:jc w:val="center"/>
            </w:pPr>
            <w:r>
              <w:t xml:space="preserve">2</w:t>
            </w:r>
          </w:p>
        </w:tc>
        <w:tc>
          <w:tcPr>
            <w:tcW w:w="1214" w:type="dxa"/>
          </w:tcPr>
          <w:p>
            <w:pPr>
              <w:pStyle w:val="Compact"/>
              <w:jc w:val="center"/>
            </w:pPr>
            <w:r>
              <w:t xml:space="preserve">NAT1</w:t>
            </w:r>
          </w:p>
        </w:tc>
        <w:tc>
          <w:tcPr>
            <w:tcW w:w="1654" w:type="dxa"/>
          </w:tcPr>
          <w:p>
            <w:pPr>
              <w:pStyle w:val="Compact"/>
              <w:jc w:val="center"/>
            </w:pPr>
            <w:r>
              <w:t xml:space="preserve">-0,2052</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3</w:t>
            </w:r>
          </w:p>
        </w:tc>
        <w:tc>
          <w:tcPr>
            <w:tcW w:w="1214" w:type="dxa"/>
          </w:tcPr>
          <w:p>
            <w:pPr>
              <w:pStyle w:val="Compact"/>
              <w:jc w:val="center"/>
            </w:pPr>
            <w:r>
              <w:t xml:space="preserve">BLVRA</w:t>
            </w:r>
          </w:p>
        </w:tc>
        <w:tc>
          <w:tcPr>
            <w:tcW w:w="1654" w:type="dxa"/>
          </w:tcPr>
          <w:p>
            <w:pPr>
              <w:pStyle w:val="Compact"/>
              <w:jc w:val="center"/>
            </w:pPr>
            <w:r>
              <w:t xml:space="preserve">-0,1848</w:t>
            </w:r>
          </w:p>
        </w:tc>
        <w:tc>
          <w:tcPr>
            <w:tcW w:w="2094" w:type="dxa"/>
          </w:tcPr>
          <w:p>
            <w:pPr>
              <w:pStyle w:val="Compact"/>
              <w:jc w:val="center"/>
            </w:pPr>
            <w:r>
              <w:t xml:space="preserve">Protetor (-)</w:t>
            </w:r>
          </w:p>
        </w:tc>
        <w:tc>
          <w:tcPr>
            <w:tcW w:w="3187" w:type="dxa"/>
          </w:tcPr>
          <w:p>
            <w:pPr>
              <w:pStyle w:val="Compact"/>
              <w:jc w:val="center"/>
            </w:pPr>
            <w:r>
              <w:t xml:space="preserve">Metabolismo / estresse oxidativo</w:t>
            </w:r>
          </w:p>
        </w:tc>
      </w:tr>
      <w:tr>
        <w:tc>
          <w:tcPr>
            <w:tcW w:w="921" w:type="dxa"/>
          </w:tcPr>
          <w:p>
            <w:pPr>
              <w:pStyle w:val="Compact"/>
              <w:jc w:val="center"/>
            </w:pPr>
            <w:r>
              <w:t xml:space="preserve">4</w:t>
            </w:r>
          </w:p>
        </w:tc>
        <w:tc>
          <w:tcPr>
            <w:tcW w:w="1214" w:type="dxa"/>
          </w:tcPr>
          <w:p>
            <w:pPr>
              <w:pStyle w:val="Compact"/>
              <w:jc w:val="center"/>
            </w:pPr>
            <w:r>
              <w:t xml:space="preserve">ACTR3B</w:t>
            </w:r>
          </w:p>
        </w:tc>
        <w:tc>
          <w:tcPr>
            <w:tcW w:w="1654" w:type="dxa"/>
          </w:tcPr>
          <w:p>
            <w:pPr>
              <w:pStyle w:val="Compact"/>
              <w:jc w:val="center"/>
            </w:pPr>
            <w:r>
              <w:t xml:space="preserve">-0,1405</w:t>
            </w:r>
          </w:p>
        </w:tc>
        <w:tc>
          <w:tcPr>
            <w:tcW w:w="2094" w:type="dxa"/>
          </w:tcPr>
          <w:p>
            <w:pPr>
              <w:pStyle w:val="Compact"/>
              <w:jc w:val="center"/>
            </w:pPr>
            <w:r>
              <w:t xml:space="preserve">Protetor (-)</w:t>
            </w:r>
          </w:p>
        </w:tc>
        <w:tc>
          <w:tcPr>
            <w:tcW w:w="3187" w:type="dxa"/>
          </w:tcPr>
          <w:p>
            <w:pPr>
              <w:pStyle w:val="Compact"/>
              <w:jc w:val="center"/>
            </w:pPr>
            <w:r>
              <w:t xml:space="preserve">Citoesqueleto / motilidade celular</w:t>
            </w:r>
          </w:p>
        </w:tc>
      </w:tr>
      <w:tr>
        <w:tc>
          <w:tcPr>
            <w:tcW w:w="921" w:type="dxa"/>
          </w:tcPr>
          <w:p>
            <w:pPr>
              <w:pStyle w:val="Compact"/>
              <w:jc w:val="center"/>
            </w:pPr>
            <w:r>
              <w:t xml:space="preserve">5</w:t>
            </w:r>
          </w:p>
        </w:tc>
        <w:tc>
          <w:tcPr>
            <w:tcW w:w="1214" w:type="dxa"/>
          </w:tcPr>
          <w:p>
            <w:pPr>
              <w:pStyle w:val="Compact"/>
              <w:jc w:val="center"/>
            </w:pPr>
            <w:r>
              <w:t xml:space="preserve">MIA</w:t>
            </w:r>
          </w:p>
        </w:tc>
        <w:tc>
          <w:tcPr>
            <w:tcW w:w="1654" w:type="dxa"/>
          </w:tcPr>
          <w:p>
            <w:pPr>
              <w:pStyle w:val="Compact"/>
              <w:jc w:val="center"/>
            </w:pPr>
            <w:r>
              <w:t xml:space="preserve">-0,1193</w:t>
            </w:r>
          </w:p>
        </w:tc>
        <w:tc>
          <w:tcPr>
            <w:tcW w:w="2094" w:type="dxa"/>
          </w:tcPr>
          <w:p>
            <w:pPr>
              <w:pStyle w:val="Compact"/>
              <w:jc w:val="center"/>
            </w:pPr>
            <w:r>
              <w:t xml:space="preserve">Protetor (-)</w:t>
            </w:r>
          </w:p>
        </w:tc>
        <w:tc>
          <w:tcPr>
            <w:tcW w:w="3187" w:type="dxa"/>
          </w:tcPr>
          <w:p>
            <w:pPr>
              <w:pStyle w:val="Compact"/>
              <w:jc w:val="center"/>
            </w:pPr>
            <w:r>
              <w:t xml:space="preserve">Marcador</w:t>
            </w:r>
            <w:r>
              <w:t xml:space="preserve"> </w:t>
            </w:r>
            <w:r>
              <w:rPr>
                <w:i/>
                <w:iCs/>
              </w:rPr>
              <w:t xml:space="preserve">HER2-enriched</w:t>
            </w:r>
          </w:p>
        </w:tc>
      </w:tr>
      <w:tr>
        <w:tc>
          <w:tcPr>
            <w:tcW w:w="921" w:type="dxa"/>
          </w:tcPr>
          <w:p>
            <w:pPr>
              <w:pStyle w:val="Compact"/>
              <w:jc w:val="center"/>
            </w:pPr>
            <w:r>
              <w:t xml:space="preserve">6</w:t>
            </w:r>
          </w:p>
        </w:tc>
        <w:tc>
          <w:tcPr>
            <w:tcW w:w="1214" w:type="dxa"/>
          </w:tcPr>
          <w:p>
            <w:pPr>
              <w:pStyle w:val="Compact"/>
              <w:jc w:val="center"/>
            </w:pPr>
            <w:r>
              <w:t xml:space="preserve">MYBL2</w:t>
            </w:r>
          </w:p>
        </w:tc>
        <w:tc>
          <w:tcPr>
            <w:tcW w:w="1654" w:type="dxa"/>
          </w:tcPr>
          <w:p>
            <w:pPr>
              <w:pStyle w:val="Compact"/>
              <w:jc w:val="center"/>
            </w:pPr>
            <w:r>
              <w:t xml:space="preserve">-0,1183</w:t>
            </w:r>
          </w:p>
        </w:tc>
        <w:tc>
          <w:tcPr>
            <w:tcW w:w="2094" w:type="dxa"/>
          </w:tcPr>
          <w:p>
            <w:pPr>
              <w:pStyle w:val="Compact"/>
              <w:jc w:val="center"/>
            </w:pPr>
            <w:r>
              <w:t xml:space="preserve">Protetor (-)</w:t>
            </w:r>
          </w:p>
        </w:tc>
        <w:tc>
          <w:tcPr>
            <w:tcW w:w="3187" w:type="dxa"/>
          </w:tcPr>
          <w:p>
            <w:pPr>
              <w:pStyle w:val="Compact"/>
              <w:jc w:val="center"/>
            </w:pPr>
            <w:r>
              <w:t xml:space="preserve">Proliferação / ciclo celular</w:t>
            </w:r>
          </w:p>
        </w:tc>
      </w:tr>
      <w:tr>
        <w:tc>
          <w:tcPr>
            <w:tcW w:w="921" w:type="dxa"/>
          </w:tcPr>
          <w:p>
            <w:pPr>
              <w:pStyle w:val="Compact"/>
              <w:jc w:val="center"/>
            </w:pPr>
            <w:r>
              <w:t xml:space="preserve">7</w:t>
            </w:r>
          </w:p>
        </w:tc>
        <w:tc>
          <w:tcPr>
            <w:tcW w:w="1214" w:type="dxa"/>
          </w:tcPr>
          <w:p>
            <w:pPr>
              <w:pStyle w:val="Compact"/>
              <w:jc w:val="center"/>
            </w:pPr>
            <w:r>
              <w:t xml:space="preserve">PTTG1</w:t>
            </w:r>
          </w:p>
        </w:tc>
        <w:tc>
          <w:tcPr>
            <w:tcW w:w="1654" w:type="dxa"/>
          </w:tcPr>
          <w:p>
            <w:pPr>
              <w:pStyle w:val="Compact"/>
              <w:jc w:val="center"/>
            </w:pPr>
            <w:r>
              <w:t xml:space="preserve">+0,1140</w:t>
            </w:r>
          </w:p>
        </w:tc>
        <w:tc>
          <w:tcPr>
            <w:tcW w:w="2094" w:type="dxa"/>
          </w:tcPr>
          <w:p>
            <w:pPr>
              <w:pStyle w:val="Compact"/>
              <w:jc w:val="center"/>
            </w:pPr>
            <w:r>
              <w:t xml:space="preserve">Risco (+)</w:t>
            </w:r>
          </w:p>
        </w:tc>
        <w:tc>
          <w:tcPr>
            <w:tcW w:w="3187" w:type="dxa"/>
          </w:tcPr>
          <w:p>
            <w:pPr>
              <w:pStyle w:val="Compact"/>
              <w:jc w:val="center"/>
            </w:pPr>
            <w:r>
              <w:t xml:space="preserve">Proliferação / instabilidade cromossômica</w:t>
            </w:r>
          </w:p>
        </w:tc>
      </w:tr>
      <w:tr>
        <w:tc>
          <w:tcPr>
            <w:tcW w:w="921" w:type="dxa"/>
          </w:tcPr>
          <w:p>
            <w:pPr>
              <w:pStyle w:val="Compact"/>
              <w:jc w:val="center"/>
            </w:pPr>
            <w:r>
              <w:t xml:space="preserve">8</w:t>
            </w:r>
          </w:p>
        </w:tc>
        <w:tc>
          <w:tcPr>
            <w:tcW w:w="1214" w:type="dxa"/>
          </w:tcPr>
          <w:p>
            <w:pPr>
              <w:pStyle w:val="Compact"/>
              <w:jc w:val="center"/>
            </w:pPr>
            <w:r>
              <w:t xml:space="preserve">MDM2</w:t>
            </w:r>
          </w:p>
        </w:tc>
        <w:tc>
          <w:tcPr>
            <w:tcW w:w="1654" w:type="dxa"/>
          </w:tcPr>
          <w:p>
            <w:pPr>
              <w:pStyle w:val="Compact"/>
              <w:jc w:val="center"/>
            </w:pPr>
            <w:r>
              <w:t xml:space="preserve">-0,1074</w:t>
            </w:r>
          </w:p>
        </w:tc>
        <w:tc>
          <w:tcPr>
            <w:tcW w:w="2094" w:type="dxa"/>
          </w:tcPr>
          <w:p>
            <w:pPr>
              <w:pStyle w:val="Compact"/>
              <w:jc w:val="center"/>
            </w:pPr>
            <w:r>
              <w:t xml:space="preserve">Protetor (-)</w:t>
            </w:r>
          </w:p>
        </w:tc>
        <w:tc>
          <w:tcPr>
            <w:tcW w:w="3187" w:type="dxa"/>
          </w:tcPr>
          <w:p>
            <w:pPr>
              <w:pStyle w:val="Compact"/>
              <w:jc w:val="center"/>
            </w:pPr>
            <w:r>
              <w:t xml:space="preserve">Regulação de p53</w:t>
            </w:r>
          </w:p>
        </w:tc>
      </w:tr>
      <w:tr>
        <w:tc>
          <w:tcPr>
            <w:tcW w:w="921" w:type="dxa"/>
          </w:tcPr>
          <w:p>
            <w:pPr>
              <w:pStyle w:val="Compact"/>
              <w:jc w:val="center"/>
            </w:pPr>
            <w:r>
              <w:t xml:space="preserve">9</w:t>
            </w:r>
          </w:p>
        </w:tc>
        <w:tc>
          <w:tcPr>
            <w:tcW w:w="1214" w:type="dxa"/>
          </w:tcPr>
          <w:p>
            <w:pPr>
              <w:pStyle w:val="Compact"/>
              <w:jc w:val="center"/>
            </w:pPr>
            <w:r>
              <w:t xml:space="preserve">SFRP1</w:t>
            </w:r>
          </w:p>
        </w:tc>
        <w:tc>
          <w:tcPr>
            <w:tcW w:w="1654" w:type="dxa"/>
          </w:tcPr>
          <w:p>
            <w:pPr>
              <w:pStyle w:val="Compact"/>
              <w:jc w:val="center"/>
            </w:pPr>
            <w:r>
              <w:t xml:space="preserve">-0,0907</w:t>
            </w:r>
          </w:p>
        </w:tc>
        <w:tc>
          <w:tcPr>
            <w:tcW w:w="2094" w:type="dxa"/>
          </w:tcPr>
          <w:p>
            <w:pPr>
              <w:pStyle w:val="Compact"/>
              <w:jc w:val="center"/>
            </w:pPr>
            <w:r>
              <w:t xml:space="preserve">Protetor (-)</w:t>
            </w:r>
          </w:p>
        </w:tc>
        <w:tc>
          <w:tcPr>
            <w:tcW w:w="3187" w:type="dxa"/>
          </w:tcPr>
          <w:p>
            <w:pPr>
              <w:pStyle w:val="Compact"/>
              <w:jc w:val="center"/>
            </w:pPr>
            <w:r>
              <w:t xml:space="preserve">Via Wnt / supressor tumoral</w:t>
            </w:r>
          </w:p>
        </w:tc>
      </w:tr>
      <w:tr>
        <w:tc>
          <w:tcPr>
            <w:tcW w:w="921" w:type="dxa"/>
          </w:tcPr>
          <w:p>
            <w:pPr>
              <w:pStyle w:val="Compact"/>
              <w:jc w:val="center"/>
            </w:pPr>
            <w:r>
              <w:t xml:space="preserve">10</w:t>
            </w:r>
          </w:p>
        </w:tc>
        <w:tc>
          <w:tcPr>
            <w:tcW w:w="1214" w:type="dxa"/>
          </w:tcPr>
          <w:p>
            <w:pPr>
              <w:pStyle w:val="Compact"/>
              <w:jc w:val="center"/>
            </w:pPr>
            <w:r>
              <w:t xml:space="preserve">GPR160</w:t>
            </w:r>
          </w:p>
        </w:tc>
        <w:tc>
          <w:tcPr>
            <w:tcW w:w="1654" w:type="dxa"/>
          </w:tcPr>
          <w:p>
            <w:pPr>
              <w:pStyle w:val="Compact"/>
              <w:jc w:val="center"/>
            </w:pPr>
            <w:r>
              <w:t xml:space="preserve">-0,0841</w:t>
            </w:r>
          </w:p>
        </w:tc>
        <w:tc>
          <w:tcPr>
            <w:tcW w:w="2094" w:type="dxa"/>
          </w:tcPr>
          <w:p>
            <w:pPr>
              <w:pStyle w:val="Compact"/>
              <w:jc w:val="center"/>
            </w:pPr>
            <w:r>
              <w:t xml:space="preserve">Protetor (-)</w:t>
            </w:r>
          </w:p>
        </w:tc>
        <w:tc>
          <w:tcPr>
            <w:tcW w:w="3187" w:type="dxa"/>
          </w:tcPr>
          <w:p>
            <w:pPr>
              <w:pStyle w:val="Compact"/>
              <w:jc w:val="center"/>
            </w:pPr>
            <w:r>
              <w:t xml:space="preserve">Receptor acoplado a proteina G</w:t>
            </w:r>
          </w:p>
        </w:tc>
      </w:tr>
      <w:tr>
        <w:tc>
          <w:tcPr>
            <w:tcW w:w="921" w:type="dxa"/>
          </w:tcPr>
          <w:p>
            <w:pPr>
              <w:pStyle w:val="Compact"/>
              <w:jc w:val="center"/>
            </w:pPr>
            <w:r>
              <w:t xml:space="preserve">11</w:t>
            </w:r>
          </w:p>
        </w:tc>
        <w:tc>
          <w:tcPr>
            <w:tcW w:w="1214" w:type="dxa"/>
          </w:tcPr>
          <w:p>
            <w:pPr>
              <w:pStyle w:val="Compact"/>
              <w:jc w:val="center"/>
            </w:pPr>
            <w:r>
              <w:t xml:space="preserve">FOXC1</w:t>
            </w:r>
          </w:p>
        </w:tc>
        <w:tc>
          <w:tcPr>
            <w:tcW w:w="1654" w:type="dxa"/>
          </w:tcPr>
          <w:p>
            <w:pPr>
              <w:pStyle w:val="Compact"/>
              <w:jc w:val="center"/>
            </w:pPr>
            <w:r>
              <w:t xml:space="preserve">+0,0717</w:t>
            </w:r>
          </w:p>
        </w:tc>
        <w:tc>
          <w:tcPr>
            <w:tcW w:w="2094" w:type="dxa"/>
          </w:tcPr>
          <w:p>
            <w:pPr>
              <w:pStyle w:val="Compact"/>
              <w:jc w:val="center"/>
            </w:pPr>
            <w:r>
              <w:t xml:space="preserve">Risco (+)</w:t>
            </w:r>
          </w:p>
        </w:tc>
        <w:tc>
          <w:tcPr>
            <w:tcW w:w="3187" w:type="dxa"/>
          </w:tcPr>
          <w:p>
            <w:pPr>
              <w:pStyle w:val="Compact"/>
              <w:jc w:val="center"/>
            </w:pPr>
            <w:r>
              <w:t xml:space="preserve">Fenótipo basal</w:t>
            </w:r>
          </w:p>
        </w:tc>
      </w:tr>
      <w:tr>
        <w:tc>
          <w:tcPr>
            <w:tcW w:w="921" w:type="dxa"/>
          </w:tcPr>
          <w:p>
            <w:pPr>
              <w:pStyle w:val="Compact"/>
              <w:jc w:val="center"/>
            </w:pPr>
            <w:r>
              <w:t xml:space="preserve">12</w:t>
            </w:r>
          </w:p>
        </w:tc>
        <w:tc>
          <w:tcPr>
            <w:tcW w:w="1214" w:type="dxa"/>
          </w:tcPr>
          <w:p>
            <w:pPr>
              <w:pStyle w:val="Compact"/>
              <w:jc w:val="center"/>
            </w:pPr>
            <w:r>
              <w:t xml:space="preserve">PHGDH</w:t>
            </w:r>
          </w:p>
        </w:tc>
        <w:tc>
          <w:tcPr>
            <w:tcW w:w="1654" w:type="dxa"/>
          </w:tcPr>
          <w:p>
            <w:pPr>
              <w:pStyle w:val="Compact"/>
              <w:jc w:val="center"/>
            </w:pPr>
            <w:r>
              <w:t xml:space="preserve">+0,0620</w:t>
            </w:r>
          </w:p>
        </w:tc>
        <w:tc>
          <w:tcPr>
            <w:tcW w:w="2094" w:type="dxa"/>
          </w:tcPr>
          <w:p>
            <w:pPr>
              <w:pStyle w:val="Compact"/>
              <w:jc w:val="center"/>
            </w:pPr>
            <w:r>
              <w:t xml:space="preserve">Risco (+)</w:t>
            </w:r>
          </w:p>
        </w:tc>
        <w:tc>
          <w:tcPr>
            <w:tcW w:w="3187" w:type="dxa"/>
          </w:tcPr>
          <w:p>
            <w:pPr>
              <w:pStyle w:val="Compact"/>
              <w:jc w:val="center"/>
            </w:pPr>
            <w:r>
              <w:t xml:space="preserve">Metabolismo de serina</w:t>
            </w:r>
          </w:p>
        </w:tc>
      </w:tr>
      <w:tr>
        <w:tc>
          <w:tcPr>
            <w:tcW w:w="921" w:type="dxa"/>
          </w:tcPr>
          <w:p>
            <w:pPr>
              <w:pStyle w:val="Compact"/>
              <w:jc w:val="center"/>
            </w:pPr>
            <w:r>
              <w:t xml:space="preserve">13</w:t>
            </w:r>
          </w:p>
        </w:tc>
        <w:tc>
          <w:tcPr>
            <w:tcW w:w="1214" w:type="dxa"/>
          </w:tcPr>
          <w:p>
            <w:pPr>
              <w:pStyle w:val="Compact"/>
              <w:jc w:val="center"/>
            </w:pPr>
            <w:r>
              <w:t xml:space="preserve">MYC</w:t>
            </w:r>
          </w:p>
        </w:tc>
        <w:tc>
          <w:tcPr>
            <w:tcW w:w="1654" w:type="dxa"/>
          </w:tcPr>
          <w:p>
            <w:pPr>
              <w:pStyle w:val="Compact"/>
              <w:jc w:val="center"/>
            </w:pPr>
            <w:r>
              <w:t xml:space="preserve">-0,0424</w:t>
            </w:r>
          </w:p>
        </w:tc>
        <w:tc>
          <w:tcPr>
            <w:tcW w:w="2094" w:type="dxa"/>
          </w:tcPr>
          <w:p>
            <w:pPr>
              <w:pStyle w:val="Compact"/>
              <w:jc w:val="center"/>
            </w:pPr>
            <w:r>
              <w:t xml:space="preserve">Protetor (-)</w:t>
            </w:r>
          </w:p>
        </w:tc>
        <w:tc>
          <w:tcPr>
            <w:tcW w:w="3187" w:type="dxa"/>
          </w:tcPr>
          <w:p>
            <w:pPr>
              <w:pStyle w:val="Compact"/>
              <w:jc w:val="center"/>
            </w:pPr>
            <w:r>
              <w:t xml:space="preserve">Proliferação / oncogene</w:t>
            </w:r>
          </w:p>
        </w:tc>
      </w:tr>
      <w:tr>
        <w:tc>
          <w:tcPr>
            <w:tcW w:w="921" w:type="dxa"/>
          </w:tcPr>
          <w:p>
            <w:pPr>
              <w:pStyle w:val="Compact"/>
              <w:jc w:val="center"/>
            </w:pPr>
            <w:r>
              <w:t xml:space="preserve">14</w:t>
            </w:r>
          </w:p>
        </w:tc>
        <w:tc>
          <w:tcPr>
            <w:tcW w:w="1214" w:type="dxa"/>
          </w:tcPr>
          <w:p>
            <w:pPr>
              <w:pStyle w:val="Compact"/>
              <w:jc w:val="center"/>
            </w:pPr>
            <w:r>
              <w:t xml:space="preserve">ESR1</w:t>
            </w:r>
          </w:p>
        </w:tc>
        <w:tc>
          <w:tcPr>
            <w:tcW w:w="1654" w:type="dxa"/>
          </w:tcPr>
          <w:p>
            <w:pPr>
              <w:pStyle w:val="Compact"/>
              <w:jc w:val="center"/>
            </w:pPr>
            <w:r>
              <w:t xml:space="preserve">+0,0396</w:t>
            </w:r>
          </w:p>
        </w:tc>
        <w:tc>
          <w:tcPr>
            <w:tcW w:w="2094" w:type="dxa"/>
          </w:tcPr>
          <w:p>
            <w:pPr>
              <w:pStyle w:val="Compact"/>
              <w:jc w:val="center"/>
            </w:pPr>
            <w:r>
              <w:t xml:space="preserve">Risco (+)</w:t>
            </w:r>
          </w:p>
        </w:tc>
        <w:tc>
          <w:tcPr>
            <w:tcW w:w="3187" w:type="dxa"/>
          </w:tcPr>
          <w:p>
            <w:pPr>
              <w:pStyle w:val="Compact"/>
              <w:jc w:val="center"/>
            </w:pPr>
            <w:r>
              <w:t xml:space="preserve">Receptor de estrogênio</w:t>
            </w:r>
          </w:p>
        </w:tc>
      </w:tr>
      <w:tr>
        <w:tc>
          <w:tcPr>
            <w:tcW w:w="921" w:type="dxa"/>
          </w:tcPr>
          <w:p>
            <w:pPr>
              <w:pStyle w:val="Compact"/>
              <w:jc w:val="center"/>
            </w:pPr>
            <w:r>
              <w:t xml:space="preserve">15</w:t>
            </w:r>
          </w:p>
        </w:tc>
        <w:tc>
          <w:tcPr>
            <w:tcW w:w="1214" w:type="dxa"/>
          </w:tcPr>
          <w:p>
            <w:pPr>
              <w:pStyle w:val="Compact"/>
              <w:jc w:val="center"/>
            </w:pPr>
            <w:r>
              <w:t xml:space="preserve">KRT5</w:t>
            </w:r>
          </w:p>
        </w:tc>
        <w:tc>
          <w:tcPr>
            <w:tcW w:w="1654" w:type="dxa"/>
          </w:tcPr>
          <w:p>
            <w:pPr>
              <w:pStyle w:val="Compact"/>
              <w:jc w:val="center"/>
            </w:pPr>
            <w:r>
              <w:t xml:space="preserve">-0,0277</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16</w:t>
            </w:r>
          </w:p>
        </w:tc>
        <w:tc>
          <w:tcPr>
            <w:tcW w:w="1214" w:type="dxa"/>
          </w:tcPr>
          <w:p>
            <w:pPr>
              <w:pStyle w:val="Compact"/>
              <w:jc w:val="center"/>
            </w:pPr>
            <w:r>
              <w:t xml:space="preserve">CXXC5</w:t>
            </w:r>
          </w:p>
        </w:tc>
        <w:tc>
          <w:tcPr>
            <w:tcW w:w="1654" w:type="dxa"/>
          </w:tcPr>
          <w:p>
            <w:pPr>
              <w:pStyle w:val="Compact"/>
              <w:jc w:val="center"/>
            </w:pPr>
            <w:r>
              <w:t xml:space="preserve">+0,0266</w:t>
            </w:r>
          </w:p>
        </w:tc>
        <w:tc>
          <w:tcPr>
            <w:tcW w:w="2094" w:type="dxa"/>
          </w:tcPr>
          <w:p>
            <w:pPr>
              <w:pStyle w:val="Compact"/>
              <w:jc w:val="center"/>
            </w:pPr>
            <w:r>
              <w:t xml:space="preserve">Risco (+)</w:t>
            </w:r>
          </w:p>
        </w:tc>
        <w:tc>
          <w:tcPr>
            <w:tcW w:w="3187" w:type="dxa"/>
          </w:tcPr>
          <w:p>
            <w:pPr>
              <w:pStyle w:val="Compact"/>
              <w:jc w:val="center"/>
            </w:pPr>
            <w:r>
              <w:t xml:space="preserve">Regulação epigenética</w:t>
            </w:r>
          </w:p>
        </w:tc>
      </w:tr>
      <w:tr>
        <w:tc>
          <w:tcPr>
            <w:tcW w:w="921" w:type="dxa"/>
          </w:tcPr>
          <w:p>
            <w:pPr>
              <w:pStyle w:val="Compact"/>
              <w:jc w:val="center"/>
            </w:pPr>
            <w:r>
              <w:t xml:space="preserve">17</w:t>
            </w:r>
          </w:p>
        </w:tc>
        <w:tc>
          <w:tcPr>
            <w:tcW w:w="1214" w:type="dxa"/>
          </w:tcPr>
          <w:p>
            <w:pPr>
              <w:pStyle w:val="Compact"/>
              <w:jc w:val="center"/>
            </w:pPr>
            <w:r>
              <w:t xml:space="preserve">PGR</w:t>
            </w:r>
          </w:p>
        </w:tc>
        <w:tc>
          <w:tcPr>
            <w:tcW w:w="1654" w:type="dxa"/>
          </w:tcPr>
          <w:p>
            <w:pPr>
              <w:pStyle w:val="Compact"/>
              <w:jc w:val="center"/>
            </w:pPr>
            <w:r>
              <w:t xml:space="preserve">-0,0262</w:t>
            </w:r>
          </w:p>
        </w:tc>
        <w:tc>
          <w:tcPr>
            <w:tcW w:w="2094" w:type="dxa"/>
          </w:tcPr>
          <w:p>
            <w:pPr>
              <w:pStyle w:val="Compact"/>
              <w:jc w:val="center"/>
            </w:pPr>
            <w:r>
              <w:t xml:space="preserve">Protetor (-)</w:t>
            </w:r>
          </w:p>
        </w:tc>
        <w:tc>
          <w:tcPr>
            <w:tcW w:w="3187" w:type="dxa"/>
          </w:tcPr>
          <w:p>
            <w:pPr>
              <w:pStyle w:val="Compact"/>
              <w:jc w:val="center"/>
            </w:pPr>
            <w:r>
              <w:t xml:space="preserve">Receptor de progesterona</w:t>
            </w:r>
          </w:p>
        </w:tc>
      </w:tr>
      <w:tr>
        <w:tc>
          <w:tcPr>
            <w:tcW w:w="921" w:type="dxa"/>
          </w:tcPr>
          <w:p>
            <w:pPr>
              <w:pStyle w:val="Compact"/>
              <w:jc w:val="center"/>
            </w:pPr>
            <w:r>
              <w:t xml:space="preserve">18</w:t>
            </w:r>
          </w:p>
        </w:tc>
        <w:tc>
          <w:tcPr>
            <w:tcW w:w="1214" w:type="dxa"/>
          </w:tcPr>
          <w:p>
            <w:pPr>
              <w:pStyle w:val="Compact"/>
              <w:jc w:val="center"/>
            </w:pPr>
            <w:r>
              <w:t xml:space="preserve">KRT17</w:t>
            </w:r>
          </w:p>
        </w:tc>
        <w:tc>
          <w:tcPr>
            <w:tcW w:w="1654" w:type="dxa"/>
          </w:tcPr>
          <w:p>
            <w:pPr>
              <w:pStyle w:val="Compact"/>
              <w:jc w:val="center"/>
            </w:pPr>
            <w:r>
              <w:t xml:space="preserve">-0,0163</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19</w:t>
            </w:r>
          </w:p>
        </w:tc>
        <w:tc>
          <w:tcPr>
            <w:tcW w:w="1214" w:type="dxa"/>
          </w:tcPr>
          <w:p>
            <w:pPr>
              <w:pStyle w:val="Compact"/>
              <w:jc w:val="center"/>
            </w:pPr>
            <w:r>
              <w:t xml:space="preserve">CENPF</w:t>
            </w:r>
          </w:p>
        </w:tc>
        <w:tc>
          <w:tcPr>
            <w:tcW w:w="1654" w:type="dxa"/>
          </w:tcPr>
          <w:p>
            <w:pPr>
              <w:pStyle w:val="Compact"/>
              <w:jc w:val="center"/>
            </w:pPr>
            <w:r>
              <w:t xml:space="preserve">+0,0150</w:t>
            </w:r>
          </w:p>
        </w:tc>
        <w:tc>
          <w:tcPr>
            <w:tcW w:w="2094" w:type="dxa"/>
          </w:tcPr>
          <w:p>
            <w:pPr>
              <w:pStyle w:val="Compact"/>
              <w:jc w:val="center"/>
            </w:pPr>
            <w:r>
              <w:t xml:space="preserve">Risco (+)</w:t>
            </w:r>
          </w:p>
        </w:tc>
        <w:tc>
          <w:tcPr>
            <w:tcW w:w="3187" w:type="dxa"/>
          </w:tcPr>
          <w:p>
            <w:pPr>
              <w:pStyle w:val="Compact"/>
              <w:jc w:val="center"/>
            </w:pPr>
            <w:r>
              <w:t xml:space="preserve">Proliferação / centrometro</w:t>
            </w:r>
          </w:p>
        </w:tc>
      </w:tr>
      <w:tr>
        <w:tc>
          <w:tcPr>
            <w:tcW w:w="921" w:type="dxa"/>
          </w:tcPr>
          <w:p>
            <w:pPr>
              <w:pStyle w:val="Compact"/>
              <w:jc w:val="center"/>
            </w:pPr>
            <w:r>
              <w:t xml:space="preserve">20</w:t>
            </w:r>
          </w:p>
        </w:tc>
        <w:tc>
          <w:tcPr>
            <w:tcW w:w="1214" w:type="dxa"/>
          </w:tcPr>
          <w:p>
            <w:pPr>
              <w:pStyle w:val="Compact"/>
              <w:jc w:val="center"/>
            </w:pPr>
            <w:r>
              <w:t xml:space="preserve">FGFR4</w:t>
            </w:r>
          </w:p>
        </w:tc>
        <w:tc>
          <w:tcPr>
            <w:tcW w:w="1654" w:type="dxa"/>
          </w:tcPr>
          <w:p>
            <w:pPr>
              <w:pStyle w:val="Compact"/>
              <w:jc w:val="center"/>
            </w:pPr>
            <w:r>
              <w:t xml:space="preserve">+0,0110</w:t>
            </w:r>
          </w:p>
        </w:tc>
        <w:tc>
          <w:tcPr>
            <w:tcW w:w="2094" w:type="dxa"/>
          </w:tcPr>
          <w:p>
            <w:pPr>
              <w:pStyle w:val="Compact"/>
              <w:jc w:val="center"/>
            </w:pPr>
            <w:r>
              <w:t xml:space="preserve">Risco (+)</w:t>
            </w:r>
          </w:p>
        </w:tc>
        <w:tc>
          <w:tcPr>
            <w:tcW w:w="3187" w:type="dxa"/>
          </w:tcPr>
          <w:p>
            <w:pPr>
              <w:pStyle w:val="Compact"/>
              <w:jc w:val="center"/>
            </w:pPr>
            <w:r>
              <w:t xml:space="preserve">Receptor de FGF</w:t>
            </w:r>
          </w:p>
        </w:tc>
      </w:tr>
      <w:tr>
        <w:tc>
          <w:tcPr>
            <w:tcW w:w="921" w:type="dxa"/>
          </w:tcPr>
          <w:p>
            <w:pPr>
              <w:pStyle w:val="Compact"/>
              <w:jc w:val="center"/>
            </w:pPr>
            <w:r>
              <w:t xml:space="preserve">21</w:t>
            </w:r>
          </w:p>
        </w:tc>
        <w:tc>
          <w:tcPr>
            <w:tcW w:w="1214" w:type="dxa"/>
          </w:tcPr>
          <w:p>
            <w:pPr>
              <w:pStyle w:val="Compact"/>
              <w:jc w:val="center"/>
            </w:pPr>
            <w:r>
              <w:t xml:space="preserve">BCL2</w:t>
            </w:r>
          </w:p>
        </w:tc>
        <w:tc>
          <w:tcPr>
            <w:tcW w:w="1654" w:type="dxa"/>
          </w:tcPr>
          <w:p>
            <w:pPr>
              <w:pStyle w:val="Compact"/>
              <w:jc w:val="center"/>
            </w:pPr>
            <w:r>
              <w:t xml:space="preserve">-0,0105</w:t>
            </w:r>
          </w:p>
        </w:tc>
        <w:tc>
          <w:tcPr>
            <w:tcW w:w="2094" w:type="dxa"/>
          </w:tcPr>
          <w:p>
            <w:pPr>
              <w:pStyle w:val="Compact"/>
              <w:jc w:val="center"/>
            </w:pPr>
            <w:r>
              <w:t xml:space="preserve">Protetor (-)</w:t>
            </w:r>
          </w:p>
        </w:tc>
        <w:tc>
          <w:tcPr>
            <w:tcW w:w="3187" w:type="dxa"/>
          </w:tcPr>
          <w:p>
            <w:pPr>
              <w:pStyle w:val="Compact"/>
              <w:jc w:val="center"/>
            </w:pPr>
            <w:r>
              <w:t xml:space="preserve">Anti-apoptose / diferenciação luminal</w:t>
            </w:r>
          </w:p>
        </w:tc>
      </w:tr>
      <w:tr>
        <w:tc>
          <w:tcPr>
            <w:tcW w:w="921" w:type="dxa"/>
          </w:tcPr>
          <w:p>
            <w:pPr>
              <w:pStyle w:val="Compact"/>
              <w:jc w:val="center"/>
            </w:pPr>
            <w:r>
              <w:t xml:space="preserve">22</w:t>
            </w:r>
          </w:p>
        </w:tc>
        <w:tc>
          <w:tcPr>
            <w:tcW w:w="1214" w:type="dxa"/>
          </w:tcPr>
          <w:p>
            <w:pPr>
              <w:pStyle w:val="Compact"/>
              <w:jc w:val="center"/>
            </w:pPr>
            <w:r>
              <w:t xml:space="preserve">MLPH</w:t>
            </w:r>
          </w:p>
        </w:tc>
        <w:tc>
          <w:tcPr>
            <w:tcW w:w="1654" w:type="dxa"/>
          </w:tcPr>
          <w:p>
            <w:pPr>
              <w:pStyle w:val="Compact"/>
              <w:jc w:val="center"/>
            </w:pPr>
            <w:r>
              <w:t xml:space="preserve">-0,0099</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23</w:t>
            </w:r>
          </w:p>
        </w:tc>
        <w:tc>
          <w:tcPr>
            <w:tcW w:w="1214" w:type="dxa"/>
          </w:tcPr>
          <w:p>
            <w:pPr>
              <w:pStyle w:val="Compact"/>
              <w:jc w:val="center"/>
            </w:pPr>
            <w:r>
              <w:t xml:space="preserve">ERBB2</w:t>
            </w:r>
          </w:p>
        </w:tc>
        <w:tc>
          <w:tcPr>
            <w:tcW w:w="1654" w:type="dxa"/>
          </w:tcPr>
          <w:p>
            <w:pPr>
              <w:pStyle w:val="Compact"/>
              <w:jc w:val="center"/>
            </w:pPr>
            <w:r>
              <w:t xml:space="preserve">-0,0082</w:t>
            </w:r>
          </w:p>
        </w:tc>
        <w:tc>
          <w:tcPr>
            <w:tcW w:w="2094" w:type="dxa"/>
          </w:tcPr>
          <w:p>
            <w:pPr>
              <w:pStyle w:val="Compact"/>
              <w:jc w:val="center"/>
            </w:pPr>
            <w:r>
              <w:t xml:space="preserve">Protetor (-)</w:t>
            </w:r>
          </w:p>
        </w:tc>
        <w:tc>
          <w:tcPr>
            <w:tcW w:w="3187" w:type="dxa"/>
          </w:tcPr>
          <w:p>
            <w:pPr>
              <w:pStyle w:val="Compact"/>
              <w:jc w:val="center"/>
            </w:pPr>
            <w:r>
              <w:t xml:space="preserve">Receptor HER2</w:t>
            </w:r>
          </w:p>
        </w:tc>
      </w:tr>
      <w:tr>
        <w:tc>
          <w:tcPr>
            <w:tcW w:w="921" w:type="dxa"/>
          </w:tcPr>
          <w:p>
            <w:pPr>
              <w:pStyle w:val="Compact"/>
              <w:jc w:val="center"/>
            </w:pPr>
            <w:r>
              <w:t xml:space="preserve">24</w:t>
            </w:r>
          </w:p>
        </w:tc>
        <w:tc>
          <w:tcPr>
            <w:tcW w:w="1214" w:type="dxa"/>
          </w:tcPr>
          <w:p>
            <w:pPr>
              <w:pStyle w:val="Compact"/>
              <w:jc w:val="center"/>
            </w:pPr>
            <w:r>
              <w:t xml:space="preserve">GRB7</w:t>
            </w:r>
          </w:p>
        </w:tc>
        <w:tc>
          <w:tcPr>
            <w:tcW w:w="1654" w:type="dxa"/>
          </w:tcPr>
          <w:p>
            <w:pPr>
              <w:pStyle w:val="Compact"/>
              <w:jc w:val="center"/>
            </w:pPr>
            <w:r>
              <w:t xml:space="preserve">-0,0053</w:t>
            </w:r>
          </w:p>
        </w:tc>
        <w:tc>
          <w:tcPr>
            <w:tcW w:w="2094" w:type="dxa"/>
          </w:tcPr>
          <w:p>
            <w:pPr>
              <w:pStyle w:val="Compact"/>
              <w:jc w:val="center"/>
            </w:pPr>
            <w:r>
              <w:t xml:space="preserve">Protetor (-)</w:t>
            </w:r>
          </w:p>
        </w:tc>
        <w:tc>
          <w:tcPr>
            <w:tcW w:w="3187" w:type="dxa"/>
          </w:tcPr>
          <w:p>
            <w:pPr>
              <w:pStyle w:val="Compact"/>
              <w:jc w:val="center"/>
            </w:pPr>
            <w:r>
              <w:t xml:space="preserve">Transdução de sinal HER2</w:t>
            </w:r>
          </w:p>
        </w:tc>
      </w:tr>
    </w:tbl>
    <w:bookmarkEnd w:id="100"/>
    <w:p/>
    <w:p>
      <w:r>
        <w:br w:type="page"/>
      </w:r>
    </w:p>
    <w:p>
      <w:pPr>
        <w:pStyle w:val="Compact"/>
        <w:jc w:val="center"/>
      </w:pPr>
      <w:bookmarkStart w:id="104" w:name="fig-weights"/>
      <w:r>
        <w:drawing>
          <wp:inline>
            <wp:extent cx="5687999" cy="4265999"/>
            <wp:effectExtent b="0" l="0" r="0" t="0"/>
            <wp:docPr descr="" title="" id="102" name="Picture"/>
            <a:graphic>
              <a:graphicData uri="http://schemas.openxmlformats.org/drawingml/2006/picture">
                <pic:pic>
                  <pic:nvPicPr>
                    <pic:cNvPr descr="../figures/supp/pt/png/FigS_Weights_CorePAM_Lollipop_PT.png" id="103" name="Picture"/>
                    <pic:cNvPicPr>
                      <a:picLocks noChangeArrowheads="1" noChangeAspect="1"/>
                    </pic:cNvPicPr>
                  </pic:nvPicPr>
                  <pic:blipFill>
                    <a:blip r:embed="rId101"/>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4"/>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8" w:name="fig-bootstrap"/>
      <w:r>
        <w:drawing>
          <wp:inline>
            <wp:extent cx="5687999" cy="6694098"/>
            <wp:effectExtent b="0" l="0" r="0" t="0"/>
            <wp:docPr descr="" title="" id="106" name="Picture"/>
            <a:graphic>
              <a:graphicData uri="http://schemas.openxmlformats.org/drawingml/2006/picture">
                <pic:pic>
                  <pic:nvPicPr>
                    <pic:cNvPr descr="../figures/supp/pt/png/FigS_Bootstrap_GeneFreq_PT.png" id="107" name="Picture"/>
                    <pic:cNvPicPr>
                      <a:picLocks noChangeArrowheads="1" noChangeAspect="1"/>
                    </pic:cNvPicPr>
                  </pic:nvPicPr>
                  <pic:blipFill>
                    <a:blip r:embed="rId105"/>
                    <a:stretch>
                      <a:fillRect/>
                    </a:stretch>
                  </pic:blipFill>
                  <pic:spPr bwMode="auto">
                    <a:xfrm>
                      <a:off x="0" y="0"/>
                      <a:ext cx="5687999" cy="6694098"/>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8"/>
    <w:p>
      <w:r>
        <w:br w:type="page"/>
      </w:r>
    </w:p>
    <w:p>
      <w:pPr>
        <w:pStyle w:val="Compact"/>
        <w:jc w:val="center"/>
      </w:pPr>
      <w:bookmarkStart w:id="112" w:name="fig-dropgene"/>
      <w:r>
        <w:drawing>
          <wp:inline>
            <wp:extent cx="5687999" cy="5687999"/>
            <wp:effectExtent b="0" l="0" r="0" t="0"/>
            <wp:docPr descr="" title="" id="110" name="Picture"/>
            <a:graphic>
              <a:graphicData uri="http://schemas.openxmlformats.org/drawingml/2006/picture">
                <pic:pic>
                  <pic:nvPicPr>
                    <pic:cNvPr descr="../figures/supp/pt/png/FigS_DropGene_Tornado_PT.png" id="111" name="Picture"/>
                    <pic:cNvPicPr>
                      <a:picLocks noChangeArrowheads="1" noChangeAspect="1"/>
                    </pic:cNvPicPr>
                  </pic:nvPicPr>
                  <pic:blipFill>
                    <a:blip r:embed="rId109"/>
                    <a:stretch>
                      <a:fillRect/>
                    </a:stretch>
                  </pic:blipFill>
                  <pic:spPr bwMode="auto">
                    <a:xfrm>
                      <a:off x="0" y="0"/>
                      <a:ext cx="5687999" cy="5687999"/>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2"/>
    <w:bookmarkEnd w:id="113"/>
    <w:bookmarkStart w:id="135" w:name="validação-prognóstica-externa"/>
    <w:p>
      <w:pPr>
        <w:pageBreakBefore/>
        <w:pStyle w:val="Heading2"/>
      </w:pPr>
      <w:r>
        <w:t xml:space="preserve">4.2 Validação prognóstica externa</w:t>
      </w:r>
    </w:p>
    <w:p>
      <w:pPr>
        <w:pStyle w:val="FirstParagraph"/>
      </w:pPr>
      <w:r>
        <w:t xml:space="preserve">O escore CorePAM foi associado a pior sobrevida em todas as coortes externas de validação (</w:t>
      </w:r>
      <w:hyperlink w:anchor="tbl-survival-performance">
        <w:r>
          <w:rPr>
            <w:rStyle w:val="Hyperlink"/>
          </w:rPr>
          <w:t xml:space="preserve">Tabela 6</w:t>
        </w:r>
      </w:hyperlink>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p>
      <w:pPr>
        <w:jc w:val="left"/>
        <w:spacing w:before="200"/>
        <w:pStyle w:val="ImageCaption"/>
      </w:pPr>
      <w:bookmarkStart w:id="114" w:name="tbl-survival-performance"/>
      <w:r>
        <w:t xml:space="preserve">Tabela 6 — Desempenho prognóstico do CorePAM por coorte. Linha SCAN-B é a coorte de treinamento; nas coortes externas, os pesos já estavam congelados.</w:t>
      </w:r>
      <w:r>
        <w:t xml:space="preserve"> </w:t>
      </w:r>
      <w:r>
        <w:rPr>
          <w:i/>
          <w:iCs/>
        </w:rPr>
        <w:t xml:space="preserve">C-index</w:t>
      </w:r>
      <w:r>
        <w:t xml:space="preserve"> </w:t>
      </w:r>
      <w:r>
        <w:t xml:space="preserve">OOF da derivação = 0,670. GSE1456 não tinha covariáveis clínicas suficientes para o ajuste CORE-A.</w:t>
      </w:r>
    </w:p>
    <w:tbl>
      <w:tblPr>
        <w:tblStyle w:val="Table"/>
        <w:tblW w:type="dxa" w:w="9070"/>
        <w:tblLayout w:type="fixed"/>
        <w:tblLook w:firstRow="1" w:lastRow="0" w:firstColumn="0" w:lastColumn="0" w:noHBand="0" w:noVBand="0" w:val="0020"/>
      </w:tblPr>
      <w:tblGrid>
        <w:gridCol w:w="1925"/>
        <w:gridCol w:w="1126"/>
        <w:gridCol w:w="2024"/>
        <w:gridCol w:w="1825"/>
        <w:gridCol w:w="2170"/>
      </w:tblGrid>
      <w:tr>
        <w:trPr>
          <w:tblHeader w:val="on"/>
        </w:trPr>
        <w:tc>
          <w:tcPr>
            <w:tcW w:w="1925" w:type="dxa"/>
          </w:tcPr>
          <w:p>
            <w:pPr>
              <w:pStyle w:val="Compact"/>
              <w:jc w:val="left"/>
              <w:jc w:val="center"/>
            </w:pPr>
            <w:r>
              <w:t xml:space="preserve">Coorte (desfecho)</w:t>
            </w:r>
          </w:p>
        </w:tc>
        <w:tc>
          <w:tcPr>
            <w:tcW w:w="1126" w:type="dxa"/>
          </w:tcPr>
          <w:p>
            <w:pPr>
              <w:pStyle w:val="Compact"/>
              <w:jc w:val="left"/>
              <w:jc w:val="center"/>
            </w:pPr>
            <w:r>
              <w:t xml:space="preserve">N/eventos</w:t>
            </w:r>
          </w:p>
        </w:tc>
        <w:tc>
          <w:tcPr>
            <w:tcW w:w="2024" w:type="dxa"/>
          </w:tcPr>
          <w:p>
            <w:pPr>
              <w:pStyle w:val="Compact"/>
              <w:jc w:val="left"/>
              <w:jc w:val="center"/>
            </w:pPr>
            <w:r>
              <w:t xml:space="preserve">HR bruto</w:t>
            </w:r>
          </w:p>
        </w:tc>
        <w:tc>
          <w:tcPr>
            <w:tcW w:w="1825" w:type="dxa"/>
          </w:tcPr>
          <w:p>
            <w:pPr>
              <w:pStyle w:val="Compact"/>
              <w:jc w:val="left"/>
              <w:jc w:val="center"/>
            </w:pPr>
            <w:r>
              <w:t xml:space="preserve">HR ajustado</w:t>
            </w:r>
          </w:p>
        </w:tc>
        <w:tc>
          <w:tcPr>
            <w:tcW w:w="2170" w:type="dxa"/>
          </w:tcPr>
          <w:p>
            <w:pPr>
              <w:pStyle w:val="Compact"/>
              <w:jc w:val="left"/>
              <w:jc w:val="center"/>
            </w:pPr>
            <w:r>
              <w:rPr>
                <w:i/>
                <w:iCs/>
              </w:rPr>
              <w:t xml:space="preserve">C-index</w:t>
            </w:r>
          </w:p>
        </w:tc>
      </w:tr>
      <w:tr>
        <w:tc>
          <w:tcPr>
            <w:tcW w:w="1925" w:type="dxa"/>
          </w:tcPr>
          <w:p>
            <w:pPr>
              <w:pStyle w:val="Compact"/>
              <w:jc w:val="left"/>
              <w:jc w:val="center"/>
            </w:pPr>
            <w:r>
              <w:t xml:space="preserve">SCAN-B* (OS)</w:t>
            </w:r>
          </w:p>
        </w:tc>
        <w:tc>
          <w:tcPr>
            <w:tcW w:w="1126" w:type="dxa"/>
          </w:tcPr>
          <w:p>
            <w:pPr>
              <w:pStyle w:val="Compact"/>
              <w:jc w:val="left"/>
              <w:jc w:val="center"/>
            </w:pPr>
            <w:r>
              <w:t xml:space="preserve">3.069/322</w:t>
            </w:r>
          </w:p>
        </w:tc>
        <w:tc>
          <w:tcPr>
            <w:tcW w:w="2024" w:type="dxa"/>
          </w:tcPr>
          <w:p>
            <w:pPr>
              <w:pStyle w:val="Compact"/>
              <w:jc w:val="left"/>
              <w:jc w:val="center"/>
            </w:pPr>
            <w:r>
              <w:t xml:space="preserve">1,92 (1,74-2,13); p&lt;0,001</w:t>
            </w:r>
          </w:p>
        </w:tc>
        <w:tc>
          <w:tcPr>
            <w:tcW w:w="1825" w:type="dxa"/>
          </w:tcPr>
          <w:p>
            <w:pPr>
              <w:pStyle w:val="Compact"/>
              <w:jc w:val="left"/>
              <w:jc w:val="center"/>
            </w:pPr>
            <w:r>
              <w:t xml:space="preserve">1,86 (1,64-2,12)</w:t>
            </w:r>
          </w:p>
        </w:tc>
        <w:tc>
          <w:tcPr>
            <w:tcW w:w="2170" w:type="dxa"/>
          </w:tcPr>
          <w:p>
            <w:pPr>
              <w:pStyle w:val="Compact"/>
              <w:jc w:val="left"/>
              <w:jc w:val="center"/>
            </w:pPr>
            <w:r>
              <w:t xml:space="preserve">0,698 (0,668-0,729)</w:t>
            </w:r>
          </w:p>
        </w:tc>
      </w:tr>
      <w:tr>
        <w:tc>
          <w:tcPr>
            <w:tcW w:w="1925" w:type="dxa"/>
          </w:tcPr>
          <w:p>
            <w:pPr>
              <w:pStyle w:val="Compact"/>
              <w:jc w:val="left"/>
              <w:jc w:val="center"/>
            </w:pPr>
            <w:r>
              <w:t xml:space="preserve">TCGA-BRCA (OS)</w:t>
            </w:r>
          </w:p>
        </w:tc>
        <w:tc>
          <w:tcPr>
            <w:tcW w:w="1126" w:type="dxa"/>
          </w:tcPr>
          <w:p>
            <w:pPr>
              <w:pStyle w:val="Compact"/>
              <w:jc w:val="left"/>
              <w:jc w:val="center"/>
            </w:pPr>
            <w:r>
              <w:t xml:space="preserve">1.072/150</w:t>
            </w:r>
          </w:p>
        </w:tc>
        <w:tc>
          <w:tcPr>
            <w:tcW w:w="2024" w:type="dxa"/>
          </w:tcPr>
          <w:p>
            <w:pPr>
              <w:pStyle w:val="Compact"/>
              <w:jc w:val="left"/>
              <w:jc w:val="center"/>
            </w:pPr>
            <w:r>
              <w:t xml:space="preserve">1,20 (1,04-1,40); p=0,016</w:t>
            </w:r>
          </w:p>
        </w:tc>
        <w:tc>
          <w:tcPr>
            <w:tcW w:w="1825" w:type="dxa"/>
          </w:tcPr>
          <w:p>
            <w:pPr>
              <w:pStyle w:val="Compact"/>
              <w:jc w:val="left"/>
              <w:jc w:val="center"/>
            </w:pPr>
            <w:r>
              <w:t xml:space="preserve">1,27 (1,09-1,48)</w:t>
            </w:r>
          </w:p>
        </w:tc>
        <w:tc>
          <w:tcPr>
            <w:tcW w:w="2170" w:type="dxa"/>
          </w:tcPr>
          <w:p>
            <w:pPr>
              <w:pStyle w:val="Compact"/>
              <w:jc w:val="left"/>
              <w:jc w:val="center"/>
            </w:pPr>
            <w:r>
              <w:t xml:space="preserve">0,624 (0,572-0,678)</w:t>
            </w:r>
          </w:p>
        </w:tc>
      </w:tr>
      <w:tr>
        <w:tc>
          <w:tcPr>
            <w:tcW w:w="1925" w:type="dxa"/>
          </w:tcPr>
          <w:p>
            <w:pPr>
              <w:pStyle w:val="Compact"/>
              <w:jc w:val="left"/>
              <w:jc w:val="center"/>
            </w:pPr>
            <w:r>
              <w:t xml:space="preserve">METABRIC (DSS)</w:t>
            </w:r>
          </w:p>
        </w:tc>
        <w:tc>
          <w:tcPr>
            <w:tcW w:w="1126" w:type="dxa"/>
          </w:tcPr>
          <w:p>
            <w:pPr>
              <w:pStyle w:val="Compact"/>
              <w:jc w:val="left"/>
              <w:jc w:val="center"/>
            </w:pPr>
            <w:r>
              <w:t xml:space="preserve">1.978/646</w:t>
            </w:r>
          </w:p>
        </w:tc>
        <w:tc>
          <w:tcPr>
            <w:tcW w:w="2024" w:type="dxa"/>
          </w:tcPr>
          <w:p>
            <w:pPr>
              <w:pStyle w:val="Compact"/>
              <w:jc w:val="left"/>
              <w:jc w:val="center"/>
            </w:pPr>
            <w:r>
              <w:t xml:space="preserve">1,41 (1,31-1,52); p&lt;0,001</w:t>
            </w:r>
          </w:p>
        </w:tc>
        <w:tc>
          <w:tcPr>
            <w:tcW w:w="1825" w:type="dxa"/>
          </w:tcPr>
          <w:p>
            <w:pPr>
              <w:pStyle w:val="Compact"/>
              <w:jc w:val="left"/>
              <w:jc w:val="center"/>
            </w:pPr>
            <w:r>
              <w:t xml:space="preserve">1,36 (1,24-1,48)</w:t>
            </w:r>
          </w:p>
        </w:tc>
        <w:tc>
          <w:tcPr>
            <w:tcW w:w="2170" w:type="dxa"/>
          </w:tcPr>
          <w:p>
            <w:pPr>
              <w:pStyle w:val="Compact"/>
              <w:jc w:val="left"/>
              <w:jc w:val="center"/>
            </w:pPr>
            <w:r>
              <w:t xml:space="preserve">0,638 (0,615-0,659)</w:t>
            </w:r>
          </w:p>
        </w:tc>
      </w:tr>
      <w:tr>
        <w:tc>
          <w:tcPr>
            <w:tcW w:w="1925" w:type="dxa"/>
          </w:tcPr>
          <w:p>
            <w:pPr>
              <w:pStyle w:val="Compact"/>
              <w:jc w:val="left"/>
              <w:jc w:val="center"/>
            </w:pPr>
            <w:r>
              <w:t xml:space="preserve">GSE20685 (OS)</w:t>
            </w:r>
          </w:p>
        </w:tc>
        <w:tc>
          <w:tcPr>
            <w:tcW w:w="1126" w:type="dxa"/>
          </w:tcPr>
          <w:p>
            <w:pPr>
              <w:pStyle w:val="Compact"/>
              <w:jc w:val="left"/>
              <w:jc w:val="center"/>
            </w:pPr>
            <w:r>
              <w:t xml:space="preserve">327/83</w:t>
            </w:r>
          </w:p>
        </w:tc>
        <w:tc>
          <w:tcPr>
            <w:tcW w:w="2024" w:type="dxa"/>
          </w:tcPr>
          <w:p>
            <w:pPr>
              <w:pStyle w:val="Compact"/>
              <w:jc w:val="left"/>
              <w:jc w:val="center"/>
            </w:pPr>
            <w:r>
              <w:t xml:space="preserve">1,40 (1,12-1,75); p=0,003</w:t>
            </w:r>
          </w:p>
        </w:tc>
        <w:tc>
          <w:tcPr>
            <w:tcW w:w="1825" w:type="dxa"/>
          </w:tcPr>
          <w:p>
            <w:pPr>
              <w:pStyle w:val="Compact"/>
              <w:jc w:val="left"/>
              <w:jc w:val="center"/>
            </w:pPr>
            <w:r>
              <w:t xml:space="preserve">1,40 (1,12-1,75)</w:t>
            </w:r>
          </w:p>
        </w:tc>
        <w:tc>
          <w:tcPr>
            <w:tcW w:w="2170" w:type="dxa"/>
          </w:tcPr>
          <w:p>
            <w:pPr>
              <w:pStyle w:val="Compact"/>
              <w:jc w:val="left"/>
              <w:jc w:val="center"/>
            </w:pPr>
            <w:r>
              <w:t xml:space="preserve">0,626 (0,565-0,684)</w:t>
            </w:r>
          </w:p>
        </w:tc>
      </w:tr>
      <w:tr>
        <w:tc>
          <w:tcPr>
            <w:tcW w:w="1925" w:type="dxa"/>
          </w:tcPr>
          <w:p>
            <w:pPr>
              <w:pStyle w:val="Compact"/>
              <w:jc w:val="left"/>
              <w:jc w:val="center"/>
            </w:pPr>
            <w:r>
              <w:t xml:space="preserve">GSE1456** (OS)</w:t>
            </w:r>
          </w:p>
        </w:tc>
        <w:tc>
          <w:tcPr>
            <w:tcW w:w="1126" w:type="dxa"/>
          </w:tcPr>
          <w:p>
            <w:pPr>
              <w:pStyle w:val="Compact"/>
              <w:jc w:val="left"/>
              <w:jc w:val="center"/>
            </w:pPr>
            <w:r>
              <w:t xml:space="preserve">159/40</w:t>
            </w:r>
          </w:p>
        </w:tc>
        <w:tc>
          <w:tcPr>
            <w:tcW w:w="2024" w:type="dxa"/>
          </w:tcPr>
          <w:p>
            <w:pPr>
              <w:pStyle w:val="Compact"/>
              <w:jc w:val="left"/>
              <w:jc w:val="center"/>
            </w:pPr>
            <w:r>
              <w:t xml:space="preserve">1,71 (1,23-2,38); p=0,001</w:t>
            </w:r>
          </w:p>
        </w:tc>
        <w:tc>
          <w:tcPr>
            <w:tcW w:w="1825" w:type="dxa"/>
          </w:tcPr>
          <w:p>
            <w:pPr>
              <w:pStyle w:val="Compact"/>
              <w:jc w:val="left"/>
              <w:jc w:val="center"/>
            </w:pPr>
            <w:r>
              <w:t xml:space="preserve">-</w:t>
            </w:r>
          </w:p>
        </w:tc>
        <w:tc>
          <w:tcPr>
            <w:tcW w:w="2170" w:type="dxa"/>
          </w:tcPr>
          <w:p>
            <w:pPr>
              <w:pStyle w:val="Compact"/>
              <w:jc w:val="left"/>
              <w:jc w:val="center"/>
            </w:pPr>
            <w:r>
              <w:t xml:space="preserve">0,661 (0,582-0,741)</w:t>
            </w:r>
          </w:p>
        </w:tc>
      </w:tr>
    </w:tbl>
    <w:bookmarkEnd w:id="114"/>
    <w:p/>
    <w:p>
      <w:pPr>
        <w:pStyle w:val="BodyText"/>
      </w:pPr>
      <w:r>
        <w:t xml:space="preserve">Em termos clínicos, a</w:t>
      </w:r>
      <w:r>
        <w:t xml:space="preserve"> </w:t>
      </w:r>
      <w:hyperlink w:anchor="tbl-survival-performance">
        <w:r>
          <w:rPr>
            <w:rStyle w:val="Hyperlink"/>
          </w:rPr>
          <w:t xml:space="preserve">Tabela 6</w:t>
        </w:r>
      </w:hyperlink>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p>
      <w:pPr>
        <w:pStyle w:val="Compact"/>
        <w:jc w:val="center"/>
      </w:pPr>
      <w:bookmarkStart w:id="118" w:name="fig-km-multipanel"/>
      <w:r>
        <w:drawing>
          <wp:inline>
            <wp:extent cx="5687999" cy="7583999"/>
            <wp:effectExtent b="0" l="0" r="0" t="0"/>
            <wp:docPr descr="" title="" id="116" name="Picture"/>
            <a:graphic>
              <a:graphicData uri="http://schemas.openxmlformats.org/drawingml/2006/picture">
                <pic:pic>
                  <pic:nvPicPr>
                    <pic:cNvPr descr="../figures/main/pt/png/Fig2_KM_MultiPanel_PT.png" id="117" name="Picture"/>
                    <pic:cNvPicPr>
                      <a:picLocks noChangeArrowheads="1" noChangeAspect="1"/>
                    </pic:cNvPicPr>
                  </pic:nvPicPr>
                  <pic:blipFill>
                    <a:blip r:embed="rId115"/>
                    <a:stretch>
                      <a:fillRect/>
                    </a:stretch>
                  </pic:blipFill>
                  <pic:spPr bwMode="auto">
                    <a:xfrm>
                      <a:off x="0" y="0"/>
                      <a:ext cx="5687999" cy="7583999"/>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múltiplo). Pacientes dicotomizados na mediana intra-coorte do escore CorePAM: grupo alto risco (vermelho) vs baixo risco (azul). Sombreamento: IC 95%. Os HRs dicotomizados variaram de 1,46 (TCGA-BRCA) a 3,56 (SCAN-B), com separação significativa em todas as coortes.</w:t>
      </w:r>
    </w:p>
    <w:bookmarkEnd w:id="118"/>
    <w:p>
      <w:r>
        <w:br w:type="page"/>
      </w:r>
    </w:p>
    <w:p>
      <w:pPr>
        <w:pStyle w:val="Compact"/>
        <w:jc w:val="center"/>
      </w:pPr>
      <w:bookmarkStart w:id="122" w:name="fig-km-scanb"/>
      <w:r>
        <w:drawing>
          <wp:inline>
            <wp:extent cx="5687999" cy="4265999"/>
            <wp:effectExtent b="0" l="0" r="0" t="0"/>
            <wp:docPr descr="" title="" id="120" name="Picture"/>
            <a:graphic>
              <a:graphicData uri="http://schemas.openxmlformats.org/drawingml/2006/picture">
                <pic:pic>
                  <pic:nvPicPr>
                    <pic:cNvPr descr="../figures/main/pt/png/Fig3_KM_SCANB_OS_CorePAM_PT.png" id="121" name="Picture"/>
                    <pic:cNvPicPr>
                      <a:picLocks noChangeArrowheads="1" noChangeAspect="1"/>
                    </pic:cNvPicPr>
                  </pic:nvPicPr>
                  <pic:blipFill>
                    <a:blip r:embed="rId119"/>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2"/>
    <w:p>
      <w:pPr>
        <w:pStyle w:val="BodyText"/>
      </w:pPr>
      <w:r>
        <w:t xml:space="preserve">Na</w:t>
      </w:r>
      <w:r>
        <w:t xml:space="preserve"> </w:t>
      </w:r>
      <w:hyperlink w:anchor="fig-km-scanb">
        <w:r>
          <w:rPr>
            <w:rStyle w:val="Hyperlink"/>
          </w:rPr>
          <w:t xml:space="preserve">Figura 11</w:t>
        </w:r>
      </w:hyperlink>
      <w:r>
        <w:t xml:space="preserve">, a separação é a mais ampla porque SCAN-B é a coorte de derivação e também a maior coorte individual do estudo. O HR dicotomizado de 3,56 mostra que pacientes acima da mediana do CorePAM tiveram risco de morte mais de três vezes maior que pacientes abaixo da mediana. Esse resultado não é apresentado como validação externa, mas como verificação de que o sinal aprendido pelo modelo é clinicamente visível na coorte em que ele foi desenvolvido.</w:t>
      </w:r>
    </w:p>
    <w:p>
      <w:r>
        <w:br w:type="page"/>
      </w:r>
    </w:p>
    <w:p>
      <w:pPr>
        <w:pStyle w:val="Compact"/>
        <w:jc w:val="center"/>
      </w:pPr>
      <w:bookmarkStart w:id="126" w:name="fig-km-tcga"/>
      <w:r>
        <w:drawing>
          <wp:inline>
            <wp:extent cx="5687999" cy="4265999"/>
            <wp:effectExtent b="0" l="0" r="0" t="0"/>
            <wp:docPr descr="" title="" id="124" name="Picture"/>
            <a:graphic>
              <a:graphicData uri="http://schemas.openxmlformats.org/drawingml/2006/picture">
                <pic:pic>
                  <pic:nvPicPr>
                    <pic:cNvPr descr="../figures/main/pt/png/Fig2_KM_TCGA_BRCA_OS_PT.png" id="125" name="Picture"/>
                    <pic:cNvPicPr>
                      <a:picLocks noChangeArrowheads="1" noChangeAspect="1"/>
                    </pic:cNvPicPr>
                  </pic:nvPicPr>
                  <pic:blipFill>
                    <a:blip r:embed="rId123"/>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6"/>
    <w:p>
      <w:pPr>
        <w:pStyle w:val="BodyText"/>
      </w:pPr>
      <w:r>
        <w:t xml:space="preserve">Na</w:t>
      </w:r>
      <w:r>
        <w:t xml:space="preserve"> </w:t>
      </w:r>
      <w:hyperlink w:anchor="fig-km-tcga">
        <w:r>
          <w:rPr>
            <w:rStyle w:val="Hyperlink"/>
          </w:rPr>
          <w:t xml:space="preserve">Figura 12</w:t>
        </w:r>
      </w:hyperlink>
      <w:r>
        <w:t xml:space="preserve">, a separação é mais discreta. Isso é esperado, não contraditório. A TCGA-BRCA tem seguimento mediano curto, menor número de eventos e composição clínica menos voltada a seguimento longitudinal de câncer de mama do que coortes desenhadas para prognóstico. Mesmo assim, a direção do efeito permanece correta e estatisticamente significativa na análise contínua, sustentando a transportabilidade dentro de</w:t>
      </w:r>
      <w:r>
        <w:t xml:space="preserve"> </w:t>
      </w:r>
      <w:r>
        <w:rPr>
          <w:i/>
          <w:iCs/>
        </w:rPr>
        <w:t xml:space="preserve">RNA-seq</w:t>
      </w:r>
      <w:r>
        <w:t xml:space="preserve">.</w:t>
      </w:r>
    </w:p>
    <w:p>
      <w:r>
        <w:br w:type="page"/>
      </w:r>
    </w:p>
    <w:p>
      <w:pPr>
        <w:pStyle w:val="Compact"/>
        <w:jc w:val="center"/>
      </w:pPr>
      <w:bookmarkStart w:id="130" w:name="fig-km-metabric"/>
      <w:r>
        <w:drawing>
          <wp:inline>
            <wp:extent cx="5687999" cy="4265999"/>
            <wp:effectExtent b="0" l="0" r="0" t="0"/>
            <wp:docPr descr="" title="" id="128" name="Picture"/>
            <a:graphic>
              <a:graphicData uri="http://schemas.openxmlformats.org/drawingml/2006/picture">
                <pic:pic>
                  <pic:nvPicPr>
                    <pic:cNvPr descr="../figures/main/pt/png/Fig2_KM_METABRIC_DSS_PT.png" id="129" name="Picture"/>
                    <pic:cNvPicPr>
                      <a:picLocks noChangeArrowheads="1" noChangeAspect="1"/>
                    </pic:cNvPicPr>
                  </pic:nvPicPr>
                  <pic:blipFill>
                    <a:blip r:embed="rId127"/>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30"/>
    <w:p>
      <w:pPr>
        <w:pStyle w:val="BodyText"/>
      </w:pPr>
      <w:r>
        <w:t xml:space="preserve">Na</w:t>
      </w:r>
      <w:r>
        <w:t xml:space="preserve"> </w:t>
      </w:r>
      <w:hyperlink w:anchor="fig-km-metabric">
        <w:r>
          <w:rPr>
            <w:rStyle w:val="Hyperlink"/>
          </w:rPr>
          <w:t xml:space="preserve">Figura 13</w:t>
        </w:r>
      </w:hyperlink>
      <w:r>
        <w:t xml:space="preserve">, a separação se mantém por mais de 200 meses. Essa é uma leitura particularmente relevante para doença RE-positiva, na qual eventos tardios são frequentes. A METABRIC usa sobrevida doença-específica, o que reduz ruído de mortes por outras causas e ajuda a enxergar o componente relacionado ao câncer de mama. Por outro lado, esse desfecho não é idêntico à sobrevida global das demais coortes, razão pela qual a meta-análise também incluiu análise de sensibilidade harmonizada.</w:t>
      </w:r>
    </w:p>
    <w:p>
      <w:r>
        <w:br w:type="page"/>
      </w:r>
    </w:p>
    <w:p>
      <w:pPr>
        <w:pStyle w:val="Compact"/>
        <w:jc w:val="center"/>
      </w:pPr>
      <w:bookmarkStart w:id="134" w:name="fig-km-gse20685"/>
      <w:r>
        <w:drawing>
          <wp:inline>
            <wp:extent cx="5687999" cy="4265999"/>
            <wp:effectExtent b="0" l="0" r="0" t="0"/>
            <wp:docPr descr="" title="" id="132" name="Picture"/>
            <a:graphic>
              <a:graphicData uri="http://schemas.openxmlformats.org/drawingml/2006/picture">
                <pic:pic>
                  <pic:nvPicPr>
                    <pic:cNvPr descr="../figures/main/pt/png/Fig2_KM_GSE20685_OS_PT.png" id="133" name="Picture"/>
                    <pic:cNvPicPr>
                      <a:picLocks noChangeArrowheads="1" noChangeAspect="1"/>
                    </pic:cNvPicPr>
                  </pic:nvPicPr>
                  <pic:blipFill>
                    <a:blip r:embed="rId131"/>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4"/>
    <w:p>
      <w:pPr>
        <w:pStyle w:val="BodyText"/>
      </w:pPr>
      <w:r>
        <w:t xml:space="preserve">Na</w:t>
      </w:r>
      <w:r>
        <w:t xml:space="preserve"> </w:t>
      </w:r>
      <w:hyperlink w:anchor="fig-km-gse20685">
        <w:r>
          <w:rPr>
            <w:rStyle w:val="Hyperlink"/>
          </w:rPr>
          <w:t xml:space="preserve">Figura 14</w:t>
        </w:r>
      </w:hyperlink>
      <w:r>
        <w:t xml:space="preserve">, o achado é relevante porque a coorte é menor, asiática e medida por</w:t>
      </w:r>
      <w:r>
        <w:t xml:space="preserve"> </w:t>
      </w:r>
      <w:r>
        <w:rPr>
          <w:i/>
          <w:iCs/>
        </w:rPr>
        <w:t xml:space="preserve">Affymetrix</w:t>
      </w:r>
      <w:r>
        <w:t xml:space="preserve">. O intervalo de confiança é naturalmente mais amplo, mas a separação das curvas e o HR contínuo de 1,40 mostram que o escore preserva sinal fora das populações predominantemente europeias que compõem SCAN-B e METABRIC.</w:t>
      </w:r>
    </w:p>
    <w:bookmarkEnd w:id="135"/>
    <w:bookmarkStart w:id="141" w:name="meta-análise-de-sobrevida"/>
    <w:p>
      <w:pPr>
        <w:pageBreakBefore/>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6" w:name="tbl-meta-survival"/>
      <w:r>
        <w:t xml:space="preserve">Tabela 7 — Meta-análise de efeitos aleatórios — sobrevida (K = 4)</w:t>
      </w:r>
    </w:p>
    <w:tbl>
      <w:tblPr>
        <w:tblStyle w:val="Table"/>
        <w:tblW w:type="dxa" w:w="9070"/>
        <w:tblLayout w:type="fixed"/>
        <w:tblLook w:firstRow="1" w:lastRow="0" w:firstColumn="0" w:lastColumn="0" w:noHBand="0" w:noVBand="0" w:val="0020"/>
      </w:tblPr>
      <w:tblGrid>
        <w:gridCol w:w="2376"/>
        <w:gridCol w:w="2141"/>
        <w:gridCol w:w="1439"/>
        <w:gridCol w:w="1439"/>
        <w:gridCol w:w="1675"/>
      </w:tblGrid>
      <w:tr>
        <w:trPr>
          <w:tblHeader w:val="on"/>
        </w:trPr>
        <w:tc>
          <w:tcPr>
            <w:tcW w:w="2376" w:type="dxa"/>
          </w:tcPr>
          <w:p>
            <w:pPr>
              <w:pStyle w:val="Compact"/>
              <w:jc w:val="left"/>
              <w:jc w:val="center"/>
            </w:pPr>
            <w:r>
              <w:t xml:space="preserve">Análise</w:t>
            </w:r>
          </w:p>
        </w:tc>
        <w:tc>
          <w:tcPr>
            <w:tcW w:w="2141" w:type="dxa"/>
          </w:tcPr>
          <w:p>
            <w:pPr>
              <w:pStyle w:val="Compact"/>
              <w:jc w:val="left"/>
              <w:jc w:val="center"/>
            </w:pPr>
            <w:r>
              <w:t xml:space="preserve">HR (IC 95%)</w:t>
            </w:r>
          </w:p>
        </w:tc>
        <w:tc>
          <w:tcPr>
            <w:tcW w:w="1439" w:type="dxa"/>
          </w:tcPr>
          <w:p>
            <w:pPr>
              <w:pStyle w:val="Compact"/>
              <w:jc w:val="right"/>
              <w:jc w:val="center"/>
            </w:pPr>
            <w:r>
              <w:t xml:space="preserve">p</w:t>
            </w:r>
          </w:p>
        </w:tc>
        <w:tc>
          <w:tcPr>
            <w:tcW w:w="1439" w:type="dxa"/>
          </w:tcPr>
          <w:p>
            <w:pPr>
              <w:pStyle w:val="Compact"/>
              <w:jc w:val="center"/>
              <w:jc w:val="center"/>
            </w:pPr>
            <w:r>
              <w:t xml:space="preserve">I-quadrado</w:t>
            </w:r>
          </w:p>
        </w:tc>
        <w:tc>
          <w:tcPr>
            <w:tcW w:w="1675" w:type="dxa"/>
          </w:tcPr>
          <w:p>
            <w:pPr>
              <w:pStyle w:val="Compact"/>
              <w:jc w:val="center"/>
              <w:jc w:val="center"/>
            </w:pPr>
            <w:r>
              <w:t xml:space="preserve">tau-quadrado</w:t>
            </w:r>
          </w:p>
        </w:tc>
      </w:tr>
      <w:tr>
        <w:tc>
          <w:tcPr>
            <w:tcW w:w="2376" w:type="dxa"/>
          </w:tcPr>
          <w:p>
            <w:pPr>
              <w:pStyle w:val="Compact"/>
              <w:jc w:val="left"/>
              <w:jc w:val="center"/>
            </w:pPr>
            <w:r>
              <w:t xml:space="preserve">Primária RE (REML)</w:t>
            </w:r>
          </w:p>
        </w:tc>
        <w:tc>
          <w:tcPr>
            <w:tcW w:w="2141" w:type="dxa"/>
          </w:tcPr>
          <w:p>
            <w:pPr>
              <w:pStyle w:val="Compact"/>
              <w:jc w:val="left"/>
              <w:jc w:val="center"/>
            </w:pPr>
            <w:r>
              <w:t xml:space="preserve">1,37 (1,24–1,52)</w:t>
            </w:r>
          </w:p>
        </w:tc>
        <w:tc>
          <w:tcPr>
            <w:tcW w:w="1439" w:type="dxa"/>
          </w:tcPr>
          <w:p>
            <w:pPr>
              <w:pStyle w:val="Compact"/>
              <w:jc w:val="right"/>
              <w:jc w:val="center"/>
            </w:pPr>
            <w:r>
              <w:t xml:space="preserve">1,6 × 10⁻⁹</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Hartung–Knapp</w:t>
            </w:r>
          </w:p>
        </w:tc>
        <w:tc>
          <w:tcPr>
            <w:tcW w:w="2141" w:type="dxa"/>
          </w:tcPr>
          <w:p>
            <w:pPr>
              <w:pStyle w:val="Compact"/>
              <w:jc w:val="left"/>
              <w:jc w:val="center"/>
            </w:pPr>
            <w:r>
              <w:t xml:space="preserve">1,37 (1,15–1,64)</w:t>
            </w:r>
          </w:p>
        </w:tc>
        <w:tc>
          <w:tcPr>
            <w:tcW w:w="1439" w:type="dxa"/>
          </w:tcPr>
          <w:p>
            <w:pPr>
              <w:pStyle w:val="Compact"/>
              <w:jc w:val="right"/>
              <w:jc w:val="center"/>
            </w:pPr>
            <w:r>
              <w:t xml:space="preserve">0,011</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OS-harmonizada</w:t>
            </w:r>
          </w:p>
        </w:tc>
        <w:tc>
          <w:tcPr>
            <w:tcW w:w="2141" w:type="dxa"/>
          </w:tcPr>
          <w:p>
            <w:pPr>
              <w:pStyle w:val="Compact"/>
              <w:jc w:val="left"/>
              <w:jc w:val="center"/>
            </w:pPr>
            <w:r>
              <w:t xml:space="preserve">1,36 (1,13–1,64)</w:t>
            </w:r>
          </w:p>
        </w:tc>
        <w:tc>
          <w:tcPr>
            <w:tcW w:w="1439" w:type="dxa"/>
          </w:tcPr>
          <w:p>
            <w:pPr>
              <w:pStyle w:val="Compact"/>
              <w:jc w:val="right"/>
              <w:jc w:val="center"/>
            </w:pPr>
            <w:r>
              <w:t xml:space="preserve">&lt;0,001</w:t>
            </w:r>
          </w:p>
        </w:tc>
        <w:tc>
          <w:tcPr>
            <w:tcW w:w="1439" w:type="dxa"/>
          </w:tcPr>
          <w:p>
            <w:pPr>
              <w:pStyle w:val="Compact"/>
              <w:jc w:val="center"/>
              <w:jc w:val="center"/>
            </w:pPr>
            <w:r>
              <w:t xml:space="preserve">50,5%</w:t>
            </w:r>
          </w:p>
        </w:tc>
        <w:tc>
          <w:tcPr>
            <w:tcW w:w="1675" w:type="dxa"/>
          </w:tcPr>
          <w:p>
            <w:pPr>
              <w:pStyle w:val="Compact"/>
              <w:jc w:val="center"/>
              <w:jc w:val="center"/>
            </w:pPr>
            <w:r>
              <w:t xml:space="preserve">0,0151</w:t>
            </w:r>
          </w:p>
        </w:tc>
      </w:tr>
    </w:tbl>
    <w:bookmarkEnd w:id="136"/>
    <w:p/>
    <w:bookmarkStart w:id="140" w:name="fig-forest-survival"/>
    <w:p>
      <w:pPr>
        <w:pStyle w:val="Compact"/>
        <w:jc w:val="center"/>
      </w:pPr>
      <w:r>
        <w:drawing>
          <wp:inline>
            <wp:extent cx="5687999" cy="2843999"/>
            <wp:effectExtent b="0" l="0" r="0" t="0"/>
            <wp:docPr descr="" title="" id="138" name="Picture"/>
            <a:graphic>
              <a:graphicData uri="http://schemas.openxmlformats.org/drawingml/2006/picture">
                <pic:pic>
                  <pic:nvPicPr>
                    <pic:cNvPr descr="../figures/main/pt/png/Fig4_Meta_Forest_HR_per1SD_CorePAM_PT.png" id="139" name="Picture"/>
                    <pic:cNvPicPr>
                      <a:picLocks noChangeArrowheads="1" noChangeAspect="1"/>
                    </pic:cNvPicPr>
                  </pic:nvPicPr>
                  <pic:blipFill>
                    <a:blip r:embed="rId137"/>
                    <a:stretch>
                      <a:fillRect/>
                    </a:stretch>
                  </pic:blipFill>
                  <pic:spPr bwMode="auto">
                    <a:xfrm>
                      <a:off x="0" y="0"/>
                      <a:ext cx="5687999" cy="2843999"/>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40"/>
    <w:bookmarkEnd w:id="141"/>
    <w:bookmarkStart w:id="151" w:name="Xc37726a09f9bc8822faf77bb6f0d2c56d4f1721"/>
    <w:p>
      <w:pPr>
        <w:pageBreakBefore/>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2"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9070"/>
        <w:tblLayout w:type="fixed"/>
        <w:tblLook w:firstRow="1" w:lastRow="0" w:firstColumn="0" w:lastColumn="0" w:noHBand="0" w:noVBand="0" w:val="0020"/>
      </w:tblPr>
      <w:tblGrid>
        <w:gridCol w:w="1600"/>
        <w:gridCol w:w="1604"/>
        <w:gridCol w:w="821"/>
        <w:gridCol w:w="2519"/>
        <w:gridCol w:w="2526"/>
      </w:tblGrid>
      <w:tr>
        <w:trPr>
          <w:tblHeader w:val="on"/>
        </w:trPr>
        <w:tc>
          <w:tcPr>
            <w:tcW w:w="1600" w:type="dxa"/>
          </w:tcPr>
          <w:p>
            <w:pPr>
              <w:pStyle w:val="Compact"/>
              <w:jc w:val="left"/>
              <w:jc w:val="center"/>
            </w:pPr>
            <w:r>
              <w:t xml:space="preserve">Coorte</w:t>
            </w:r>
          </w:p>
        </w:tc>
        <w:tc>
          <w:tcPr>
            <w:tcW w:w="1604" w:type="dxa"/>
          </w:tcPr>
          <w:p>
            <w:pPr>
              <w:pStyle w:val="Compact"/>
              <w:jc w:val="left"/>
              <w:jc w:val="center"/>
            </w:pPr>
            <w:r>
              <w:t xml:space="preserve">CORE-A</w:t>
            </w:r>
          </w:p>
        </w:tc>
        <w:tc>
          <w:tcPr>
            <w:tcW w:w="821" w:type="dxa"/>
          </w:tcPr>
          <w:p>
            <w:pPr>
              <w:pStyle w:val="Compact"/>
              <w:jc w:val="right"/>
              <w:jc w:val="center"/>
            </w:pPr>
            <w:r>
              <w:t xml:space="preserve">N</w:t>
            </w:r>
          </w:p>
        </w:tc>
        <w:tc>
          <w:tcPr>
            <w:tcW w:w="2519" w:type="dxa"/>
          </w:tcPr>
          <w:p>
            <w:pPr>
              <w:pStyle w:val="Compact"/>
              <w:jc w:val="center"/>
              <w:jc w:val="center"/>
            </w:pPr>
            <w:r>
              <w:t xml:space="preserve">C sem/com CorePAM</w:t>
            </w:r>
          </w:p>
        </w:tc>
        <w:tc>
          <w:tcPr>
            <w:tcW w:w="2526" w:type="dxa"/>
          </w:tcPr>
          <w:p>
            <w:pPr>
              <w:pStyle w:val="Compact"/>
              <w:jc w:val="left"/>
              <w:jc w:val="center"/>
            </w:pPr>
            <w:r>
              <w:t xml:space="preserve">Ganho Delta-C (IC 95%)</w:t>
            </w:r>
          </w:p>
        </w:tc>
      </w:tr>
      <w:tr>
        <w:tc>
          <w:tcPr>
            <w:tcW w:w="1600" w:type="dxa"/>
          </w:tcPr>
          <w:p>
            <w:pPr>
              <w:pStyle w:val="Compact"/>
              <w:jc w:val="left"/>
              <w:jc w:val="center"/>
            </w:pPr>
            <w:r>
              <w:t xml:space="preserve">SCAN-B</w:t>
            </w:r>
          </w:p>
        </w:tc>
        <w:tc>
          <w:tcPr>
            <w:tcW w:w="1604" w:type="dxa"/>
          </w:tcPr>
          <w:p>
            <w:pPr>
              <w:pStyle w:val="Compact"/>
              <w:jc w:val="left"/>
              <w:jc w:val="center"/>
            </w:pPr>
            <w:r>
              <w:t xml:space="preserve">idade + RE</w:t>
            </w:r>
          </w:p>
        </w:tc>
        <w:tc>
          <w:tcPr>
            <w:tcW w:w="821" w:type="dxa"/>
          </w:tcPr>
          <w:p>
            <w:pPr>
              <w:pStyle w:val="Compact"/>
              <w:jc w:val="right"/>
              <w:jc w:val="center"/>
            </w:pPr>
            <w:r>
              <w:t xml:space="preserve">3069</w:t>
            </w:r>
          </w:p>
        </w:tc>
        <w:tc>
          <w:tcPr>
            <w:tcW w:w="2519" w:type="dxa"/>
          </w:tcPr>
          <w:p>
            <w:pPr>
              <w:pStyle w:val="Compact"/>
              <w:jc w:val="center"/>
              <w:jc w:val="center"/>
            </w:pPr>
            <w:r>
              <w:t xml:space="preserve">0,750 / 0,780</w:t>
            </w:r>
          </w:p>
        </w:tc>
        <w:tc>
          <w:tcPr>
            <w:tcW w:w="2526" w:type="dxa"/>
          </w:tcPr>
          <w:p>
            <w:pPr>
              <w:pStyle w:val="Compact"/>
              <w:jc w:val="left"/>
              <w:jc w:val="center"/>
            </w:pPr>
            <w:r>
              <w:t xml:space="preserve">+0,030 (0,014-0,049)</w:t>
            </w:r>
          </w:p>
        </w:tc>
      </w:tr>
      <w:tr>
        <w:tc>
          <w:tcPr>
            <w:tcW w:w="1600" w:type="dxa"/>
          </w:tcPr>
          <w:p>
            <w:pPr>
              <w:pStyle w:val="Compact"/>
              <w:jc w:val="left"/>
              <w:jc w:val="center"/>
            </w:pPr>
            <w:r>
              <w:t xml:space="preserve">TCGA-BRCA</w:t>
            </w:r>
          </w:p>
        </w:tc>
        <w:tc>
          <w:tcPr>
            <w:tcW w:w="1604" w:type="dxa"/>
          </w:tcPr>
          <w:p>
            <w:pPr>
              <w:pStyle w:val="Compact"/>
              <w:jc w:val="left"/>
              <w:jc w:val="center"/>
            </w:pPr>
            <w:r>
              <w:t xml:space="preserve">idade</w:t>
            </w:r>
          </w:p>
        </w:tc>
        <w:tc>
          <w:tcPr>
            <w:tcW w:w="821" w:type="dxa"/>
          </w:tcPr>
          <w:p>
            <w:pPr>
              <w:pStyle w:val="Compact"/>
              <w:jc w:val="right"/>
              <w:jc w:val="center"/>
            </w:pPr>
            <w:r>
              <w:t xml:space="preserve">1072</w:t>
            </w:r>
          </w:p>
        </w:tc>
        <w:tc>
          <w:tcPr>
            <w:tcW w:w="2519" w:type="dxa"/>
          </w:tcPr>
          <w:p>
            <w:pPr>
              <w:pStyle w:val="Compact"/>
              <w:jc w:val="center"/>
              <w:jc w:val="center"/>
            </w:pPr>
            <w:r>
              <w:t xml:space="preserve">0,638 / 0,676</w:t>
            </w:r>
          </w:p>
        </w:tc>
        <w:tc>
          <w:tcPr>
            <w:tcW w:w="2526" w:type="dxa"/>
          </w:tcPr>
          <w:p>
            <w:pPr>
              <w:pStyle w:val="Compact"/>
              <w:jc w:val="left"/>
              <w:jc w:val="center"/>
            </w:pPr>
            <w:r>
              <w:t xml:space="preserve">+0,038 (0,011-0,086)</w:t>
            </w:r>
          </w:p>
        </w:tc>
      </w:tr>
      <w:tr>
        <w:tc>
          <w:tcPr>
            <w:tcW w:w="1600" w:type="dxa"/>
          </w:tcPr>
          <w:p>
            <w:pPr>
              <w:pStyle w:val="Compact"/>
              <w:jc w:val="left"/>
              <w:jc w:val="center"/>
            </w:pPr>
            <w:r>
              <w:t xml:space="preserve">METABRIC</w:t>
            </w:r>
          </w:p>
        </w:tc>
        <w:tc>
          <w:tcPr>
            <w:tcW w:w="1604" w:type="dxa"/>
          </w:tcPr>
          <w:p>
            <w:pPr>
              <w:pStyle w:val="Compact"/>
              <w:jc w:val="left"/>
              <w:jc w:val="center"/>
            </w:pPr>
            <w:r>
              <w:t xml:space="preserve">idade + RE</w:t>
            </w:r>
          </w:p>
        </w:tc>
        <w:tc>
          <w:tcPr>
            <w:tcW w:w="821" w:type="dxa"/>
          </w:tcPr>
          <w:p>
            <w:pPr>
              <w:pStyle w:val="Compact"/>
              <w:jc w:val="right"/>
              <w:jc w:val="center"/>
            </w:pPr>
            <w:r>
              <w:t xml:space="preserve">1978</w:t>
            </w:r>
          </w:p>
        </w:tc>
        <w:tc>
          <w:tcPr>
            <w:tcW w:w="2519" w:type="dxa"/>
          </w:tcPr>
          <w:p>
            <w:pPr>
              <w:pStyle w:val="Compact"/>
              <w:jc w:val="center"/>
              <w:jc w:val="center"/>
            </w:pPr>
            <w:r>
              <w:t xml:space="preserve">0,603 / 0,646</w:t>
            </w:r>
          </w:p>
        </w:tc>
        <w:tc>
          <w:tcPr>
            <w:tcW w:w="2526" w:type="dxa"/>
          </w:tcPr>
          <w:p>
            <w:pPr>
              <w:pStyle w:val="Compact"/>
              <w:jc w:val="left"/>
              <w:jc w:val="center"/>
            </w:pPr>
            <w:r>
              <w:t xml:space="preserve">+0,043 (0,025-0,066)</w:t>
            </w:r>
          </w:p>
        </w:tc>
      </w:tr>
      <w:tr>
        <w:tc>
          <w:tcPr>
            <w:tcW w:w="1600" w:type="dxa"/>
          </w:tcPr>
          <w:p>
            <w:pPr>
              <w:pStyle w:val="Compact"/>
              <w:jc w:val="left"/>
              <w:jc w:val="center"/>
            </w:pPr>
            <w:r>
              <w:t xml:space="preserve">GSE20685</w:t>
            </w:r>
          </w:p>
        </w:tc>
        <w:tc>
          <w:tcPr>
            <w:tcW w:w="1604" w:type="dxa"/>
          </w:tcPr>
          <w:p>
            <w:pPr>
              <w:pStyle w:val="Compact"/>
              <w:jc w:val="left"/>
              <w:jc w:val="center"/>
            </w:pPr>
            <w:r>
              <w:t xml:space="preserve">idade</w:t>
            </w:r>
          </w:p>
        </w:tc>
        <w:tc>
          <w:tcPr>
            <w:tcW w:w="821" w:type="dxa"/>
          </w:tcPr>
          <w:p>
            <w:pPr>
              <w:pStyle w:val="Compact"/>
              <w:jc w:val="right"/>
              <w:jc w:val="center"/>
            </w:pPr>
            <w:r>
              <w:t xml:space="preserve">327</w:t>
            </w:r>
          </w:p>
        </w:tc>
        <w:tc>
          <w:tcPr>
            <w:tcW w:w="2519" w:type="dxa"/>
          </w:tcPr>
          <w:p>
            <w:pPr>
              <w:pStyle w:val="Compact"/>
              <w:jc w:val="center"/>
              <w:jc w:val="center"/>
            </w:pPr>
            <w:r>
              <w:t xml:space="preserve">0,536 / 0,630</w:t>
            </w:r>
          </w:p>
        </w:tc>
        <w:tc>
          <w:tcPr>
            <w:tcW w:w="2526" w:type="dxa"/>
          </w:tcPr>
          <w:p>
            <w:pPr>
              <w:pStyle w:val="Compact"/>
              <w:jc w:val="left"/>
              <w:jc w:val="center"/>
            </w:pPr>
            <w:r>
              <w:t xml:space="preserve">+0,094 (0,021-0,175)</w:t>
            </w:r>
          </w:p>
        </w:tc>
      </w:tr>
    </w:tbl>
    <w:bookmarkEnd w:id="142"/>
    <w:p/>
    <w:bookmarkStart w:id="146" w:name="fig-delta-c"/>
    <w:p>
      <w:pPr>
        <w:pStyle w:val="Compact"/>
        <w:jc w:val="center"/>
      </w:pPr>
      <w:r>
        <w:drawing>
          <wp:inline>
            <wp:extent cx="5687999" cy="3554999"/>
            <wp:effectExtent b="0" l="0" r="0" t="0"/>
            <wp:docPr descr="" title="" id="144" name="Picture"/>
            <a:graphic>
              <a:graphicData uri="http://schemas.openxmlformats.org/drawingml/2006/picture">
                <pic:pic>
                  <pic:nvPicPr>
                    <pic:cNvPr descr="../figures/main/pt/png/Fig5_DeltaCindex_COREA_vs_COREAplus_CorePAM_PT.png" id="145" name="Picture"/>
                    <pic:cNvPicPr>
                      <a:picLocks noChangeArrowheads="1" noChangeAspect="1"/>
                    </pic:cNvPicPr>
                  </pic:nvPicPr>
                  <pic:blipFill>
                    <a:blip r:embed="rId143"/>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6"/>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hyperlink w:anchor="fig-calibration">
        <w:r>
          <w:rPr>
            <w:rStyle w:val="Hyperlink"/>
          </w:rPr>
          <w:t xml:space="preserve">Figura 17</w:t>
        </w:r>
      </w:hyperlink>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p>
      <w:pPr>
        <w:pStyle w:val="Compact"/>
        <w:jc w:val="center"/>
      </w:pPr>
      <w:bookmarkStart w:id="150" w:name="fig-calibration"/>
      <w:r>
        <w:drawing>
          <wp:inline>
            <wp:extent cx="5687999" cy="3412799"/>
            <wp:effectExtent b="0" l="0" r="0" t="0"/>
            <wp:docPr descr="" title="" id="148" name="Picture"/>
            <a:graphic>
              <a:graphicData uri="http://schemas.openxmlformats.org/drawingml/2006/picture">
                <pic:pic>
                  <pic:nvPicPr>
                    <pic:cNvPr descr="../figures/main/pt/png/Fig5_Calibration_60m_Panels_CorePAM_PT.png" id="149" name="Picture"/>
                    <pic:cNvPicPr>
                      <a:picLocks noChangeArrowheads="1" noChangeAspect="1"/>
                    </pic:cNvPicPr>
                  </pic:nvPicPr>
                  <pic:blipFill>
                    <a:blip r:embed="rId147"/>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0"/>
    <w:bookmarkEnd w:id="151"/>
    <w:bookmarkStart w:id="154" w:name="X1817a4fc7f9706a60fbc04f7a53f8ec6077e0e8"/>
    <w:p>
      <w:pPr>
        <w:pageBreakBefore/>
        <w:pStyle w:val="Heading2"/>
      </w:pPr>
      <w:r>
        <w:t xml:space="preserve">4.5 Independência do estadiamento clínico-patológico</w:t>
      </w:r>
    </w:p>
    <w:p>
      <w:pPr>
        <w:jc w:val="left"/>
        <w:spacing w:before="200"/>
        <w:pStyle w:val="ImageCaption"/>
      </w:pPr>
      <w:bookmarkStart w:id="152" w:name="tbl-expanded-model"/>
      <w:r>
        <w:t xml:space="preserve">Tabela 9 — Modelo clínico expandido com estadiamento anatômico</w:t>
      </w:r>
    </w:p>
    <w:tbl>
      <w:tblPr>
        <w:tblStyle w:val="Table"/>
        <w:tblW w:type="dxa" w:w="9070"/>
        <w:tblLayout w:type="fixed"/>
        <w:tblLook w:firstRow="1" w:lastRow="0" w:firstColumn="0" w:lastColumn="0" w:noHBand="0" w:noVBand="0" w:val="0020"/>
      </w:tblPr>
      <w:tblGrid>
        <w:gridCol w:w="1600"/>
        <w:gridCol w:w="657"/>
        <w:gridCol w:w="1701"/>
        <w:gridCol w:w="2121"/>
        <w:gridCol w:w="2017"/>
        <w:gridCol w:w="974"/>
      </w:tblGrid>
      <w:tr>
        <w:trPr>
          <w:tblHeader w:val="on"/>
        </w:trPr>
        <w:tc>
          <w:tcPr>
            <w:tcW w:w="1600" w:type="dxa"/>
          </w:tcPr>
          <w:p>
            <w:pPr>
              <w:pStyle w:val="Compact"/>
              <w:jc w:val="left"/>
              <w:jc w:val="center"/>
            </w:pPr>
            <w:r>
              <w:t xml:space="preserve">Coorte</w:t>
            </w:r>
          </w:p>
        </w:tc>
        <w:tc>
          <w:tcPr>
            <w:tcW w:w="657" w:type="dxa"/>
          </w:tcPr>
          <w:p>
            <w:pPr>
              <w:pStyle w:val="Compact"/>
              <w:jc w:val="right"/>
              <w:jc w:val="center"/>
            </w:pPr>
            <w:r>
              <w:t xml:space="preserve">N</w:t>
            </w:r>
          </w:p>
        </w:tc>
        <w:tc>
          <w:tcPr>
            <w:tcW w:w="1701" w:type="dxa"/>
          </w:tcPr>
          <w:p>
            <w:pPr>
              <w:pStyle w:val="Compact"/>
              <w:jc w:val="left"/>
              <w:jc w:val="center"/>
            </w:pPr>
            <w:r>
              <w:t xml:space="preserve">Ajuste clínico</w:t>
            </w:r>
          </w:p>
        </w:tc>
        <w:tc>
          <w:tcPr>
            <w:tcW w:w="2121" w:type="dxa"/>
          </w:tcPr>
          <w:p>
            <w:pPr>
              <w:pStyle w:val="Compact"/>
              <w:jc w:val="left"/>
              <w:jc w:val="center"/>
            </w:pPr>
            <w:r>
              <w:t xml:space="preserve">HR CorePAM ajustado</w:t>
            </w:r>
          </w:p>
        </w:tc>
        <w:tc>
          <w:tcPr>
            <w:tcW w:w="2017" w:type="dxa"/>
          </w:tcPr>
          <w:p>
            <w:pPr>
              <w:pStyle w:val="Compact"/>
              <w:jc w:val="center"/>
              <w:jc w:val="center"/>
            </w:pPr>
            <w:r>
              <w:t xml:space="preserve">C sem/com CorePAM</w:t>
            </w:r>
          </w:p>
        </w:tc>
        <w:tc>
          <w:tcPr>
            <w:tcW w:w="974" w:type="dxa"/>
          </w:tcPr>
          <w:p>
            <w:pPr>
              <w:pStyle w:val="Compact"/>
              <w:jc w:val="center"/>
              <w:jc w:val="center"/>
            </w:pPr>
            <w:r>
              <w:t xml:space="preserve">Delta-C</w:t>
            </w:r>
          </w:p>
        </w:tc>
      </w:tr>
      <w:tr>
        <w:tc>
          <w:tcPr>
            <w:tcW w:w="1600" w:type="dxa"/>
          </w:tcPr>
          <w:p>
            <w:pPr>
              <w:pStyle w:val="Compact"/>
              <w:jc w:val="left"/>
              <w:jc w:val="center"/>
            </w:pPr>
            <w:r>
              <w:t xml:space="preserve">SCAN-B</w:t>
            </w:r>
          </w:p>
        </w:tc>
        <w:tc>
          <w:tcPr>
            <w:tcW w:w="657" w:type="dxa"/>
          </w:tcPr>
          <w:p>
            <w:pPr>
              <w:pStyle w:val="Compact"/>
              <w:jc w:val="right"/>
              <w:jc w:val="center"/>
            </w:pPr>
            <w:r>
              <w:t xml:space="preserve">2948</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1,79 (1,57-2,05); p &lt; 0,001</w:t>
            </w:r>
          </w:p>
        </w:tc>
        <w:tc>
          <w:tcPr>
            <w:tcW w:w="2017" w:type="dxa"/>
          </w:tcPr>
          <w:p>
            <w:pPr>
              <w:pStyle w:val="Compact"/>
              <w:jc w:val="center"/>
              <w:jc w:val="center"/>
            </w:pPr>
            <w:r>
              <w:t xml:space="preserve">0,766 / 0,788</w:t>
            </w:r>
          </w:p>
        </w:tc>
        <w:tc>
          <w:tcPr>
            <w:tcW w:w="974" w:type="dxa"/>
          </w:tcPr>
          <w:p>
            <w:pPr>
              <w:pStyle w:val="Compact"/>
              <w:jc w:val="center"/>
              <w:jc w:val="center"/>
            </w:pPr>
            <w:r>
              <w:t xml:space="preserve">+0,022</w:t>
            </w:r>
          </w:p>
        </w:tc>
      </w:tr>
      <w:tr>
        <w:tc>
          <w:tcPr>
            <w:tcW w:w="1600" w:type="dxa"/>
          </w:tcPr>
          <w:p>
            <w:pPr>
              <w:pStyle w:val="Compact"/>
              <w:jc w:val="left"/>
              <w:jc w:val="center"/>
            </w:pPr>
            <w:r>
              <w:t xml:space="preserve">TCGA-BRCA</w:t>
            </w:r>
          </w:p>
        </w:tc>
        <w:tc>
          <w:tcPr>
            <w:tcW w:w="657" w:type="dxa"/>
          </w:tcPr>
          <w:p>
            <w:pPr>
              <w:pStyle w:val="Compact"/>
              <w:jc w:val="right"/>
              <w:jc w:val="center"/>
            </w:pPr>
            <w:r>
              <w:t xml:space="preserve">1054</w:t>
            </w:r>
          </w:p>
        </w:tc>
        <w:tc>
          <w:tcPr>
            <w:tcW w:w="1701" w:type="dxa"/>
          </w:tcPr>
          <w:p>
            <w:pPr>
              <w:pStyle w:val="Compact"/>
              <w:jc w:val="left"/>
              <w:jc w:val="center"/>
            </w:pPr>
            <w:r>
              <w:t xml:space="preserve">idade + T + N</w:t>
            </w:r>
          </w:p>
        </w:tc>
        <w:tc>
          <w:tcPr>
            <w:tcW w:w="2121" w:type="dxa"/>
          </w:tcPr>
          <w:p>
            <w:pPr>
              <w:pStyle w:val="Compact"/>
              <w:jc w:val="left"/>
              <w:jc w:val="center"/>
            </w:pPr>
            <w:r>
              <w:t xml:space="preserve">1,35 (1,15-1,58); p &lt; 0,001</w:t>
            </w:r>
          </w:p>
        </w:tc>
        <w:tc>
          <w:tcPr>
            <w:tcW w:w="2017" w:type="dxa"/>
          </w:tcPr>
          <w:p>
            <w:pPr>
              <w:pStyle w:val="Compact"/>
              <w:jc w:val="center"/>
              <w:jc w:val="center"/>
            </w:pPr>
            <w:r>
              <w:t xml:space="preserve">0,719 / 0,746</w:t>
            </w:r>
          </w:p>
        </w:tc>
        <w:tc>
          <w:tcPr>
            <w:tcW w:w="974" w:type="dxa"/>
          </w:tcPr>
          <w:p>
            <w:pPr>
              <w:pStyle w:val="Compact"/>
              <w:jc w:val="center"/>
              <w:jc w:val="center"/>
            </w:pPr>
            <w:r>
              <w:t xml:space="preserve">+0,027</w:t>
            </w:r>
          </w:p>
        </w:tc>
      </w:tr>
      <w:tr>
        <w:tc>
          <w:tcPr>
            <w:tcW w:w="1600" w:type="dxa"/>
          </w:tcPr>
          <w:p>
            <w:pPr>
              <w:pStyle w:val="Compact"/>
              <w:jc w:val="left"/>
              <w:jc w:val="center"/>
            </w:pPr>
            <w:r>
              <w:t xml:space="preserve">METABRIC</w:t>
            </w:r>
          </w:p>
        </w:tc>
        <w:tc>
          <w:tcPr>
            <w:tcW w:w="657" w:type="dxa"/>
          </w:tcPr>
          <w:p>
            <w:pPr>
              <w:pStyle w:val="Compact"/>
              <w:jc w:val="right"/>
              <w:jc w:val="center"/>
            </w:pPr>
            <w:r>
              <w:t xml:space="preserve">1883</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1,34 (1,23-1,46); p &lt; 0,001</w:t>
            </w:r>
          </w:p>
        </w:tc>
        <w:tc>
          <w:tcPr>
            <w:tcW w:w="2017" w:type="dxa"/>
          </w:tcPr>
          <w:p>
            <w:pPr>
              <w:pStyle w:val="Compact"/>
              <w:jc w:val="center"/>
              <w:jc w:val="center"/>
            </w:pPr>
            <w:r>
              <w:t xml:space="preserve">0,663 / 0,688</w:t>
            </w:r>
          </w:p>
        </w:tc>
        <w:tc>
          <w:tcPr>
            <w:tcW w:w="974" w:type="dxa"/>
          </w:tcPr>
          <w:p>
            <w:pPr>
              <w:pStyle w:val="Compact"/>
              <w:jc w:val="center"/>
              <w:jc w:val="center"/>
            </w:pPr>
            <w:r>
              <w:t xml:space="preserve">+0,026</w:t>
            </w:r>
          </w:p>
        </w:tc>
      </w:tr>
      <w:tr>
        <w:tc>
          <w:tcPr>
            <w:tcW w:w="1600" w:type="dxa"/>
          </w:tcPr>
          <w:p>
            <w:pPr>
              <w:pStyle w:val="Compact"/>
              <w:jc w:val="left"/>
              <w:jc w:val="center"/>
            </w:pPr>
            <w:r>
              <w:t xml:space="preserve">GSE20685</w:t>
            </w:r>
          </w:p>
        </w:tc>
        <w:tc>
          <w:tcPr>
            <w:tcW w:w="657" w:type="dxa"/>
          </w:tcPr>
          <w:p>
            <w:pPr>
              <w:pStyle w:val="Compact"/>
              <w:jc w:val="right"/>
              <w:jc w:val="center"/>
            </w:pPr>
            <w:r>
              <w:t xml:space="preserve">327</w:t>
            </w:r>
          </w:p>
        </w:tc>
        <w:tc>
          <w:tcPr>
            <w:tcW w:w="1701" w:type="dxa"/>
          </w:tcPr>
          <w:p>
            <w:pPr>
              <w:pStyle w:val="Compact"/>
              <w:jc w:val="left"/>
              <w:jc w:val="center"/>
            </w:pPr>
            <w:r>
              <w:t xml:space="preserve">idade + T + N</w:t>
            </w:r>
          </w:p>
        </w:tc>
        <w:tc>
          <w:tcPr>
            <w:tcW w:w="2121" w:type="dxa"/>
          </w:tcPr>
          <w:p>
            <w:pPr>
              <w:pStyle w:val="Compact"/>
              <w:jc w:val="left"/>
              <w:jc w:val="center"/>
            </w:pPr>
            <w:r>
              <w:t xml:space="preserve">1,45 (1,15-1,84); p = 0,002</w:t>
            </w:r>
          </w:p>
        </w:tc>
        <w:tc>
          <w:tcPr>
            <w:tcW w:w="2017" w:type="dxa"/>
          </w:tcPr>
          <w:p>
            <w:pPr>
              <w:pStyle w:val="Compact"/>
              <w:jc w:val="center"/>
              <w:jc w:val="center"/>
            </w:pPr>
            <w:r>
              <w:t xml:space="preserve">0,697 / 0,724</w:t>
            </w:r>
          </w:p>
        </w:tc>
        <w:tc>
          <w:tcPr>
            <w:tcW w:w="974" w:type="dxa"/>
          </w:tcPr>
          <w:p>
            <w:pPr>
              <w:pStyle w:val="Compact"/>
              <w:jc w:val="center"/>
              <w:jc w:val="center"/>
            </w:pPr>
            <w:r>
              <w:t xml:space="preserve">+0,026</w:t>
            </w:r>
          </w:p>
        </w:tc>
      </w:tr>
    </w:tbl>
    <w:bookmarkEnd w:id="152"/>
    <w:p/>
    <w:p>
      <w:pPr>
        <w:pStyle w:val="BodyText"/>
      </w:pPr>
      <w:r>
        <w:t xml:space="preserve"> </w:t>
      </w:r>
    </w:p>
    <w:p>
      <w:pPr>
        <w:jc w:val="left"/>
        <w:spacing w:before="200"/>
        <w:pStyle w:val="ImageCaption"/>
      </w:pPr>
      <w:bookmarkStart w:id="153" w:name="tbl-full-model"/>
      <w:r>
        <w:t xml:space="preserve">Tabela 10 — Modelo clínico completo (6 variáveis) com e sem CorePAM</w:t>
      </w:r>
    </w:p>
    <w:tbl>
      <w:tblPr>
        <w:tblStyle w:val="Table"/>
        <w:tblW w:type="dxa" w:w="9070"/>
        <w:tblLayout w:type="fixed"/>
        <w:tblLook w:firstRow="1" w:lastRow="0" w:firstColumn="0" w:lastColumn="0" w:noHBand="0" w:noVBand="0" w:val="0020"/>
      </w:tblPr>
      <w:tblGrid>
        <w:gridCol w:w="1728"/>
        <w:gridCol w:w="728"/>
        <w:gridCol w:w="650"/>
        <w:gridCol w:w="2028"/>
        <w:gridCol w:w="1928"/>
        <w:gridCol w:w="2008"/>
      </w:tblGrid>
      <w:tr>
        <w:trPr>
          <w:tblHeader w:val="on"/>
        </w:trPr>
        <w:tc>
          <w:tcPr>
            <w:tcW w:w="1728" w:type="dxa"/>
          </w:tcPr>
          <w:p>
            <w:pPr>
              <w:pStyle w:val="Compact"/>
              <w:jc w:val="left"/>
              <w:jc w:val="center"/>
            </w:pPr>
            <w:r>
              <w:t xml:space="preserve">Coorte/desfecho</w:t>
            </w:r>
          </w:p>
        </w:tc>
        <w:tc>
          <w:tcPr>
            <w:tcW w:w="728" w:type="dxa"/>
          </w:tcPr>
          <w:p>
            <w:pPr>
              <w:pStyle w:val="Compact"/>
              <w:jc w:val="left"/>
              <w:jc w:val="center"/>
            </w:pPr>
            <w:r>
              <w:t xml:space="preserve">Tipo</w:t>
            </w:r>
          </w:p>
        </w:tc>
        <w:tc>
          <w:tcPr>
            <w:tcW w:w="650" w:type="dxa"/>
          </w:tcPr>
          <w:p>
            <w:pPr>
              <w:pStyle w:val="Compact"/>
              <w:jc w:val="right"/>
              <w:jc w:val="center"/>
            </w:pPr>
            <w:r>
              <w:t xml:space="preserve">N</w:t>
            </w:r>
          </w:p>
        </w:tc>
        <w:tc>
          <w:tcPr>
            <w:tcW w:w="2028" w:type="dxa"/>
          </w:tcPr>
          <w:p>
            <w:pPr>
              <w:pStyle w:val="Compact"/>
              <w:jc w:val="left"/>
              <w:jc w:val="center"/>
            </w:pPr>
            <w:r>
              <w:t xml:space="preserve">HR ajustado CorePAM</w:t>
            </w:r>
          </w:p>
        </w:tc>
        <w:tc>
          <w:tcPr>
            <w:tcW w:w="1928" w:type="dxa"/>
          </w:tcPr>
          <w:p>
            <w:pPr>
              <w:pStyle w:val="Compact"/>
              <w:jc w:val="center"/>
              <w:jc w:val="center"/>
            </w:pPr>
            <w:r>
              <w:t xml:space="preserve">C sem/com CorePAM</w:t>
            </w:r>
          </w:p>
        </w:tc>
        <w:tc>
          <w:tcPr>
            <w:tcW w:w="2008" w:type="dxa"/>
          </w:tcPr>
          <w:p>
            <w:pPr>
              <w:pStyle w:val="Compact"/>
              <w:jc w:val="left"/>
              <w:jc w:val="center"/>
            </w:pPr>
            <w:r>
              <w:t xml:space="preserve">Delta-C; LRT p</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Todos</w:t>
            </w:r>
          </w:p>
        </w:tc>
        <w:tc>
          <w:tcPr>
            <w:tcW w:w="650" w:type="dxa"/>
          </w:tcPr>
          <w:p>
            <w:pPr>
              <w:pStyle w:val="Compact"/>
              <w:jc w:val="right"/>
              <w:jc w:val="center"/>
            </w:pPr>
            <w:r>
              <w:t xml:space="preserve">2649</w:t>
            </w:r>
          </w:p>
        </w:tc>
        <w:tc>
          <w:tcPr>
            <w:tcW w:w="2028" w:type="dxa"/>
          </w:tcPr>
          <w:p>
            <w:pPr>
              <w:pStyle w:val="Compact"/>
              <w:jc w:val="left"/>
              <w:jc w:val="center"/>
            </w:pPr>
            <w:r>
              <w:t xml:space="preserve">1,75 (1,51-2,03)</w:t>
            </w:r>
          </w:p>
        </w:tc>
        <w:tc>
          <w:tcPr>
            <w:tcW w:w="1928" w:type="dxa"/>
          </w:tcPr>
          <w:p>
            <w:pPr>
              <w:pStyle w:val="Compact"/>
              <w:jc w:val="center"/>
              <w:jc w:val="center"/>
            </w:pPr>
            <w:r>
              <w:t xml:space="preserve">0,770 / 0,787</w:t>
            </w:r>
          </w:p>
        </w:tc>
        <w:tc>
          <w:tcPr>
            <w:tcW w:w="2008" w:type="dxa"/>
          </w:tcPr>
          <w:p>
            <w:pPr>
              <w:pStyle w:val="Compact"/>
              <w:jc w:val="left"/>
              <w:jc w:val="center"/>
            </w:pPr>
            <w:r>
              <w:t xml:space="preserve">+0,017; 4,9 x 10</w:t>
            </w:r>
            <w:r>
              <w:rPr>
                <w:vertAlign w:val="superscript"/>
              </w:rPr>
              <w:t xml:space="preserve">-13</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RE+</w:t>
            </w:r>
          </w:p>
        </w:tc>
        <w:tc>
          <w:tcPr>
            <w:tcW w:w="650" w:type="dxa"/>
          </w:tcPr>
          <w:p>
            <w:pPr>
              <w:pStyle w:val="Compact"/>
              <w:jc w:val="right"/>
              <w:jc w:val="center"/>
            </w:pPr>
            <w:r>
              <w:t xml:space="preserve">2450</w:t>
            </w:r>
          </w:p>
        </w:tc>
        <w:tc>
          <w:tcPr>
            <w:tcW w:w="2028" w:type="dxa"/>
          </w:tcPr>
          <w:p>
            <w:pPr>
              <w:pStyle w:val="Compact"/>
              <w:jc w:val="left"/>
              <w:jc w:val="center"/>
            </w:pPr>
            <w:r>
              <w:t xml:space="preserve">1,68 (1,43-1,97)</w:t>
            </w:r>
          </w:p>
        </w:tc>
        <w:tc>
          <w:tcPr>
            <w:tcW w:w="1928" w:type="dxa"/>
          </w:tcPr>
          <w:p>
            <w:pPr>
              <w:pStyle w:val="Compact"/>
              <w:jc w:val="center"/>
              <w:jc w:val="center"/>
            </w:pPr>
            <w:r>
              <w:t xml:space="preserve">0,770 / 0,784</w:t>
            </w:r>
          </w:p>
        </w:tc>
        <w:tc>
          <w:tcPr>
            <w:tcW w:w="2008" w:type="dxa"/>
          </w:tcPr>
          <w:p>
            <w:pPr>
              <w:pStyle w:val="Compact"/>
              <w:jc w:val="left"/>
              <w:jc w:val="center"/>
            </w:pPr>
            <w:r>
              <w:t xml:space="preserve">+0,014; 1,1 x 10</w:t>
            </w:r>
            <w:r>
              <w:rPr>
                <w:vertAlign w:val="superscript"/>
              </w:rPr>
              <w:t xml:space="preserve">-10</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Todos</w:t>
            </w:r>
          </w:p>
        </w:tc>
        <w:tc>
          <w:tcPr>
            <w:tcW w:w="650" w:type="dxa"/>
          </w:tcPr>
          <w:p>
            <w:pPr>
              <w:pStyle w:val="Compact"/>
              <w:jc w:val="right"/>
              <w:jc w:val="center"/>
            </w:pPr>
            <w:r>
              <w:t xml:space="preserve">1792</w:t>
            </w:r>
          </w:p>
        </w:tc>
        <w:tc>
          <w:tcPr>
            <w:tcW w:w="2028" w:type="dxa"/>
          </w:tcPr>
          <w:p>
            <w:pPr>
              <w:pStyle w:val="Compact"/>
              <w:jc w:val="left"/>
              <w:jc w:val="center"/>
            </w:pPr>
            <w:r>
              <w:t xml:space="preserve">1,25 (1,14-1,38)</w:t>
            </w:r>
          </w:p>
        </w:tc>
        <w:tc>
          <w:tcPr>
            <w:tcW w:w="1928" w:type="dxa"/>
          </w:tcPr>
          <w:p>
            <w:pPr>
              <w:pStyle w:val="Compact"/>
              <w:jc w:val="center"/>
              <w:jc w:val="center"/>
            </w:pPr>
            <w:r>
              <w:t xml:space="preserve">0,678 / 0,693</w:t>
            </w:r>
          </w:p>
        </w:tc>
        <w:tc>
          <w:tcPr>
            <w:tcW w:w="2008" w:type="dxa"/>
          </w:tcPr>
          <w:p>
            <w:pPr>
              <w:pStyle w:val="Compact"/>
              <w:jc w:val="left"/>
              <w:jc w:val="center"/>
            </w:pPr>
            <w:r>
              <w:t xml:space="preserve">+0,015; 6,1 x 10</w:t>
            </w:r>
            <w:r>
              <w:rPr>
                <w:vertAlign w:val="superscript"/>
              </w:rPr>
              <w:t xml:space="preserve">-6</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RE+</w:t>
            </w:r>
          </w:p>
        </w:tc>
        <w:tc>
          <w:tcPr>
            <w:tcW w:w="650" w:type="dxa"/>
          </w:tcPr>
          <w:p>
            <w:pPr>
              <w:pStyle w:val="Compact"/>
              <w:jc w:val="right"/>
              <w:jc w:val="center"/>
            </w:pPr>
            <w:r>
              <w:t xml:space="preserve">1377</w:t>
            </w:r>
          </w:p>
        </w:tc>
        <w:tc>
          <w:tcPr>
            <w:tcW w:w="2028" w:type="dxa"/>
          </w:tcPr>
          <w:p>
            <w:pPr>
              <w:pStyle w:val="Compact"/>
              <w:jc w:val="left"/>
              <w:jc w:val="center"/>
            </w:pPr>
            <w:r>
              <w:t xml:space="preserve">1,47 (1,31-1,65)</w:t>
            </w:r>
          </w:p>
        </w:tc>
        <w:tc>
          <w:tcPr>
            <w:tcW w:w="1928" w:type="dxa"/>
          </w:tcPr>
          <w:p>
            <w:pPr>
              <w:pStyle w:val="Compact"/>
              <w:jc w:val="center"/>
              <w:jc w:val="center"/>
            </w:pPr>
            <w:r>
              <w:t xml:space="preserve">0,674 / 0,707</w:t>
            </w:r>
          </w:p>
        </w:tc>
        <w:tc>
          <w:tcPr>
            <w:tcW w:w="2008" w:type="dxa"/>
          </w:tcPr>
          <w:p>
            <w:pPr>
              <w:pStyle w:val="Compact"/>
              <w:jc w:val="left"/>
              <w:jc w:val="center"/>
            </w:pPr>
            <w:r>
              <w:t xml:space="preserve">+0,032; 1,0 x 10</w:t>
            </w:r>
            <w:r>
              <w:rPr>
                <w:vertAlign w:val="superscript"/>
              </w:rPr>
              <w:t xml:space="preserve">-10</w:t>
            </w:r>
          </w:p>
        </w:tc>
      </w:tr>
    </w:tbl>
    <w:bookmarkEnd w:id="153"/>
    <w:p/>
    <w:bookmarkEnd w:id="154"/>
    <w:bookmarkStart w:id="170" w:name="análises-de-sensibilidade"/>
    <w:p>
      <w:pPr>
        <w:pStyle w:val="Heading2"/>
      </w:pPr>
      <w:r>
        <w:t xml:space="preserve">4.6 Análises de sensibilidade</w:t>
      </w:r>
    </w:p>
    <w:p>
      <w:pPr>
        <w:jc w:val="left"/>
        <w:spacing w:before="200"/>
        <w:pStyle w:val="ImageCaption"/>
      </w:pPr>
      <w:bookmarkStart w:id="155"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9070"/>
        <w:tblLayout w:type="fixed"/>
        <w:tblLook w:firstRow="1" w:lastRow="0" w:firstColumn="0" w:lastColumn="0" w:noHBand="0" w:noVBand="0" w:val="0020"/>
      </w:tblPr>
      <w:tblGrid>
        <w:gridCol w:w="1600"/>
        <w:gridCol w:w="760"/>
        <w:gridCol w:w="1975"/>
        <w:gridCol w:w="1606"/>
        <w:gridCol w:w="1122"/>
        <w:gridCol w:w="1122"/>
        <w:gridCol w:w="885"/>
      </w:tblGrid>
      <w:tr>
        <w:trPr>
          <w:tblHeader w:val="on"/>
        </w:trPr>
        <w:tc>
          <w:tcPr>
            <w:tcW w:w="1600" w:type="dxa"/>
          </w:tcPr>
          <w:p>
            <w:pPr>
              <w:pStyle w:val="Compact"/>
              <w:jc w:val="left"/>
              <w:jc w:val="center"/>
            </w:pPr>
            <w:r>
              <w:t xml:space="preserve">Coorte</w:t>
            </w:r>
          </w:p>
        </w:tc>
        <w:tc>
          <w:tcPr>
            <w:tcW w:w="760" w:type="dxa"/>
          </w:tcPr>
          <w:p>
            <w:pPr>
              <w:pStyle w:val="Compact"/>
              <w:jc w:val="right"/>
              <w:jc w:val="center"/>
            </w:pPr>
            <w:r>
              <w:t xml:space="preserve">N</w:t>
            </w:r>
          </w:p>
        </w:tc>
        <w:tc>
          <w:tcPr>
            <w:tcW w:w="1975" w:type="dxa"/>
          </w:tcPr>
          <w:p>
            <w:pPr>
              <w:pStyle w:val="Compact"/>
              <w:jc w:val="left"/>
              <w:jc w:val="center"/>
            </w:pPr>
            <w:r>
              <w:t xml:space="preserve">Plataforma</w:t>
            </w:r>
          </w:p>
        </w:tc>
        <w:tc>
          <w:tcPr>
            <w:tcW w:w="1606" w:type="dxa"/>
          </w:tcPr>
          <w:p>
            <w:pPr>
              <w:pStyle w:val="Compact"/>
              <w:jc w:val="center"/>
              <w:jc w:val="center"/>
            </w:pPr>
            <w:r>
              <w:t xml:space="preserve">C congelado</w:t>
            </w:r>
          </w:p>
        </w:tc>
        <w:tc>
          <w:tcPr>
            <w:tcW w:w="1122" w:type="dxa"/>
          </w:tcPr>
          <w:p>
            <w:pPr>
              <w:pStyle w:val="Compact"/>
              <w:jc w:val="center"/>
              <w:jc w:val="center"/>
            </w:pPr>
            <w:r>
              <w:t xml:space="preserve">C local</w:t>
            </w:r>
          </w:p>
        </w:tc>
        <w:tc>
          <w:tcPr>
            <w:tcW w:w="1122" w:type="dxa"/>
          </w:tcPr>
          <w:p>
            <w:pPr>
              <w:pStyle w:val="Compact"/>
              <w:jc w:val="center"/>
              <w:jc w:val="center"/>
            </w:pPr>
            <w:r>
              <w:t xml:space="preserve">Delta-C</w:t>
            </w:r>
          </w:p>
        </w:tc>
        <w:tc>
          <w:tcPr>
            <w:tcW w:w="885" w:type="dxa"/>
          </w:tcPr>
          <w:p>
            <w:pPr>
              <w:pStyle w:val="Compact"/>
              <w:jc w:val="center"/>
              <w:jc w:val="center"/>
            </w:pPr>
            <w:r>
              <w:t xml:space="preserve">r</w:t>
            </w:r>
          </w:p>
        </w:tc>
      </w:tr>
      <w:tr>
        <w:tc>
          <w:tcPr>
            <w:tcW w:w="1600" w:type="dxa"/>
          </w:tcPr>
          <w:p>
            <w:pPr>
              <w:pStyle w:val="Compact"/>
              <w:jc w:val="left"/>
              <w:jc w:val="center"/>
            </w:pPr>
            <w:r>
              <w:t xml:space="preserve">SCAN-B</w:t>
            </w:r>
          </w:p>
        </w:tc>
        <w:tc>
          <w:tcPr>
            <w:tcW w:w="760" w:type="dxa"/>
          </w:tcPr>
          <w:p>
            <w:pPr>
              <w:pStyle w:val="Compact"/>
              <w:jc w:val="right"/>
              <w:jc w:val="center"/>
            </w:pPr>
            <w:r>
              <w:t xml:space="preserve">3069</w:t>
            </w:r>
          </w:p>
        </w:tc>
        <w:tc>
          <w:tcPr>
            <w:tcW w:w="1975" w:type="dxa"/>
          </w:tcPr>
          <w:p>
            <w:pPr>
              <w:pStyle w:val="Compact"/>
              <w:jc w:val="left"/>
              <w:jc w:val="center"/>
            </w:pPr>
            <w:r>
              <w:t xml:space="preserve">RNA-seq</w:t>
            </w:r>
          </w:p>
        </w:tc>
        <w:tc>
          <w:tcPr>
            <w:tcW w:w="1606" w:type="dxa"/>
          </w:tcPr>
          <w:p>
            <w:pPr>
              <w:pStyle w:val="Compact"/>
              <w:jc w:val="center"/>
              <w:jc w:val="center"/>
            </w:pPr>
            <w:r>
              <w:t xml:space="preserve">0,698</w:t>
            </w:r>
          </w:p>
        </w:tc>
        <w:tc>
          <w:tcPr>
            <w:tcW w:w="1122" w:type="dxa"/>
          </w:tcPr>
          <w:p>
            <w:pPr>
              <w:pStyle w:val="Compact"/>
              <w:jc w:val="center"/>
              <w:jc w:val="center"/>
            </w:pPr>
            <w:r>
              <w:t xml:space="preserve">0,698</w:t>
            </w:r>
          </w:p>
        </w:tc>
        <w:tc>
          <w:tcPr>
            <w:tcW w:w="1122" w:type="dxa"/>
          </w:tcPr>
          <w:p>
            <w:pPr>
              <w:pStyle w:val="Compact"/>
              <w:jc w:val="center"/>
              <w:jc w:val="center"/>
            </w:pPr>
            <w:r>
              <w:t xml:space="preserve">0,0000</w:t>
            </w:r>
          </w:p>
        </w:tc>
        <w:tc>
          <w:tcPr>
            <w:tcW w:w="885" w:type="dxa"/>
          </w:tcPr>
          <w:p>
            <w:pPr>
              <w:pStyle w:val="Compact"/>
              <w:jc w:val="center"/>
              <w:jc w:val="center"/>
            </w:pPr>
            <w:r>
              <w:t xml:space="preserve">1,000</w:t>
            </w:r>
          </w:p>
        </w:tc>
      </w:tr>
      <w:tr>
        <w:tc>
          <w:tcPr>
            <w:tcW w:w="1600" w:type="dxa"/>
          </w:tcPr>
          <w:p>
            <w:pPr>
              <w:pStyle w:val="Compact"/>
              <w:jc w:val="left"/>
              <w:jc w:val="center"/>
            </w:pPr>
            <w:r>
              <w:t xml:space="preserve">TCGA-BRCA</w:t>
            </w:r>
          </w:p>
        </w:tc>
        <w:tc>
          <w:tcPr>
            <w:tcW w:w="760" w:type="dxa"/>
          </w:tcPr>
          <w:p>
            <w:pPr>
              <w:pStyle w:val="Compact"/>
              <w:jc w:val="right"/>
              <w:jc w:val="center"/>
            </w:pPr>
            <w:r>
              <w:t xml:space="preserve">1072</w:t>
            </w:r>
          </w:p>
        </w:tc>
        <w:tc>
          <w:tcPr>
            <w:tcW w:w="1975" w:type="dxa"/>
          </w:tcPr>
          <w:p>
            <w:pPr>
              <w:pStyle w:val="Compact"/>
              <w:jc w:val="left"/>
              <w:jc w:val="center"/>
            </w:pPr>
            <w:r>
              <w:t xml:space="preserve">RNA-seq</w:t>
            </w:r>
          </w:p>
        </w:tc>
        <w:tc>
          <w:tcPr>
            <w:tcW w:w="1606" w:type="dxa"/>
          </w:tcPr>
          <w:p>
            <w:pPr>
              <w:pStyle w:val="Compact"/>
              <w:jc w:val="center"/>
              <w:jc w:val="center"/>
            </w:pPr>
            <w:r>
              <w:t xml:space="preserve">0,624</w:t>
            </w:r>
          </w:p>
        </w:tc>
        <w:tc>
          <w:tcPr>
            <w:tcW w:w="1122" w:type="dxa"/>
          </w:tcPr>
          <w:p>
            <w:pPr>
              <w:pStyle w:val="Compact"/>
              <w:jc w:val="center"/>
              <w:jc w:val="center"/>
            </w:pPr>
            <w:r>
              <w:t xml:space="preserve">0,624</w:t>
            </w:r>
          </w:p>
        </w:tc>
        <w:tc>
          <w:tcPr>
            <w:tcW w:w="1122" w:type="dxa"/>
          </w:tcPr>
          <w:p>
            <w:pPr>
              <w:pStyle w:val="Compact"/>
              <w:jc w:val="center"/>
              <w:jc w:val="center"/>
            </w:pPr>
            <w:r>
              <w:t xml:space="preserve">+0,0002</w:t>
            </w:r>
          </w:p>
        </w:tc>
        <w:tc>
          <w:tcPr>
            <w:tcW w:w="885" w:type="dxa"/>
          </w:tcPr>
          <w:p>
            <w:pPr>
              <w:pStyle w:val="Compact"/>
              <w:jc w:val="center"/>
              <w:jc w:val="center"/>
            </w:pPr>
            <w:r>
              <w:t xml:space="preserve">0,999</w:t>
            </w:r>
          </w:p>
        </w:tc>
      </w:tr>
      <w:tr>
        <w:tc>
          <w:tcPr>
            <w:tcW w:w="1600" w:type="dxa"/>
          </w:tcPr>
          <w:p>
            <w:pPr>
              <w:pStyle w:val="Compact"/>
              <w:jc w:val="left"/>
              <w:jc w:val="center"/>
            </w:pPr>
            <w:r>
              <w:t xml:space="preserve">METABRIC</w:t>
            </w:r>
          </w:p>
        </w:tc>
        <w:tc>
          <w:tcPr>
            <w:tcW w:w="760" w:type="dxa"/>
          </w:tcPr>
          <w:p>
            <w:pPr>
              <w:pStyle w:val="Compact"/>
              <w:jc w:val="right"/>
              <w:jc w:val="center"/>
            </w:pPr>
            <w:r>
              <w:t xml:space="preserve">1978</w:t>
            </w:r>
          </w:p>
        </w:tc>
        <w:tc>
          <w:tcPr>
            <w:tcW w:w="1975" w:type="dxa"/>
          </w:tcPr>
          <w:p>
            <w:pPr>
              <w:pStyle w:val="Compact"/>
              <w:jc w:val="left"/>
              <w:jc w:val="center"/>
            </w:pPr>
            <w:r>
              <w:t xml:space="preserve">Illumina array</w:t>
            </w:r>
          </w:p>
        </w:tc>
        <w:tc>
          <w:tcPr>
            <w:tcW w:w="1606" w:type="dxa"/>
          </w:tcPr>
          <w:p>
            <w:pPr>
              <w:pStyle w:val="Compact"/>
              <w:jc w:val="center"/>
              <w:jc w:val="center"/>
            </w:pPr>
            <w:r>
              <w:t xml:space="preserve">0,638</w:t>
            </w:r>
          </w:p>
        </w:tc>
        <w:tc>
          <w:tcPr>
            <w:tcW w:w="1122" w:type="dxa"/>
          </w:tcPr>
          <w:p>
            <w:pPr>
              <w:pStyle w:val="Compact"/>
              <w:jc w:val="center"/>
              <w:jc w:val="center"/>
            </w:pPr>
            <w:r>
              <w:t xml:space="preserve">0,638</w:t>
            </w:r>
          </w:p>
        </w:tc>
        <w:tc>
          <w:tcPr>
            <w:tcW w:w="1122" w:type="dxa"/>
          </w:tcPr>
          <w:p>
            <w:pPr>
              <w:pStyle w:val="Compact"/>
              <w:jc w:val="center"/>
              <w:jc w:val="center"/>
            </w:pPr>
            <w:r>
              <w:t xml:space="preserve">+0,0007</w:t>
            </w:r>
          </w:p>
        </w:tc>
        <w:tc>
          <w:tcPr>
            <w:tcW w:w="885" w:type="dxa"/>
          </w:tcPr>
          <w:p>
            <w:pPr>
              <w:pStyle w:val="Compact"/>
              <w:jc w:val="center"/>
              <w:jc w:val="center"/>
            </w:pPr>
            <w:r>
              <w:t xml:space="preserve">0,958</w:t>
            </w:r>
          </w:p>
        </w:tc>
      </w:tr>
      <w:tr>
        <w:tc>
          <w:tcPr>
            <w:tcW w:w="1600" w:type="dxa"/>
          </w:tcPr>
          <w:p>
            <w:pPr>
              <w:pStyle w:val="Compact"/>
              <w:jc w:val="left"/>
              <w:jc w:val="center"/>
            </w:pPr>
            <w:r>
              <w:t xml:space="preserve">GSE20685</w:t>
            </w:r>
          </w:p>
        </w:tc>
        <w:tc>
          <w:tcPr>
            <w:tcW w:w="760" w:type="dxa"/>
          </w:tcPr>
          <w:p>
            <w:pPr>
              <w:pStyle w:val="Compact"/>
              <w:jc w:val="right"/>
              <w:jc w:val="center"/>
            </w:pPr>
            <w:r>
              <w:t xml:space="preserve">327</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0,591</w:t>
            </w:r>
          </w:p>
        </w:tc>
        <w:tc>
          <w:tcPr>
            <w:tcW w:w="1122" w:type="dxa"/>
          </w:tcPr>
          <w:p>
            <w:pPr>
              <w:pStyle w:val="Compact"/>
              <w:jc w:val="center"/>
              <w:jc w:val="center"/>
            </w:pPr>
            <w:r>
              <w:t xml:space="preserve">0,626</w:t>
            </w:r>
          </w:p>
        </w:tc>
        <w:tc>
          <w:tcPr>
            <w:tcW w:w="1122" w:type="dxa"/>
          </w:tcPr>
          <w:p>
            <w:pPr>
              <w:pStyle w:val="Compact"/>
              <w:jc w:val="center"/>
              <w:jc w:val="center"/>
            </w:pPr>
            <w:r>
              <w:t xml:space="preserve">-0,036</w:t>
            </w:r>
          </w:p>
        </w:tc>
        <w:tc>
          <w:tcPr>
            <w:tcW w:w="885" w:type="dxa"/>
          </w:tcPr>
          <w:p>
            <w:pPr>
              <w:pStyle w:val="Compact"/>
              <w:jc w:val="center"/>
              <w:jc w:val="center"/>
            </w:pPr>
            <w:r>
              <w:t xml:space="preserve">0,923</w:t>
            </w:r>
          </w:p>
        </w:tc>
      </w:tr>
      <w:tr>
        <w:tc>
          <w:tcPr>
            <w:tcW w:w="1600" w:type="dxa"/>
          </w:tcPr>
          <w:p>
            <w:pPr>
              <w:pStyle w:val="Compact"/>
              <w:jc w:val="left"/>
              <w:jc w:val="center"/>
            </w:pPr>
            <w:r>
              <w:t xml:space="preserve">GSE1456</w:t>
            </w:r>
          </w:p>
        </w:tc>
        <w:tc>
          <w:tcPr>
            <w:tcW w:w="760" w:type="dxa"/>
          </w:tcPr>
          <w:p>
            <w:pPr>
              <w:pStyle w:val="Compact"/>
              <w:jc w:val="right"/>
              <w:jc w:val="center"/>
            </w:pPr>
            <w:r>
              <w:t xml:space="preserve">159</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0,622</w:t>
            </w:r>
          </w:p>
        </w:tc>
        <w:tc>
          <w:tcPr>
            <w:tcW w:w="1122" w:type="dxa"/>
          </w:tcPr>
          <w:p>
            <w:pPr>
              <w:pStyle w:val="Compact"/>
              <w:jc w:val="center"/>
              <w:jc w:val="center"/>
            </w:pPr>
            <w:r>
              <w:t xml:space="preserve">0,661</w:t>
            </w:r>
          </w:p>
        </w:tc>
        <w:tc>
          <w:tcPr>
            <w:tcW w:w="1122" w:type="dxa"/>
          </w:tcPr>
          <w:p>
            <w:pPr>
              <w:pStyle w:val="Compact"/>
              <w:jc w:val="center"/>
              <w:jc w:val="center"/>
            </w:pPr>
            <w:r>
              <w:t xml:space="preserve">-0,040</w:t>
            </w:r>
          </w:p>
        </w:tc>
        <w:tc>
          <w:tcPr>
            <w:tcW w:w="885" w:type="dxa"/>
          </w:tcPr>
          <w:p>
            <w:pPr>
              <w:pStyle w:val="Compact"/>
              <w:jc w:val="center"/>
              <w:jc w:val="center"/>
            </w:pPr>
            <w:r>
              <w:t xml:space="preserve">0,916</w:t>
            </w:r>
          </w:p>
        </w:tc>
      </w:tr>
    </w:tbl>
    <w:bookmarkEnd w:id="155"/>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9" w:name="fig-correlation"/>
      <w:r>
        <w:drawing>
          <wp:inline>
            <wp:extent cx="5687999" cy="4875428"/>
            <wp:effectExtent b="0" l="0" r="0" t="0"/>
            <wp:docPr descr="" title="" id="157" name="Picture"/>
            <a:graphic>
              <a:graphicData uri="http://schemas.openxmlformats.org/drawingml/2006/picture">
                <pic:pic>
                  <pic:nvPicPr>
                    <pic:cNvPr descr="../figures/supp/pt/png/FigS3_Correlation_OffDiagonal_PT.png" id="158" name="Picture"/>
                    <pic:cNvPicPr>
                      <a:picLocks noChangeArrowheads="1" noChangeAspect="1"/>
                    </pic:cNvPicPr>
                  </pic:nvPicPr>
                  <pic:blipFill>
                    <a:blip r:embed="rId156"/>
                    <a:stretch>
                      <a:fillRect/>
                    </a:stretch>
                  </pic:blipFill>
                  <pic:spPr bwMode="auto">
                    <a:xfrm>
                      <a:off x="0" y="0"/>
                      <a:ext cx="5687999" cy="4875428"/>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59"/>
    <w:p>
      <w:r>
        <w:br w:type="page"/>
      </w:r>
    </w:p>
    <w:p>
      <w:pPr>
        <w:jc w:val="left"/>
        <w:spacing w:before="200"/>
        <w:pStyle w:val="ImageCaption"/>
      </w:pPr>
      <w:bookmarkStart w:id="160" w:name="tbl-uno-tdauc"/>
      <w:r>
        <w:t xml:space="preserve">Tabela 12 — Estatística C de Uno e AUC tempo-dependente</w:t>
      </w:r>
    </w:p>
    <w:tbl>
      <w:tblPr>
        <w:tblStyle w:val="Table"/>
        <w:tblW w:type="dxa" w:w="9070"/>
        <w:tblLayout w:type="fixed"/>
        <w:tblLook w:firstRow="1" w:lastRow="0" w:firstColumn="0" w:lastColumn="0" w:noHBand="0" w:noVBand="0" w:val="0020"/>
      </w:tblPr>
      <w:tblGrid>
        <w:gridCol w:w="1600"/>
        <w:gridCol w:w="884"/>
        <w:gridCol w:w="1370"/>
        <w:gridCol w:w="1248"/>
        <w:gridCol w:w="2232"/>
        <w:gridCol w:w="1736"/>
      </w:tblGrid>
      <w:tr>
        <w:trPr>
          <w:tblHeader w:val="on"/>
        </w:trPr>
        <w:tc>
          <w:tcPr>
            <w:tcW w:w="1600" w:type="dxa"/>
          </w:tcPr>
          <w:p>
            <w:pPr>
              <w:pStyle w:val="Compact"/>
              <w:jc w:val="center"/>
            </w:pPr>
            <w:r>
              <w:t xml:space="preserve">Coorte</w:t>
            </w:r>
          </w:p>
        </w:tc>
        <w:tc>
          <w:tcPr>
            <w:tcW w:w="884" w:type="dxa"/>
          </w:tcPr>
          <w:p>
            <w:pPr>
              <w:pStyle w:val="Compact"/>
              <w:jc w:val="center"/>
            </w:pPr>
            <w:r>
              <w:t xml:space="preserve">N</w:t>
            </w:r>
          </w:p>
        </w:tc>
        <w:tc>
          <w:tcPr>
            <w:tcW w:w="1370" w:type="dxa"/>
          </w:tcPr>
          <w:p>
            <w:pPr>
              <w:pStyle w:val="Compact"/>
              <w:jc w:val="center"/>
            </w:pPr>
            <w:r>
              <w:t xml:space="preserve">Horizonte</w:t>
            </w:r>
          </w:p>
        </w:tc>
        <w:tc>
          <w:tcPr>
            <w:tcW w:w="1248" w:type="dxa"/>
          </w:tcPr>
          <w:p>
            <w:pPr>
              <w:pStyle w:val="Compact"/>
              <w:jc w:val="center"/>
            </w:pPr>
            <w:r>
              <w:t xml:space="preserve">C de Uno</w:t>
            </w:r>
          </w:p>
        </w:tc>
        <w:tc>
          <w:tcPr>
            <w:tcW w:w="2232" w:type="dxa"/>
          </w:tcPr>
          <w:p>
            <w:pPr>
              <w:pStyle w:val="Compact"/>
              <w:jc w:val="center"/>
            </w:pPr>
            <w:r>
              <w:t xml:space="preserve">tdAUC (IC 95%)</w:t>
            </w:r>
          </w:p>
        </w:tc>
        <w:tc>
          <w:tcPr>
            <w:tcW w:w="1736" w:type="dxa"/>
          </w:tcPr>
          <w:p>
            <w:pPr>
              <w:pStyle w:val="Compact"/>
              <w:jc w:val="center"/>
            </w:pPr>
            <w:r>
              <w:t xml:space="preserve">C de Harrell</w:t>
            </w:r>
          </w:p>
        </w:tc>
      </w:tr>
      <w:tr>
        <w:tc>
          <w:tcPr>
            <w:tcW w:w="1600" w:type="dxa"/>
          </w:tcPr>
          <w:p>
            <w:pPr>
              <w:pStyle w:val="Compact"/>
              <w:jc w:val="center"/>
            </w:pPr>
            <w:r>
              <w:t xml:space="preserve">SCAN-B</w:t>
            </w:r>
          </w:p>
        </w:tc>
        <w:tc>
          <w:tcPr>
            <w:tcW w:w="884" w:type="dxa"/>
          </w:tcPr>
          <w:p>
            <w:pPr>
              <w:pStyle w:val="Compact"/>
              <w:jc w:val="center"/>
            </w:pPr>
            <w:r>
              <w:t xml:space="preserve">3 069</w:t>
            </w:r>
          </w:p>
        </w:tc>
        <w:tc>
          <w:tcPr>
            <w:tcW w:w="1370" w:type="dxa"/>
          </w:tcPr>
          <w:p>
            <w:pPr>
              <w:pStyle w:val="Compact"/>
              <w:jc w:val="center"/>
            </w:pPr>
            <w:r>
              <w:t xml:space="preserve">60m</w:t>
            </w:r>
          </w:p>
        </w:tc>
        <w:tc>
          <w:tcPr>
            <w:tcW w:w="1248" w:type="dxa"/>
          </w:tcPr>
          <w:p>
            <w:pPr>
              <w:pStyle w:val="Compact"/>
              <w:jc w:val="center"/>
            </w:pPr>
            <w:r>
              <w:t xml:space="preserve">0,674</w:t>
            </w:r>
          </w:p>
        </w:tc>
        <w:tc>
          <w:tcPr>
            <w:tcW w:w="2232" w:type="dxa"/>
          </w:tcPr>
          <w:p>
            <w:pPr>
              <w:pStyle w:val="Compact"/>
              <w:jc w:val="center"/>
            </w:pPr>
            <w:r>
              <w:t xml:space="preserve">0,679 (0,643-0,715)</w:t>
            </w:r>
          </w:p>
        </w:tc>
        <w:tc>
          <w:tcPr>
            <w:tcW w:w="1736" w:type="dxa"/>
          </w:tcPr>
          <w:p>
            <w:pPr>
              <w:pStyle w:val="Compact"/>
              <w:jc w:val="center"/>
            </w:pPr>
            <w:r>
              <w:t xml:space="preserve">0,698</w:t>
            </w:r>
          </w:p>
        </w:tc>
      </w:tr>
      <w:tr>
        <w:tc>
          <w:tcPr>
            <w:tcW w:w="1600" w:type="dxa"/>
          </w:tcPr>
          <w:p>
            <w:pPr>
              <w:pStyle w:val="Compact"/>
              <w:jc w:val="center"/>
            </w:pPr>
            <w:r>
              <w:t xml:space="preserve">TCGA-BRCA</w:t>
            </w:r>
          </w:p>
        </w:tc>
        <w:tc>
          <w:tcPr>
            <w:tcW w:w="884" w:type="dxa"/>
          </w:tcPr>
          <w:p>
            <w:pPr>
              <w:pStyle w:val="Compact"/>
              <w:jc w:val="center"/>
            </w:pPr>
            <w:r>
              <w:t xml:space="preserve">1 072</w:t>
            </w:r>
          </w:p>
        </w:tc>
        <w:tc>
          <w:tcPr>
            <w:tcW w:w="1370" w:type="dxa"/>
          </w:tcPr>
          <w:p>
            <w:pPr>
              <w:pStyle w:val="Compact"/>
              <w:jc w:val="center"/>
            </w:pPr>
            <w:r>
              <w:t xml:space="preserve">24m</w:t>
            </w:r>
          </w:p>
        </w:tc>
        <w:tc>
          <w:tcPr>
            <w:tcW w:w="1248" w:type="dxa"/>
          </w:tcPr>
          <w:p>
            <w:pPr>
              <w:pStyle w:val="Compact"/>
              <w:jc w:val="center"/>
            </w:pPr>
            <w:r>
              <w:t xml:space="preserve">0,669</w:t>
            </w:r>
          </w:p>
        </w:tc>
        <w:tc>
          <w:tcPr>
            <w:tcW w:w="2232" w:type="dxa"/>
          </w:tcPr>
          <w:p>
            <w:pPr>
              <w:pStyle w:val="Compact"/>
              <w:jc w:val="center"/>
            </w:pPr>
            <w:r>
              <w:t xml:space="preserve">0,673 (0,598-0,748)</w:t>
            </w:r>
          </w:p>
        </w:tc>
        <w:tc>
          <w:tcPr>
            <w:tcW w:w="1736" w:type="dxa"/>
          </w:tcPr>
          <w:p>
            <w:pPr>
              <w:pStyle w:val="Compact"/>
              <w:jc w:val="center"/>
            </w:pPr>
            <w:r>
              <w:t xml:space="preserve">0,624</w:t>
            </w:r>
          </w:p>
        </w:tc>
      </w:tr>
      <w:tr>
        <w:tc>
          <w:tcPr>
            <w:tcW w:w="1600" w:type="dxa"/>
          </w:tcPr>
          <w:p>
            <w:pPr>
              <w:pStyle w:val="Compact"/>
              <w:jc w:val="center"/>
            </w:pPr>
            <w:r>
              <w:t xml:space="preserve">METABRIC</w:t>
            </w:r>
          </w:p>
        </w:tc>
        <w:tc>
          <w:tcPr>
            <w:tcW w:w="884" w:type="dxa"/>
          </w:tcPr>
          <w:p>
            <w:pPr>
              <w:pStyle w:val="Compact"/>
              <w:jc w:val="center"/>
            </w:pPr>
            <w:r>
              <w:t xml:space="preserve">1 978</w:t>
            </w:r>
          </w:p>
        </w:tc>
        <w:tc>
          <w:tcPr>
            <w:tcW w:w="1370" w:type="dxa"/>
          </w:tcPr>
          <w:p>
            <w:pPr>
              <w:pStyle w:val="Compact"/>
              <w:jc w:val="center"/>
            </w:pPr>
            <w:r>
              <w:t xml:space="preserve">60m</w:t>
            </w:r>
          </w:p>
        </w:tc>
        <w:tc>
          <w:tcPr>
            <w:tcW w:w="1248" w:type="dxa"/>
          </w:tcPr>
          <w:p>
            <w:pPr>
              <w:pStyle w:val="Compact"/>
              <w:jc w:val="center"/>
            </w:pPr>
            <w:r>
              <w:t xml:space="preserve">0,681</w:t>
            </w:r>
          </w:p>
        </w:tc>
        <w:tc>
          <w:tcPr>
            <w:tcW w:w="2232" w:type="dxa"/>
          </w:tcPr>
          <w:p>
            <w:pPr>
              <w:pStyle w:val="Compact"/>
              <w:jc w:val="center"/>
            </w:pPr>
            <w:r>
              <w:t xml:space="preserve">0,695 (0,665-0,725)</w:t>
            </w:r>
          </w:p>
        </w:tc>
        <w:tc>
          <w:tcPr>
            <w:tcW w:w="1736" w:type="dxa"/>
          </w:tcPr>
          <w:p>
            <w:pPr>
              <w:pStyle w:val="Compact"/>
              <w:jc w:val="center"/>
            </w:pPr>
            <w:r>
              <w:t xml:space="preserve">0,638</w:t>
            </w:r>
          </w:p>
        </w:tc>
      </w:tr>
      <w:tr>
        <w:tc>
          <w:tcPr>
            <w:tcW w:w="1600" w:type="dxa"/>
          </w:tcPr>
          <w:p>
            <w:pPr>
              <w:pStyle w:val="Compact"/>
              <w:jc w:val="center"/>
            </w:pPr>
            <w:r>
              <w:t xml:space="preserve">GSE20685</w:t>
            </w:r>
          </w:p>
        </w:tc>
        <w:tc>
          <w:tcPr>
            <w:tcW w:w="884" w:type="dxa"/>
          </w:tcPr>
          <w:p>
            <w:pPr>
              <w:pStyle w:val="Compact"/>
              <w:jc w:val="center"/>
            </w:pPr>
            <w:r>
              <w:t xml:space="preserve">327</w:t>
            </w:r>
          </w:p>
        </w:tc>
        <w:tc>
          <w:tcPr>
            <w:tcW w:w="1370" w:type="dxa"/>
          </w:tcPr>
          <w:p>
            <w:pPr>
              <w:pStyle w:val="Compact"/>
              <w:jc w:val="center"/>
            </w:pPr>
            <w:r>
              <w:t xml:space="preserve">60m</w:t>
            </w:r>
          </w:p>
        </w:tc>
        <w:tc>
          <w:tcPr>
            <w:tcW w:w="1248" w:type="dxa"/>
          </w:tcPr>
          <w:p>
            <w:pPr>
              <w:pStyle w:val="Compact"/>
              <w:jc w:val="center"/>
            </w:pPr>
            <w:r>
              <w:t xml:space="preserve">0,668</w:t>
            </w:r>
          </w:p>
        </w:tc>
        <w:tc>
          <w:tcPr>
            <w:tcW w:w="2232" w:type="dxa"/>
          </w:tcPr>
          <w:p>
            <w:pPr>
              <w:pStyle w:val="Compact"/>
              <w:jc w:val="center"/>
            </w:pPr>
            <w:r>
              <w:t xml:space="preserve">0,675 (0,596-0,754)</w:t>
            </w:r>
          </w:p>
        </w:tc>
        <w:tc>
          <w:tcPr>
            <w:tcW w:w="1736" w:type="dxa"/>
          </w:tcPr>
          <w:p>
            <w:pPr>
              <w:pStyle w:val="Compact"/>
              <w:jc w:val="center"/>
            </w:pPr>
            <w:r>
              <w:t xml:space="preserve">0,626</w:t>
            </w:r>
          </w:p>
        </w:tc>
      </w:tr>
    </w:tbl>
    <w:bookmarkEnd w:id="160"/>
    <w:p/>
    <w:p>
      <w:pPr>
        <w:pStyle w:val="BodyText"/>
      </w:pPr>
      <w:r>
        <w:t xml:space="preserve"> </w:t>
      </w:r>
    </w:p>
    <w:p>
      <w:pPr>
        <w:jc w:val="left"/>
        <w:spacing w:before="200"/>
        <w:pStyle w:val="ImageCaption"/>
      </w:pPr>
      <w:bookmarkStart w:id="161" w:name="tbl-calibration-formal"/>
      <w:r>
        <w:t xml:space="preserve">Tabela 13 — Calibração formal por coorte</w:t>
      </w:r>
    </w:p>
    <w:tbl>
      <w:tblPr>
        <w:tblStyle w:val="Table"/>
        <w:tblW w:type="dxa" w:w="9070"/>
        <w:tblLayout w:type="fixed"/>
        <w:tblLook w:firstRow="1" w:lastRow="0" w:firstColumn="0" w:lastColumn="0" w:noHBand="0" w:noVBand="0" w:val="0020"/>
      </w:tblPr>
      <w:tblGrid>
        <w:gridCol w:w="1600"/>
        <w:gridCol w:w="944"/>
        <w:gridCol w:w="1462"/>
        <w:gridCol w:w="1583"/>
        <w:gridCol w:w="1721"/>
        <w:gridCol w:w="814"/>
        <w:gridCol w:w="946"/>
      </w:tblGrid>
      <w:tr>
        <w:trPr>
          <w:tblHeader w:val="on"/>
        </w:trPr>
        <w:tc>
          <w:tcPr>
            <w:tcW w:w="1600" w:type="dxa"/>
          </w:tcPr>
          <w:p>
            <w:pPr>
              <w:pStyle w:val="Compact"/>
              <w:jc w:val="center"/>
            </w:pPr>
            <w:r>
              <w:t xml:space="preserve">Coorte</w:t>
            </w:r>
          </w:p>
        </w:tc>
        <w:tc>
          <w:tcPr>
            <w:tcW w:w="944" w:type="dxa"/>
          </w:tcPr>
          <w:p>
            <w:pPr>
              <w:pStyle w:val="Compact"/>
              <w:jc w:val="center"/>
            </w:pPr>
            <w:r>
              <w:t xml:space="preserve">N</w:t>
            </w:r>
          </w:p>
        </w:tc>
        <w:tc>
          <w:tcPr>
            <w:tcW w:w="1462" w:type="dxa"/>
          </w:tcPr>
          <w:p>
            <w:pPr>
              <w:pStyle w:val="Compact"/>
              <w:jc w:val="center"/>
            </w:pPr>
            <w:r>
              <w:t xml:space="preserve">Horizonte</w:t>
            </w:r>
          </w:p>
        </w:tc>
        <w:tc>
          <w:tcPr>
            <w:tcW w:w="1583" w:type="dxa"/>
          </w:tcPr>
          <w:p>
            <w:pPr>
              <w:pStyle w:val="Compact"/>
              <w:jc w:val="center"/>
            </w:pPr>
            <w:r>
              <w:t xml:space="preserve">alpha (EP)</w:t>
            </w:r>
          </w:p>
        </w:tc>
        <w:tc>
          <w:tcPr>
            <w:tcW w:w="1721" w:type="dxa"/>
          </w:tcPr>
          <w:p>
            <w:pPr>
              <w:pStyle w:val="Compact"/>
              <w:jc w:val="center"/>
            </w:pPr>
            <w:r>
              <w:t xml:space="preserve">beta (EP)</w:t>
            </w:r>
          </w:p>
        </w:tc>
        <w:tc>
          <w:tcPr>
            <w:tcW w:w="814" w:type="dxa"/>
          </w:tcPr>
          <w:p>
            <w:pPr>
              <w:pStyle w:val="Compact"/>
              <w:jc w:val="center"/>
            </w:pPr>
            <w:r>
              <w:t xml:space="preserve">E/O</w:t>
            </w:r>
          </w:p>
        </w:tc>
        <w:tc>
          <w:tcPr>
            <w:tcW w:w="946" w:type="dxa"/>
          </w:tcPr>
          <w:p>
            <w:pPr>
              <w:pStyle w:val="Compact"/>
              <w:jc w:val="center"/>
            </w:pPr>
            <w:r>
              <w:t xml:space="preserve">Brier</w:t>
            </w:r>
          </w:p>
        </w:tc>
      </w:tr>
      <w:tr>
        <w:tc>
          <w:tcPr>
            <w:tcW w:w="1600" w:type="dxa"/>
          </w:tcPr>
          <w:p>
            <w:pPr>
              <w:pStyle w:val="Compact"/>
              <w:jc w:val="center"/>
            </w:pPr>
            <w:r>
              <w:t xml:space="preserve">SCAN-B</w:t>
            </w:r>
          </w:p>
        </w:tc>
        <w:tc>
          <w:tcPr>
            <w:tcW w:w="944" w:type="dxa"/>
          </w:tcPr>
          <w:p>
            <w:pPr>
              <w:pStyle w:val="Compact"/>
              <w:jc w:val="center"/>
            </w:pPr>
            <w:r>
              <w:t xml:space="preserve">3 069</w:t>
            </w:r>
          </w:p>
        </w:tc>
        <w:tc>
          <w:tcPr>
            <w:tcW w:w="1462" w:type="dxa"/>
          </w:tcPr>
          <w:p>
            <w:pPr>
              <w:pStyle w:val="Compact"/>
              <w:jc w:val="center"/>
            </w:pPr>
            <w:r>
              <w:t xml:space="preserve">60m</w:t>
            </w:r>
          </w:p>
        </w:tc>
        <w:tc>
          <w:tcPr>
            <w:tcW w:w="1583" w:type="dxa"/>
          </w:tcPr>
          <w:p>
            <w:pPr>
              <w:pStyle w:val="Compact"/>
              <w:jc w:val="center"/>
            </w:pPr>
            <w:r>
              <w:t xml:space="preserve">0,56 (0,18)</w:t>
            </w:r>
          </w:p>
        </w:tc>
        <w:tc>
          <w:tcPr>
            <w:tcW w:w="1721" w:type="dxa"/>
          </w:tcPr>
          <w:p>
            <w:pPr>
              <w:pStyle w:val="Compact"/>
              <w:jc w:val="center"/>
            </w:pPr>
            <w:r>
              <w:t xml:space="preserve">0,96 (0,09)</w:t>
            </w:r>
          </w:p>
        </w:tc>
        <w:tc>
          <w:tcPr>
            <w:tcW w:w="814" w:type="dxa"/>
          </w:tcPr>
          <w:p>
            <w:pPr>
              <w:pStyle w:val="Compact"/>
              <w:jc w:val="center"/>
            </w:pPr>
            <w:r>
              <w:t xml:space="preserve">0,61</w:t>
            </w:r>
          </w:p>
        </w:tc>
        <w:tc>
          <w:tcPr>
            <w:tcW w:w="946" w:type="dxa"/>
          </w:tcPr>
          <w:p>
            <w:pPr>
              <w:pStyle w:val="Compact"/>
              <w:jc w:val="center"/>
            </w:pPr>
            <w:r>
              <w:t xml:space="preserve">0,158</w:t>
            </w:r>
          </w:p>
        </w:tc>
      </w:tr>
      <w:tr>
        <w:tc>
          <w:tcPr>
            <w:tcW w:w="1600" w:type="dxa"/>
          </w:tcPr>
          <w:p>
            <w:pPr>
              <w:pStyle w:val="Compact"/>
              <w:jc w:val="center"/>
            </w:pPr>
            <w:r>
              <w:t xml:space="preserve">TCGA-BRCA</w:t>
            </w:r>
          </w:p>
        </w:tc>
        <w:tc>
          <w:tcPr>
            <w:tcW w:w="944" w:type="dxa"/>
          </w:tcPr>
          <w:p>
            <w:pPr>
              <w:pStyle w:val="Compact"/>
              <w:jc w:val="center"/>
            </w:pPr>
            <w:r>
              <w:t xml:space="preserve">1 072</w:t>
            </w:r>
          </w:p>
        </w:tc>
        <w:tc>
          <w:tcPr>
            <w:tcW w:w="1462" w:type="dxa"/>
          </w:tcPr>
          <w:p>
            <w:pPr>
              <w:pStyle w:val="Compact"/>
              <w:jc w:val="center"/>
            </w:pPr>
            <w:r>
              <w:t xml:space="preserve">24m</w:t>
            </w:r>
          </w:p>
        </w:tc>
        <w:tc>
          <w:tcPr>
            <w:tcW w:w="1583" w:type="dxa"/>
          </w:tcPr>
          <w:p>
            <w:pPr>
              <w:pStyle w:val="Compact"/>
              <w:jc w:val="center"/>
            </w:pPr>
            <w:r>
              <w:t xml:space="preserve">5,40 (2,29)</w:t>
            </w:r>
          </w:p>
        </w:tc>
        <w:tc>
          <w:tcPr>
            <w:tcW w:w="1721" w:type="dxa"/>
          </w:tcPr>
          <w:p>
            <w:pPr>
              <w:pStyle w:val="Compact"/>
              <w:jc w:val="center"/>
            </w:pPr>
            <w:r>
              <w:t xml:space="preserve">2,74 (0,79)</w:t>
            </w:r>
          </w:p>
        </w:tc>
        <w:tc>
          <w:tcPr>
            <w:tcW w:w="814" w:type="dxa"/>
          </w:tcPr>
          <w:p>
            <w:pPr>
              <w:pStyle w:val="Compact"/>
              <w:jc w:val="center"/>
            </w:pPr>
            <w:r>
              <w:t xml:space="preserve">0,74</w:t>
            </w:r>
          </w:p>
        </w:tc>
        <w:tc>
          <w:tcPr>
            <w:tcW w:w="946" w:type="dxa"/>
          </w:tcPr>
          <w:p>
            <w:pPr>
              <w:pStyle w:val="Compact"/>
              <w:jc w:val="center"/>
            </w:pPr>
            <w:r>
              <w:t xml:space="preserve">0,061</w:t>
            </w:r>
          </w:p>
        </w:tc>
      </w:tr>
      <w:tr>
        <w:tc>
          <w:tcPr>
            <w:tcW w:w="1600" w:type="dxa"/>
          </w:tcPr>
          <w:p>
            <w:pPr>
              <w:pStyle w:val="Compact"/>
              <w:jc w:val="center"/>
            </w:pPr>
            <w:r>
              <w:t xml:space="preserve">METABRIC</w:t>
            </w:r>
          </w:p>
        </w:tc>
        <w:tc>
          <w:tcPr>
            <w:tcW w:w="944" w:type="dxa"/>
          </w:tcPr>
          <w:p>
            <w:pPr>
              <w:pStyle w:val="Compact"/>
              <w:jc w:val="center"/>
            </w:pPr>
            <w:r>
              <w:t xml:space="preserve">1 978</w:t>
            </w:r>
          </w:p>
        </w:tc>
        <w:tc>
          <w:tcPr>
            <w:tcW w:w="1462" w:type="dxa"/>
          </w:tcPr>
          <w:p>
            <w:pPr>
              <w:pStyle w:val="Compact"/>
              <w:jc w:val="center"/>
            </w:pPr>
            <w:r>
              <w:t xml:space="preserve">60m</w:t>
            </w:r>
          </w:p>
        </w:tc>
        <w:tc>
          <w:tcPr>
            <w:tcW w:w="1583" w:type="dxa"/>
          </w:tcPr>
          <w:p>
            <w:pPr>
              <w:pStyle w:val="Compact"/>
              <w:jc w:val="center"/>
            </w:pPr>
            <w:r>
              <w:t xml:space="preserve">1,15 (0,25)</w:t>
            </w:r>
          </w:p>
        </w:tc>
        <w:tc>
          <w:tcPr>
            <w:tcW w:w="1721" w:type="dxa"/>
          </w:tcPr>
          <w:p>
            <w:pPr>
              <w:pStyle w:val="Compact"/>
              <w:jc w:val="center"/>
            </w:pPr>
            <w:r>
              <w:t xml:space="preserve">1,77 (0,17)</w:t>
            </w:r>
          </w:p>
        </w:tc>
        <w:tc>
          <w:tcPr>
            <w:tcW w:w="814" w:type="dxa"/>
          </w:tcPr>
          <w:p>
            <w:pPr>
              <w:pStyle w:val="Compact"/>
              <w:jc w:val="center"/>
            </w:pPr>
            <w:r>
              <w:t xml:space="preserve">0,97</w:t>
            </w:r>
          </w:p>
        </w:tc>
        <w:tc>
          <w:tcPr>
            <w:tcW w:w="946" w:type="dxa"/>
          </w:tcPr>
          <w:p>
            <w:pPr>
              <w:pStyle w:val="Compact"/>
              <w:jc w:val="center"/>
            </w:pPr>
            <w:r>
              <w:t xml:space="preserve">0,143</w:t>
            </w:r>
          </w:p>
        </w:tc>
      </w:tr>
      <w:tr>
        <w:tc>
          <w:tcPr>
            <w:tcW w:w="1600" w:type="dxa"/>
          </w:tcPr>
          <w:p>
            <w:pPr>
              <w:pStyle w:val="Compact"/>
              <w:jc w:val="center"/>
            </w:pPr>
            <w:r>
              <w:t xml:space="preserve">GSE20685</w:t>
            </w:r>
          </w:p>
        </w:tc>
        <w:tc>
          <w:tcPr>
            <w:tcW w:w="944" w:type="dxa"/>
          </w:tcPr>
          <w:p>
            <w:pPr>
              <w:pStyle w:val="Compact"/>
              <w:jc w:val="center"/>
            </w:pPr>
            <w:r>
              <w:t xml:space="preserve">327</w:t>
            </w:r>
          </w:p>
        </w:tc>
        <w:tc>
          <w:tcPr>
            <w:tcW w:w="1462" w:type="dxa"/>
          </w:tcPr>
          <w:p>
            <w:pPr>
              <w:pStyle w:val="Compact"/>
              <w:jc w:val="center"/>
            </w:pPr>
            <w:r>
              <w:t xml:space="preserve">60m</w:t>
            </w:r>
          </w:p>
        </w:tc>
        <w:tc>
          <w:tcPr>
            <w:tcW w:w="1583" w:type="dxa"/>
          </w:tcPr>
          <w:p>
            <w:pPr>
              <w:pStyle w:val="Compact"/>
              <w:jc w:val="center"/>
            </w:pPr>
            <w:r>
              <w:t xml:space="preserve">0,93 (0,75)</w:t>
            </w:r>
          </w:p>
        </w:tc>
        <w:tc>
          <w:tcPr>
            <w:tcW w:w="1721" w:type="dxa"/>
          </w:tcPr>
          <w:p>
            <w:pPr>
              <w:pStyle w:val="Compact"/>
              <w:jc w:val="center"/>
            </w:pPr>
            <w:r>
              <w:t xml:space="preserve">1,57 (0,46)</w:t>
            </w:r>
          </w:p>
        </w:tc>
        <w:tc>
          <w:tcPr>
            <w:tcW w:w="814" w:type="dxa"/>
          </w:tcPr>
          <w:p>
            <w:pPr>
              <w:pStyle w:val="Compact"/>
              <w:jc w:val="center"/>
            </w:pPr>
            <w:r>
              <w:t xml:space="preserve">0,98</w:t>
            </w:r>
          </w:p>
        </w:tc>
        <w:tc>
          <w:tcPr>
            <w:tcW w:w="946" w:type="dxa"/>
          </w:tcPr>
          <w:p>
            <w:pPr>
              <w:pStyle w:val="Compact"/>
              <w:jc w:val="center"/>
            </w:pPr>
            <w:r>
              <w:t xml:space="preserve">0,130</w:t>
            </w:r>
          </w:p>
        </w:tc>
      </w:tr>
    </w:tbl>
    <w:bookmarkEnd w:id="161"/>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5" w:name="fig-dca"/>
      <w:r>
        <w:drawing>
          <wp:inline>
            <wp:extent cx="5687999" cy="4265999"/>
            <wp:effectExtent b="0" l="0" r="0" t="0"/>
            <wp:docPr descr="" title="" id="163" name="Picture"/>
            <a:graphic>
              <a:graphicData uri="http://schemas.openxmlformats.org/drawingml/2006/picture">
                <pic:pic>
                  <pic:nvPicPr>
                    <pic:cNvPr descr="../figures/supp/pt/png/FigS_DCA_OS_PT.png" id="164" name="Picture"/>
                    <pic:cNvPicPr>
                      <a:picLocks noChangeArrowheads="1" noChangeAspect="1"/>
                    </pic:cNvPicPr>
                  </pic:nvPicPr>
                  <pic:blipFill>
                    <a:blip r:embed="rId162"/>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5"/>
    <w:p>
      <w:r>
        <w:br w:type="page"/>
      </w:r>
    </w:p>
    <w:p>
      <w:pPr>
        <w:pStyle w:val="Compact"/>
        <w:jc w:val="center"/>
      </w:pPr>
      <w:bookmarkStart w:id="169" w:name="fig-pca-metabric"/>
      <w:r>
        <w:drawing>
          <wp:inline>
            <wp:extent cx="5687999" cy="2031428"/>
            <wp:effectExtent b="0" l="0" r="0" t="0"/>
            <wp:docPr descr="" title="" id="167" name="Picture"/>
            <a:graphic>
              <a:graphicData uri="http://schemas.openxmlformats.org/drawingml/2006/picture">
                <pic:pic>
                  <pic:nvPicPr>
                    <pic:cNvPr descr="../figures/supp/pt/png/FigS4_METABRIC_PCA_forensics_PT.png" id="168" name="Picture"/>
                    <pic:cNvPicPr>
                      <a:picLocks noChangeArrowheads="1" noChangeAspect="1"/>
                    </pic:cNvPicPr>
                  </pic:nvPicPr>
                  <pic:blipFill>
                    <a:blip r:embed="rId166"/>
                    <a:stretch>
                      <a:fillRect/>
                    </a:stretch>
                  </pic:blipFill>
                  <pic:spPr bwMode="auto">
                    <a:xfrm>
                      <a:off x="0" y="0"/>
                      <a:ext cx="5687999" cy="2031428"/>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9"/>
    <w:bookmarkEnd w:id="170"/>
    <w:bookmarkStart w:id="178" w:name="análise-de-subgrupo-por-status-de-re"/>
    <w:p>
      <w:pPr>
        <w:pageBreakBefore/>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1" w:name="scan-b-n-2-870-os"/>
    <w:p>
      <w:pPr>
        <w:pStyle w:val="Heading3"/>
      </w:pPr>
      <w:r>
        <w:t xml:space="preserve">4.7.1 SCAN-B (N = 2 870; OS)</w:t>
      </w:r>
    </w:p>
    <w:tbl>
      <w:tblPr>
        <w:tblStyle w:val="Table"/>
        <w:tblW w:type="auto" w:w="0"/>
        <w:tblLook w:firstRow="1" w:lastRow="0" w:firstColumn="0" w:lastColumn="0" w:noHBand="0" w:noVBand="0" w:val="0020"/>
      </w:tblPr>
      <w:tblGrid>
        <w:gridCol w:w="1765"/>
        <w:gridCol w:w="967"/>
        <w:gridCol w:w="1233"/>
        <w:gridCol w:w="2429"/>
        <w:gridCol w:w="1366"/>
        <w:gridCol w:w="1310"/>
      </w:tblGrid>
      <w:tr>
        <w:trPr>
          <w:tblHeader w:val="on"/>
        </w:trPr>
        <w:tc>
          <w:tcPr>
            <w:tcW w:w="1765" w:type="dxa"/>
          </w:tcPr>
          <w:p>
            <w:pPr>
              <w:pStyle w:val="Compact"/>
            </w:pPr>
            <w:r>
              <w:t xml:space="preserve">Subgrupo</w:t>
            </w:r>
          </w:p>
        </w:tc>
        <w:tc>
          <w:tcPr>
            <w:tcW w:w="967" w:type="dxa"/>
          </w:tcPr>
          <w:p>
            <w:pPr>
              <w:pStyle w:val="Compact"/>
            </w:pPr>
            <w:r>
              <w:t xml:space="preserve">N</w:t>
            </w:r>
          </w:p>
        </w:tc>
        <w:tc>
          <w:tcPr>
            <w:tcW w:w="1233" w:type="dxa"/>
          </w:tcPr>
          <w:p>
            <w:pPr>
              <w:pStyle w:val="Compact"/>
            </w:pPr>
            <w:r>
              <w:t xml:space="preserve">Eventos</w:t>
            </w:r>
          </w:p>
        </w:tc>
        <w:tc>
          <w:tcPr>
            <w:tcW w:w="2429" w:type="dxa"/>
          </w:tcPr>
          <w:p>
            <w:pPr>
              <w:pStyle w:val="Compact"/>
            </w:pPr>
            <w:r>
              <w:t xml:space="preserve">HR (IC 95%)</w:t>
            </w:r>
          </w:p>
        </w:tc>
        <w:tc>
          <w:tcPr>
            <w:tcW w:w="1366" w:type="dxa"/>
          </w:tcPr>
          <w:p>
            <w:pPr>
              <w:pStyle w:val="Compact"/>
            </w:pPr>
            <w:r>
              <w:t xml:space="preserve">p</w:t>
            </w:r>
          </w:p>
        </w:tc>
        <w:tc>
          <w:tcPr>
            <w:tcW w:w="1310" w:type="dxa"/>
          </w:tcPr>
          <w:p>
            <w:pPr>
              <w:pStyle w:val="Compact"/>
            </w:pPr>
            <w:r>
              <w:rPr>
                <w:i/>
                <w:iCs/>
              </w:rPr>
              <w:t xml:space="preserve">C-index</w:t>
            </w:r>
          </w:p>
        </w:tc>
      </w:tr>
      <w:tr>
        <w:tc>
          <w:tcPr>
            <w:tcW w:w="1765" w:type="dxa"/>
          </w:tcPr>
          <w:p>
            <w:pPr>
              <w:pStyle w:val="Compact"/>
            </w:pPr>
            <w:r>
              <w:t xml:space="preserve">RE-positivo</w:t>
            </w:r>
          </w:p>
        </w:tc>
        <w:tc>
          <w:tcPr>
            <w:tcW w:w="967" w:type="dxa"/>
          </w:tcPr>
          <w:p>
            <w:pPr>
              <w:pStyle w:val="Compact"/>
            </w:pPr>
            <w:r>
              <w:t xml:space="preserve">2 646</w:t>
            </w:r>
          </w:p>
        </w:tc>
        <w:tc>
          <w:tcPr>
            <w:tcW w:w="1233" w:type="dxa"/>
          </w:tcPr>
          <w:p>
            <w:pPr>
              <w:pStyle w:val="Compact"/>
            </w:pPr>
            <w:r>
              <w:t xml:space="preserve">287</w:t>
            </w:r>
          </w:p>
        </w:tc>
        <w:tc>
          <w:tcPr>
            <w:tcW w:w="2429" w:type="dxa"/>
          </w:tcPr>
          <w:p>
            <w:pPr>
              <w:pStyle w:val="Compact"/>
            </w:pPr>
            <w:r>
              <w:t xml:space="preserve">1,92 (1,69-2,17)</w:t>
            </w:r>
          </w:p>
        </w:tc>
        <w:tc>
          <w:tcPr>
            <w:tcW w:w="1366" w:type="dxa"/>
          </w:tcPr>
          <w:p>
            <w:pPr>
              <w:pStyle w:val="Compact"/>
            </w:pPr>
            <w:r>
              <w:t xml:space="preserve">&lt;0,001</w:t>
            </w:r>
          </w:p>
        </w:tc>
        <w:tc>
          <w:tcPr>
            <w:tcW w:w="1310" w:type="dxa"/>
          </w:tcPr>
          <w:p>
            <w:pPr>
              <w:pStyle w:val="Compact"/>
            </w:pPr>
            <w:r>
              <w:t xml:space="preserve">0,700</w:t>
            </w:r>
          </w:p>
        </w:tc>
      </w:tr>
      <w:tr>
        <w:tc>
          <w:tcPr>
            <w:tcW w:w="1765" w:type="dxa"/>
          </w:tcPr>
          <w:p>
            <w:pPr>
              <w:pStyle w:val="Compact"/>
            </w:pPr>
            <w:r>
              <w:t xml:space="preserve">RE-negativo</w:t>
            </w:r>
          </w:p>
        </w:tc>
        <w:tc>
          <w:tcPr>
            <w:tcW w:w="967" w:type="dxa"/>
          </w:tcPr>
          <w:p>
            <w:pPr>
              <w:pStyle w:val="Compact"/>
            </w:pPr>
            <w:r>
              <w:t xml:space="preserve">224</w:t>
            </w:r>
          </w:p>
        </w:tc>
        <w:tc>
          <w:tcPr>
            <w:tcW w:w="1233" w:type="dxa"/>
          </w:tcPr>
          <w:p>
            <w:pPr>
              <w:pStyle w:val="Compact"/>
            </w:pPr>
            <w:r>
              <w:t xml:space="preserve">35</w:t>
            </w:r>
          </w:p>
        </w:tc>
        <w:tc>
          <w:tcPr>
            <w:tcW w:w="2429" w:type="dxa"/>
          </w:tcPr>
          <w:p>
            <w:pPr>
              <w:pStyle w:val="Compact"/>
            </w:pPr>
            <w:r>
              <w:t xml:space="preserve">2,53 (1,51-4,25)</w:t>
            </w:r>
          </w:p>
        </w:tc>
        <w:tc>
          <w:tcPr>
            <w:tcW w:w="1366" w:type="dxa"/>
          </w:tcPr>
          <w:p>
            <w:pPr>
              <w:pStyle w:val="Compact"/>
            </w:pPr>
            <w:r>
              <w:t xml:space="preserve">&lt;0,001</w:t>
            </w:r>
          </w:p>
        </w:tc>
        <w:tc>
          <w:tcPr>
            <w:tcW w:w="1310" w:type="dxa"/>
          </w:tcPr>
          <w:p>
            <w:pPr>
              <w:pStyle w:val="Compact"/>
            </w:pPr>
            <w:r>
              <w:t xml:space="preserve">0,697</w:t>
            </w:r>
          </w:p>
        </w:tc>
      </w:tr>
      <w:tr>
        <w:tc>
          <w:tcPr>
            <w:tcW w:w="1765" w:type="dxa"/>
          </w:tcPr>
          <w:p>
            <w:pPr>
              <w:pStyle w:val="Compact"/>
            </w:pPr>
            <w:r>
              <w:t xml:space="preserve">Interação</w:t>
            </w:r>
          </w:p>
        </w:tc>
        <w:tc>
          <w:tcPr>
            <w:tcW w:w="967" w:type="dxa"/>
          </w:tcPr>
          <w:p>
            <w:pPr>
              <w:pStyle w:val="Compact"/>
            </w:pPr>
            <w:r>
              <w:t xml:space="preserve">—</w:t>
            </w:r>
          </w:p>
        </w:tc>
        <w:tc>
          <w:tcPr>
            <w:tcW w:w="1233" w:type="dxa"/>
          </w:tcPr>
          <w:p>
            <w:pPr>
              <w:pStyle w:val="Compact"/>
            </w:pPr>
            <w:r>
              <w:t xml:space="preserve">—</w:t>
            </w:r>
          </w:p>
        </w:tc>
        <w:tc>
          <w:tcPr>
            <w:tcW w:w="2429" w:type="dxa"/>
          </w:tcPr>
          <w:p>
            <w:pPr>
              <w:pStyle w:val="Compact"/>
            </w:pPr>
            <w:r>
              <w:t xml:space="preserve">—</w:t>
            </w:r>
          </w:p>
        </w:tc>
        <w:tc>
          <w:tcPr>
            <w:tcW w:w="1366" w:type="dxa"/>
          </w:tcPr>
          <w:p>
            <w:pPr>
              <w:pStyle w:val="Compact"/>
            </w:pPr>
            <w:r>
              <w:t xml:space="preserve">p = 0,25</w:t>
            </w:r>
          </w:p>
        </w:tc>
        <w:tc>
          <w:tcPr>
            <w:tcW w:w="1310" w:type="dxa"/>
          </w:tcPr>
          <w:p>
            <w:pPr>
              <w:pStyle w:val="Compact"/>
            </w:pPr>
            <w:r>
              <w:t xml:space="preserve">—</w:t>
            </w:r>
          </w:p>
        </w:tc>
      </w:tr>
    </w:tbl>
    <w:bookmarkEnd w:id="171"/>
    <w:bookmarkStart w:id="177" w:name="metabric-n-1-936-dss"/>
    <w:p>
      <w:pPr>
        <w:pStyle w:val="Heading3"/>
      </w:pPr>
      <w:r>
        <w:t xml:space="preserve">4.7.2 METABRIC (N = 1 936; DSS)</w:t>
      </w:r>
    </w:p>
    <w:p>
      <w:pPr>
        <w:jc w:val="left"/>
        <w:spacing w:before="200"/>
        <w:pStyle w:val="ImageCaption"/>
      </w:pPr>
      <w:bookmarkStart w:id="172" w:name="tbl-er-subgroup"/>
      <w:r>
        <w:t xml:space="preserve">Tabela 14 — Análise de subgrupo por status de RE</w:t>
      </w:r>
    </w:p>
    <w:tbl>
      <w:tblPr>
        <w:tblStyle w:val="Table"/>
        <w:tblW w:type="auto" w:w="0"/>
        <w:tblLook w:firstRow="1" w:lastRow="0" w:firstColumn="0" w:lastColumn="0" w:noHBand="0" w:noVBand="0" w:val="0020"/>
      </w:tblPr>
      <w:tblGrid>
        <w:gridCol w:w="1622"/>
        <w:gridCol w:w="889"/>
        <w:gridCol w:w="1133"/>
        <w:gridCol w:w="2233"/>
        <w:gridCol w:w="1988"/>
        <w:gridCol w:w="1205"/>
      </w:tblGrid>
      <w:tr>
        <w:trPr>
          <w:tblHeader w:val="on"/>
        </w:trPr>
        <w:tc>
          <w:tcPr>
            <w:tcW w:w="1622" w:type="dxa"/>
          </w:tcPr>
          <w:p>
            <w:pPr>
              <w:pStyle w:val="Compact"/>
              <w:jc w:val="center"/>
            </w:pPr>
            <w:r>
              <w:t xml:space="preserve">Subgrupo</w:t>
            </w:r>
          </w:p>
        </w:tc>
        <w:tc>
          <w:tcPr>
            <w:tcW w:w="889" w:type="dxa"/>
          </w:tcPr>
          <w:p>
            <w:pPr>
              <w:pStyle w:val="Compact"/>
              <w:jc w:val="center"/>
            </w:pPr>
            <w:r>
              <w:t xml:space="preserve">N</w:t>
            </w:r>
          </w:p>
        </w:tc>
        <w:tc>
          <w:tcPr>
            <w:tcW w:w="1133" w:type="dxa"/>
          </w:tcPr>
          <w:p>
            <w:pPr>
              <w:pStyle w:val="Compact"/>
              <w:jc w:val="center"/>
            </w:pPr>
            <w:r>
              <w:t xml:space="preserve">Eventos</w:t>
            </w:r>
          </w:p>
        </w:tc>
        <w:tc>
          <w:tcPr>
            <w:tcW w:w="2233" w:type="dxa"/>
          </w:tcPr>
          <w:p>
            <w:pPr>
              <w:pStyle w:val="Compact"/>
              <w:jc w:val="center"/>
            </w:pPr>
            <w:r>
              <w:t xml:space="preserve">HR (IC 95%)</w:t>
            </w:r>
          </w:p>
        </w:tc>
        <w:tc>
          <w:tcPr>
            <w:tcW w:w="1988" w:type="dxa"/>
          </w:tcPr>
          <w:p>
            <w:pPr>
              <w:pStyle w:val="Compact"/>
              <w:jc w:val="center"/>
            </w:pPr>
            <w:r>
              <w:t xml:space="preserve">p</w:t>
            </w:r>
          </w:p>
        </w:tc>
        <w:tc>
          <w:tcPr>
            <w:tcW w:w="1205" w:type="dxa"/>
          </w:tcPr>
          <w:p>
            <w:pPr>
              <w:pStyle w:val="Compact"/>
              <w:jc w:val="center"/>
            </w:pPr>
            <w:r>
              <w:rPr>
                <w:i/>
                <w:iCs/>
              </w:rPr>
              <w:t xml:space="preserve">C-index</w:t>
            </w:r>
          </w:p>
        </w:tc>
      </w:tr>
      <w:tr>
        <w:tc>
          <w:tcPr>
            <w:tcW w:w="1622" w:type="dxa"/>
          </w:tcPr>
          <w:p>
            <w:pPr>
              <w:pStyle w:val="Compact"/>
              <w:jc w:val="center"/>
            </w:pPr>
            <w:r>
              <w:t xml:space="preserve">RE-positivo</w:t>
            </w:r>
          </w:p>
        </w:tc>
        <w:tc>
          <w:tcPr>
            <w:tcW w:w="889" w:type="dxa"/>
          </w:tcPr>
          <w:p>
            <w:pPr>
              <w:pStyle w:val="Compact"/>
              <w:jc w:val="center"/>
            </w:pPr>
            <w:r>
              <w:t xml:space="preserve">1 497</w:t>
            </w:r>
          </w:p>
        </w:tc>
        <w:tc>
          <w:tcPr>
            <w:tcW w:w="1133" w:type="dxa"/>
          </w:tcPr>
          <w:p>
            <w:pPr>
              <w:pStyle w:val="Compact"/>
              <w:jc w:val="center"/>
            </w:pPr>
            <w:r>
              <w:t xml:space="preserve">460</w:t>
            </w:r>
          </w:p>
        </w:tc>
        <w:tc>
          <w:tcPr>
            <w:tcW w:w="2233" w:type="dxa"/>
          </w:tcPr>
          <w:p>
            <w:pPr>
              <w:pStyle w:val="Compact"/>
              <w:jc w:val="center"/>
            </w:pPr>
            <w:r>
              <w:t xml:space="preserve">1,59 (1,44-1,76)</w:t>
            </w:r>
          </w:p>
        </w:tc>
        <w:tc>
          <w:tcPr>
            <w:tcW w:w="1988" w:type="dxa"/>
          </w:tcPr>
          <w:p>
            <w:pPr>
              <w:pStyle w:val="Compact"/>
              <w:jc w:val="center"/>
            </w:pPr>
            <w:r>
              <w:t xml:space="preserve">&lt;0,001</w:t>
            </w:r>
          </w:p>
        </w:tc>
        <w:tc>
          <w:tcPr>
            <w:tcW w:w="1205" w:type="dxa"/>
          </w:tcPr>
          <w:p>
            <w:pPr>
              <w:pStyle w:val="Compact"/>
              <w:jc w:val="center"/>
            </w:pPr>
            <w:r>
              <w:t xml:space="preserve">0,638</w:t>
            </w:r>
          </w:p>
        </w:tc>
      </w:tr>
      <w:tr>
        <w:tc>
          <w:tcPr>
            <w:tcW w:w="1622" w:type="dxa"/>
          </w:tcPr>
          <w:p>
            <w:pPr>
              <w:pStyle w:val="Compact"/>
              <w:jc w:val="center"/>
            </w:pPr>
            <w:r>
              <w:t xml:space="preserve">RE-negativo</w:t>
            </w:r>
          </w:p>
        </w:tc>
        <w:tc>
          <w:tcPr>
            <w:tcW w:w="889" w:type="dxa"/>
          </w:tcPr>
          <w:p>
            <w:pPr>
              <w:pStyle w:val="Compact"/>
              <w:jc w:val="center"/>
            </w:pPr>
            <w:r>
              <w:t xml:space="preserve">439</w:t>
            </w:r>
          </w:p>
        </w:tc>
        <w:tc>
          <w:tcPr>
            <w:tcW w:w="1133" w:type="dxa"/>
          </w:tcPr>
          <w:p>
            <w:pPr>
              <w:pStyle w:val="Compact"/>
              <w:jc w:val="center"/>
            </w:pPr>
            <w:r>
              <w:t xml:space="preserve">186</w:t>
            </w:r>
          </w:p>
        </w:tc>
        <w:tc>
          <w:tcPr>
            <w:tcW w:w="2233" w:type="dxa"/>
          </w:tcPr>
          <w:p>
            <w:pPr>
              <w:pStyle w:val="Compact"/>
              <w:jc w:val="center"/>
            </w:pPr>
            <w:r>
              <w:t xml:space="preserve">0,97 (0,82-1,15)</w:t>
            </w:r>
          </w:p>
        </w:tc>
        <w:tc>
          <w:tcPr>
            <w:tcW w:w="1988" w:type="dxa"/>
          </w:tcPr>
          <w:p>
            <w:pPr>
              <w:pStyle w:val="Compact"/>
              <w:jc w:val="center"/>
            </w:pPr>
            <w:r>
              <w:t xml:space="preserve">0,75</w:t>
            </w:r>
          </w:p>
        </w:tc>
        <w:tc>
          <w:tcPr>
            <w:tcW w:w="1205" w:type="dxa"/>
          </w:tcPr>
          <w:p>
            <w:pPr>
              <w:pStyle w:val="Compact"/>
              <w:jc w:val="center"/>
            </w:pPr>
            <w:r>
              <w:t xml:space="preserve">0,502</w:t>
            </w:r>
          </w:p>
        </w:tc>
      </w:tr>
      <w:tr>
        <w:tc>
          <w:tcPr>
            <w:tcW w:w="1622" w:type="dxa"/>
          </w:tcPr>
          <w:p>
            <w:pPr>
              <w:pStyle w:val="Compact"/>
              <w:jc w:val="center"/>
            </w:pPr>
            <w:r>
              <w:t xml:space="preserve">Interação</w:t>
            </w:r>
          </w:p>
        </w:tc>
        <w:tc>
          <w:tcPr>
            <w:tcW w:w="889" w:type="dxa"/>
          </w:tcPr>
          <w:p>
            <w:pPr>
              <w:pStyle w:val="Compact"/>
              <w:jc w:val="center"/>
            </w:pPr>
            <w:r>
              <w:t xml:space="preserve">—</w:t>
            </w:r>
          </w:p>
        </w:tc>
        <w:tc>
          <w:tcPr>
            <w:tcW w:w="1133" w:type="dxa"/>
          </w:tcPr>
          <w:p>
            <w:pPr>
              <w:pStyle w:val="Compact"/>
              <w:jc w:val="center"/>
            </w:pPr>
            <w:r>
              <w:t xml:space="preserve">—</w:t>
            </w:r>
          </w:p>
        </w:tc>
        <w:tc>
          <w:tcPr>
            <w:tcW w:w="2233" w:type="dxa"/>
          </w:tcPr>
          <w:p>
            <w:pPr>
              <w:pStyle w:val="Compact"/>
              <w:jc w:val="center"/>
            </w:pPr>
            <w:r>
              <w:t xml:space="preserve">—</w:t>
            </w:r>
          </w:p>
        </w:tc>
        <w:tc>
          <w:tcPr>
            <w:tcW w:w="1988" w:type="dxa"/>
          </w:tcPr>
          <w:p>
            <w:pPr>
              <w:pStyle w:val="Compact"/>
              <w:jc w:val="center"/>
            </w:pPr>
            <w:r>
              <w:t xml:space="preserve">p = 3,2 x 10</w:t>
            </w:r>
            <w:r>
              <w:rPr>
                <w:vertAlign w:val="superscript"/>
              </w:rPr>
              <w:t xml:space="preserve">-7</w:t>
            </w:r>
          </w:p>
        </w:tc>
        <w:tc>
          <w:tcPr>
            <w:tcW w:w="1205" w:type="dxa"/>
          </w:tcPr>
          <w:p>
            <w:pPr>
              <w:pStyle w:val="Compact"/>
              <w:jc w:val="center"/>
            </w:pPr>
            <w:r>
              <w:t xml:space="preserve">—</w:t>
            </w:r>
          </w:p>
        </w:tc>
      </w:tr>
    </w:tbl>
    <w:bookmarkEnd w:id="172"/>
    <w:p/>
    <w:bookmarkStart w:id="176" w:name="fig-er-forest"/>
    <w:p>
      <w:pPr>
        <w:pStyle w:val="Compact"/>
        <w:jc w:val="center"/>
      </w:pPr>
      <w:r>
        <w:drawing>
          <wp:inline>
            <wp:extent cx="5687999" cy="3412799"/>
            <wp:effectExtent b="0" l="0" r="0" t="0"/>
            <wp:docPr descr="" title="" id="174" name="Picture"/>
            <a:graphic>
              <a:graphicData uri="http://schemas.openxmlformats.org/drawingml/2006/picture">
                <pic:pic>
                  <pic:nvPicPr>
                    <pic:cNvPr descr="../figures/supp/pt/png/FigS_ER_Stratified_Forest_PT.png" id="175" name="Picture"/>
                    <pic:cNvPicPr>
                      <a:picLocks noChangeArrowheads="1" noChangeAspect="1"/>
                    </pic:cNvPicPr>
                  </pic:nvPicPr>
                  <pic:blipFill>
                    <a:blip r:embed="rId173"/>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estrogênio (ER-positivo e ER-negativo). No METABRIC (análise com maior poder), o sinal prognóstico está fortemente concentrado em RE+ (HR = 1,59) com ausência de sinal em RE- (HR = 0,97).</w:t>
      </w:r>
    </w:p>
    <w:bookmarkEnd w:id="176"/>
    <w:bookmarkEnd w:id="177"/>
    <w:bookmarkEnd w:id="178"/>
    <w:bookmarkStart w:id="196" w:name="resposta-patológica-completa-pcr"/>
    <w:p>
      <w:pPr>
        <w:pageBreakBefore/>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w:t>
      </w:r>
      <w:r>
        <w:t xml:space="preserve"> </w:t>
      </w:r>
      <w:r>
        <w:rPr>
          <w:i/>
          <w:iCs/>
        </w:rPr>
        <w:t xml:space="preserve">microarray</w:t>
      </w:r>
      <w:r>
        <w:t xml:space="preserve"> </w:t>
      </w:r>
      <w:r>
        <w:t xml:space="preserve">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9" w:name="tbl-pcr"/>
      <w:r>
        <w:t xml:space="preserve">Tabela 15 — Predição de pCR por coorte neoadjuvante. I-quadrado = 0%.</w:t>
      </w:r>
    </w:p>
    <w:tbl>
      <w:tblPr>
        <w:tblStyle w:val="Table"/>
        <w:tblW w:type="dxa" w:w="9070"/>
        <w:tblLayout w:type="fixed"/>
        <w:tblLook w:firstRow="1" w:lastRow="0" w:firstColumn="0" w:lastColumn="0" w:noHBand="0" w:noVBand="0" w:val="0020"/>
      </w:tblPr>
      <w:tblGrid>
        <w:gridCol w:w="2043"/>
        <w:gridCol w:w="650"/>
        <w:gridCol w:w="1149"/>
        <w:gridCol w:w="2151"/>
        <w:gridCol w:w="1289"/>
        <w:gridCol w:w="1788"/>
      </w:tblGrid>
      <w:tr>
        <w:trPr>
          <w:tblHeader w:val="on"/>
        </w:trPr>
        <w:tc>
          <w:tcPr>
            <w:tcW w:w="2043" w:type="dxa"/>
          </w:tcPr>
          <w:p>
            <w:pPr>
              <w:pStyle w:val="Compact"/>
              <w:jc w:val="center"/>
            </w:pPr>
            <w:r>
              <w:t xml:space="preserve">Coorte</w:t>
            </w:r>
          </w:p>
        </w:tc>
        <w:tc>
          <w:tcPr>
            <w:tcW w:w="650" w:type="dxa"/>
          </w:tcPr>
          <w:p>
            <w:pPr>
              <w:pStyle w:val="Compact"/>
              <w:jc w:val="center"/>
            </w:pPr>
            <w:r>
              <w:t xml:space="preserve">N</w:t>
            </w:r>
          </w:p>
        </w:tc>
        <w:tc>
          <w:tcPr>
            <w:tcW w:w="1149" w:type="dxa"/>
          </w:tcPr>
          <w:p>
            <w:pPr>
              <w:pStyle w:val="Compact"/>
              <w:jc w:val="center"/>
            </w:pPr>
            <w:r>
              <w:t xml:space="preserve">pCR n (%)</w:t>
            </w:r>
          </w:p>
        </w:tc>
        <w:tc>
          <w:tcPr>
            <w:tcW w:w="2151" w:type="dxa"/>
          </w:tcPr>
          <w:p>
            <w:pPr>
              <w:pStyle w:val="Compact"/>
              <w:jc w:val="center"/>
            </w:pPr>
            <w:r>
              <w:t xml:space="preserve">OR por 1 DP (IC 95%)</w:t>
            </w:r>
          </w:p>
        </w:tc>
        <w:tc>
          <w:tcPr>
            <w:tcW w:w="1289" w:type="dxa"/>
          </w:tcPr>
          <w:p>
            <w:pPr>
              <w:pStyle w:val="Compact"/>
              <w:jc w:val="center"/>
            </w:pPr>
            <w:r>
              <w:t xml:space="preserve">p</w:t>
            </w:r>
          </w:p>
        </w:tc>
        <w:tc>
          <w:tcPr>
            <w:tcW w:w="1788" w:type="dxa"/>
          </w:tcPr>
          <w:p>
            <w:pPr>
              <w:pStyle w:val="Compact"/>
              <w:jc w:val="center"/>
            </w:pPr>
            <w:r>
              <w:t xml:space="preserve">AUC (IC 95%)</w:t>
            </w:r>
          </w:p>
        </w:tc>
      </w:tr>
      <w:tr>
        <w:tc>
          <w:tcPr>
            <w:tcW w:w="2043" w:type="dxa"/>
          </w:tcPr>
          <w:p>
            <w:pPr>
              <w:pStyle w:val="Compact"/>
              <w:jc w:val="center"/>
            </w:pPr>
            <w:r>
              <w:t xml:space="preserve">GSE25066</w:t>
            </w:r>
          </w:p>
        </w:tc>
        <w:tc>
          <w:tcPr>
            <w:tcW w:w="650" w:type="dxa"/>
          </w:tcPr>
          <w:p>
            <w:pPr>
              <w:pStyle w:val="Compact"/>
              <w:jc w:val="center"/>
            </w:pPr>
            <w:r>
              <w:t xml:space="preserve">182</w:t>
            </w:r>
          </w:p>
        </w:tc>
        <w:tc>
          <w:tcPr>
            <w:tcW w:w="1149" w:type="dxa"/>
          </w:tcPr>
          <w:p>
            <w:pPr>
              <w:pStyle w:val="Compact"/>
              <w:jc w:val="center"/>
            </w:pPr>
            <w:r>
              <w:t xml:space="preserve">42 (23,1%)</w:t>
            </w:r>
          </w:p>
        </w:tc>
        <w:tc>
          <w:tcPr>
            <w:tcW w:w="2151" w:type="dxa"/>
          </w:tcPr>
          <w:p>
            <w:pPr>
              <w:pStyle w:val="Compact"/>
              <w:jc w:val="center"/>
            </w:pPr>
            <w:r>
              <w:t xml:space="preserve">1,44 (0,98-2,09)</w:t>
            </w:r>
          </w:p>
        </w:tc>
        <w:tc>
          <w:tcPr>
            <w:tcW w:w="1289" w:type="dxa"/>
          </w:tcPr>
          <w:p>
            <w:pPr>
              <w:pStyle w:val="Compact"/>
              <w:jc w:val="center"/>
            </w:pPr>
            <w:r>
              <w:t xml:space="preserve">0,060</w:t>
            </w:r>
          </w:p>
        </w:tc>
        <w:tc>
          <w:tcPr>
            <w:tcW w:w="1788" w:type="dxa"/>
          </w:tcPr>
          <w:p>
            <w:pPr>
              <w:pStyle w:val="Compact"/>
              <w:jc w:val="center"/>
            </w:pPr>
            <w:r>
              <w:t xml:space="preserve">0,576 (0,477-0,676)</w:t>
            </w:r>
          </w:p>
        </w:tc>
      </w:tr>
      <w:tr>
        <w:tc>
          <w:tcPr>
            <w:tcW w:w="2043" w:type="dxa"/>
          </w:tcPr>
          <w:p>
            <w:pPr>
              <w:pStyle w:val="Compact"/>
              <w:jc w:val="center"/>
            </w:pPr>
            <w:r>
              <w:t xml:space="preserve">GSE20194</w:t>
            </w:r>
          </w:p>
        </w:tc>
        <w:tc>
          <w:tcPr>
            <w:tcW w:w="650" w:type="dxa"/>
          </w:tcPr>
          <w:p>
            <w:pPr>
              <w:pStyle w:val="Compact"/>
              <w:jc w:val="center"/>
            </w:pPr>
            <w:r>
              <w:t xml:space="preserve">278</w:t>
            </w:r>
          </w:p>
        </w:tc>
        <w:tc>
          <w:tcPr>
            <w:tcW w:w="1149" w:type="dxa"/>
          </w:tcPr>
          <w:p>
            <w:pPr>
              <w:pStyle w:val="Compact"/>
              <w:jc w:val="center"/>
            </w:pPr>
            <w:r>
              <w:t xml:space="preserve">56 (20,1%)</w:t>
            </w:r>
          </w:p>
        </w:tc>
        <w:tc>
          <w:tcPr>
            <w:tcW w:w="2151" w:type="dxa"/>
          </w:tcPr>
          <w:p>
            <w:pPr>
              <w:pStyle w:val="Compact"/>
              <w:jc w:val="center"/>
            </w:pPr>
            <w:r>
              <w:t xml:space="preserve">1,73 (1,25-2,38)</w:t>
            </w:r>
          </w:p>
        </w:tc>
        <w:tc>
          <w:tcPr>
            <w:tcW w:w="1289" w:type="dxa"/>
          </w:tcPr>
          <w:p>
            <w:pPr>
              <w:pStyle w:val="Compact"/>
              <w:jc w:val="center"/>
            </w:pPr>
            <w:r>
              <w:t xml:space="preserve">&lt;0,001</w:t>
            </w:r>
          </w:p>
        </w:tc>
        <w:tc>
          <w:tcPr>
            <w:tcW w:w="1788" w:type="dxa"/>
          </w:tcPr>
          <w:p>
            <w:pPr>
              <w:pStyle w:val="Compact"/>
              <w:jc w:val="center"/>
            </w:pPr>
            <w:r>
              <w:t xml:space="preserve">0,660 (0,586-0,734)</w:t>
            </w:r>
          </w:p>
        </w:tc>
      </w:tr>
      <w:tr>
        <w:tc>
          <w:tcPr>
            <w:tcW w:w="2043" w:type="dxa"/>
          </w:tcPr>
          <w:p>
            <w:pPr>
              <w:pStyle w:val="Compact"/>
              <w:jc w:val="center"/>
            </w:pPr>
            <w:r>
              <w:t xml:space="preserve">GSE32646</w:t>
            </w:r>
          </w:p>
        </w:tc>
        <w:tc>
          <w:tcPr>
            <w:tcW w:w="650" w:type="dxa"/>
          </w:tcPr>
          <w:p>
            <w:pPr>
              <w:pStyle w:val="Compact"/>
              <w:jc w:val="center"/>
            </w:pPr>
            <w:r>
              <w:t xml:space="preserve">115</w:t>
            </w:r>
          </w:p>
        </w:tc>
        <w:tc>
          <w:tcPr>
            <w:tcW w:w="1149" w:type="dxa"/>
          </w:tcPr>
          <w:p>
            <w:pPr>
              <w:pStyle w:val="Compact"/>
              <w:jc w:val="center"/>
            </w:pPr>
            <w:r>
              <w:t xml:space="preserve">27 (23,5%)</w:t>
            </w:r>
          </w:p>
        </w:tc>
        <w:tc>
          <w:tcPr>
            <w:tcW w:w="2151" w:type="dxa"/>
          </w:tcPr>
          <w:p>
            <w:pPr>
              <w:pStyle w:val="Compact"/>
              <w:jc w:val="center"/>
            </w:pPr>
            <w:r>
              <w:t xml:space="preserve">2,10 (1,31-3,39)</w:t>
            </w:r>
          </w:p>
        </w:tc>
        <w:tc>
          <w:tcPr>
            <w:tcW w:w="1289" w:type="dxa"/>
          </w:tcPr>
          <w:p>
            <w:pPr>
              <w:pStyle w:val="Compact"/>
              <w:jc w:val="center"/>
            </w:pPr>
            <w:r>
              <w:t xml:space="preserve">0,002</w:t>
            </w:r>
          </w:p>
        </w:tc>
        <w:tc>
          <w:tcPr>
            <w:tcW w:w="1788" w:type="dxa"/>
          </w:tcPr>
          <w:p>
            <w:pPr>
              <w:pStyle w:val="Compact"/>
              <w:jc w:val="center"/>
            </w:pPr>
            <w:r>
              <w:t xml:space="preserve">0,716 (0,611-0,821)</w:t>
            </w:r>
          </w:p>
        </w:tc>
      </w:tr>
      <w:tr>
        <w:tc>
          <w:tcPr>
            <w:tcW w:w="2043" w:type="dxa"/>
          </w:tcPr>
          <w:p>
            <w:pPr>
              <w:pStyle w:val="Compact"/>
              <w:jc w:val="center"/>
            </w:pPr>
            <w:r>
              <w:t xml:space="preserve">I-SPY1</w:t>
            </w:r>
          </w:p>
        </w:tc>
        <w:tc>
          <w:tcPr>
            <w:tcW w:w="650" w:type="dxa"/>
          </w:tcPr>
          <w:p>
            <w:pPr>
              <w:pStyle w:val="Compact"/>
              <w:jc w:val="center"/>
            </w:pPr>
            <w:r>
              <w:t xml:space="preserve">122</w:t>
            </w:r>
          </w:p>
        </w:tc>
        <w:tc>
          <w:tcPr>
            <w:tcW w:w="1149" w:type="dxa"/>
          </w:tcPr>
          <w:p>
            <w:pPr>
              <w:pStyle w:val="Compact"/>
              <w:jc w:val="center"/>
            </w:pPr>
            <w:r>
              <w:t xml:space="preserve">32 (26,2%)</w:t>
            </w:r>
          </w:p>
        </w:tc>
        <w:tc>
          <w:tcPr>
            <w:tcW w:w="2151" w:type="dxa"/>
          </w:tcPr>
          <w:p>
            <w:pPr>
              <w:pStyle w:val="Compact"/>
              <w:jc w:val="center"/>
            </w:pPr>
            <w:r>
              <w:t xml:space="preserve">1,66 (1,05-2,63)</w:t>
            </w:r>
          </w:p>
        </w:tc>
        <w:tc>
          <w:tcPr>
            <w:tcW w:w="1289" w:type="dxa"/>
          </w:tcPr>
          <w:p>
            <w:pPr>
              <w:pStyle w:val="Compact"/>
              <w:jc w:val="center"/>
            </w:pPr>
            <w:r>
              <w:t xml:space="preserve">0,030</w:t>
            </w:r>
          </w:p>
        </w:tc>
        <w:tc>
          <w:tcPr>
            <w:tcW w:w="1788" w:type="dxa"/>
          </w:tcPr>
          <w:p>
            <w:pPr>
              <w:pStyle w:val="Compact"/>
              <w:jc w:val="center"/>
            </w:pPr>
            <w:r>
              <w:t xml:space="preserve">0,622 (0,517-0,726)</w:t>
            </w:r>
          </w:p>
        </w:tc>
      </w:tr>
      <w:tr>
        <w:tc>
          <w:tcPr>
            <w:tcW w:w="2043"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149" w:type="dxa"/>
          </w:tcPr>
          <w:p>
            <w:pPr>
              <w:pStyle w:val="Compact"/>
            </w:pPr>
          </w:p>
        </w:tc>
        <w:tc>
          <w:tcPr>
            <w:tcW w:w="2151" w:type="dxa"/>
          </w:tcPr>
          <w:p>
            <w:pPr>
              <w:pStyle w:val="Compact"/>
              <w:jc w:val="center"/>
            </w:pPr>
            <w:r>
              <w:rPr>
                <w:b/>
                <w:bCs/>
              </w:rPr>
              <w:t xml:space="preserve">1,69 (1,39-2,05)</w:t>
            </w:r>
          </w:p>
        </w:tc>
        <w:tc>
          <w:tcPr>
            <w:tcW w:w="1289" w:type="dxa"/>
          </w:tcPr>
          <w:p>
            <w:pPr>
              <w:pStyle w:val="Compact"/>
              <w:jc w:val="center"/>
            </w:pPr>
            <w:r>
              <w:rPr>
                <w:b/>
                <w:bCs/>
              </w:rPr>
              <w:t xml:space="preserve">1,9 x 10</w:t>
            </w:r>
            <w:r>
              <w:rPr>
                <w:b/>
                <w:bCs/>
                <w:vertAlign w:val="superscript"/>
              </w:rPr>
              <w:t xml:space="preserve">-7</w:t>
            </w:r>
          </w:p>
        </w:tc>
        <w:tc>
          <w:tcPr>
            <w:tcW w:w="1788" w:type="dxa"/>
          </w:tcPr>
          <w:p>
            <w:pPr>
              <w:pStyle w:val="Compact"/>
            </w:pPr>
          </w:p>
        </w:tc>
      </w:tr>
    </w:tbl>
    <w:bookmarkEnd w:id="179"/>
    <w:p/>
    <w:bookmarkStart w:id="183" w:name="fig-pcr-forest"/>
    <w:p>
      <w:pPr>
        <w:pStyle w:val="Compact"/>
        <w:jc w:val="center"/>
      </w:pPr>
      <w:r>
        <w:drawing>
          <wp:inline>
            <wp:extent cx="5687999" cy="3159999"/>
            <wp:effectExtent b="0" l="0" r="0" t="0"/>
            <wp:docPr descr="" title="" id="181" name="Picture"/>
            <a:graphic>
              <a:graphicData uri="http://schemas.openxmlformats.org/drawingml/2006/picture">
                <pic:pic>
                  <pic:nvPicPr>
                    <pic:cNvPr descr="../figures/pcr/pt/png/Fig_pCR1_Forest_OR_PT.png" id="182" name="Picture"/>
                    <pic:cNvPicPr>
                      <a:picLocks noChangeArrowheads="1" noChangeAspect="1"/>
                    </pic:cNvPicPr>
                  </pic:nvPicPr>
                  <pic:blipFill>
                    <a:blip r:embed="rId180"/>
                    <a:stretch>
                      <a:fillRect/>
                    </a:stretch>
                  </pic:blipFill>
                  <pic:spPr bwMode="auto">
                    <a:xfrm>
                      <a:off x="0" y="0"/>
                      <a:ext cx="5687999" cy="3159999"/>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3"/>
    <w:p>
      <w:r>
        <w:br w:type="page"/>
      </w:r>
    </w:p>
    <w:p>
      <w:pPr>
        <w:pStyle w:val="Compact"/>
        <w:jc w:val="center"/>
      </w:pPr>
      <w:bookmarkStart w:id="187" w:name="fig-pcr-roc"/>
      <w:r>
        <w:drawing>
          <wp:inline>
            <wp:extent cx="5687999" cy="4976999"/>
            <wp:effectExtent b="0" l="0" r="0" t="0"/>
            <wp:docPr descr="" title="" id="185" name="Picture"/>
            <a:graphic>
              <a:graphicData uri="http://schemas.openxmlformats.org/drawingml/2006/picture">
                <pic:pic>
                  <pic:nvPicPr>
                    <pic:cNvPr descr="../figures/pcr/pt/png/Fig_pCR2_ROC_PT.png" id="186" name="Picture"/>
                    <pic:cNvPicPr>
                      <a:picLocks noChangeArrowheads="1" noChangeAspect="1"/>
                    </pic:cNvPicPr>
                  </pic:nvPicPr>
                  <pic:blipFill>
                    <a:blip r:embed="rId184"/>
                    <a:stretch>
                      <a:fillRect/>
                    </a:stretch>
                  </pic:blipFill>
                  <pic:spPr bwMode="auto">
                    <a:xfrm>
                      <a:off x="0" y="0"/>
                      <a:ext cx="5687999" cy="4976999"/>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7"/>
    <w:p>
      <w:r>
        <w:br w:type="page"/>
      </w:r>
    </w:p>
    <w:p>
      <w:pPr>
        <w:pStyle w:val="Compact"/>
        <w:jc w:val="center"/>
      </w:pPr>
      <w:bookmarkStart w:id="191" w:name="fig-pcr-dist"/>
      <w:r>
        <w:drawing>
          <wp:inline>
            <wp:extent cx="5687999" cy="4265999"/>
            <wp:effectExtent b="0" l="0" r="0" t="0"/>
            <wp:docPr descr="" title="" id="189" name="Picture"/>
            <a:graphic>
              <a:graphicData uri="http://schemas.openxmlformats.org/drawingml/2006/picture">
                <pic:pic>
                  <pic:nvPicPr>
                    <pic:cNvPr descr="../figures/pcr/pt/png/Fig_pCR4_ScoreDist_PT.png" id="190" name="Picture"/>
                    <pic:cNvPicPr>
                      <a:picLocks noChangeArrowheads="1" noChangeAspect="1"/>
                    </pic:cNvPicPr>
                  </pic:nvPicPr>
                  <pic:blipFill>
                    <a:blip r:embed="rId188"/>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1"/>
    <w:p>
      <w:r>
        <w:br w:type="page"/>
      </w:r>
    </w:p>
    <w:p>
      <w:pPr>
        <w:pStyle w:val="Compact"/>
        <w:jc w:val="center"/>
      </w:pPr>
      <w:bookmarkStart w:id="195" w:name="fig-pcr-quartile"/>
      <w:r>
        <w:drawing>
          <wp:inline>
            <wp:extent cx="5687999" cy="3554999"/>
            <wp:effectExtent b="0" l="0" r="0" t="0"/>
            <wp:docPr descr="" title="" id="193" name="Picture"/>
            <a:graphic>
              <a:graphicData uri="http://schemas.openxmlformats.org/drawingml/2006/picture">
                <pic:pic>
                  <pic:nvPicPr>
                    <pic:cNvPr descr="../figures/pcr/pt/png/Fig_pCR3_QuartileRate_PT.png" id="194" name="Picture"/>
                    <pic:cNvPicPr>
                      <a:picLocks noChangeArrowheads="1" noChangeAspect="1"/>
                    </pic:cNvPicPr>
                  </pic:nvPicPr>
                  <pic:blipFill>
                    <a:blip r:embed="rId192"/>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5"/>
    <w:bookmarkEnd w:id="196"/>
    <w:bookmarkStart w:id="202" w:name="comparação-head-to-head-com-pam50-full"/>
    <w:p>
      <w:pPr>
        <w:pageBreakBefore/>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w:t>
      </w:r>
      <w:r>
        <w:t xml:space="preserve"> </w:t>
      </w:r>
      <w:r>
        <w:rPr>
          <w:i/>
          <w:iCs/>
        </w:rPr>
        <w:t xml:space="preserve">cross-plataforma</w:t>
      </w:r>
      <w:r>
        <w:t xml:space="preserve">,</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7"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9070"/>
        <w:tblLayout w:type="fixed"/>
        <w:tblLook w:firstRow="1" w:lastRow="0" w:firstColumn="0" w:lastColumn="0" w:noHBand="0" w:noVBand="0" w:val="0020"/>
      </w:tblPr>
      <w:tblGrid>
        <w:gridCol w:w="1300"/>
        <w:gridCol w:w="1274"/>
        <w:gridCol w:w="822"/>
        <w:gridCol w:w="822"/>
        <w:gridCol w:w="822"/>
        <w:gridCol w:w="1166"/>
        <w:gridCol w:w="2038"/>
        <w:gridCol w:w="826"/>
      </w:tblGrid>
      <w:tr>
        <w:trPr>
          <w:tblHeader w:val="on"/>
        </w:trPr>
        <w:tc>
          <w:tcPr>
            <w:tcW w:w="1300" w:type="dxa"/>
          </w:tcPr>
          <w:p>
            <w:pPr>
              <w:pStyle w:val="Compact"/>
              <w:jc w:val="center"/>
            </w:pPr>
            <w:r>
              <w:t xml:space="preserve">Coorte</w:t>
            </w:r>
          </w:p>
        </w:tc>
        <w:tc>
          <w:tcPr>
            <w:tcW w:w="1274" w:type="dxa"/>
          </w:tcPr>
          <w:p>
            <w:pPr>
              <w:pStyle w:val="Compact"/>
              <w:jc w:val="center"/>
            </w:pPr>
            <w:r>
              <w:t xml:space="preserve">Modo</w:t>
            </w:r>
          </w:p>
        </w:tc>
        <w:tc>
          <w:tcPr>
            <w:tcW w:w="822" w:type="dxa"/>
          </w:tcPr>
          <w:p>
            <w:pPr>
              <w:pStyle w:val="Compact"/>
              <w:jc w:val="center"/>
            </w:pPr>
            <w:r>
              <w:t xml:space="preserve">N</w:t>
            </w:r>
          </w:p>
        </w:tc>
        <w:tc>
          <w:tcPr>
            <w:tcW w:w="822" w:type="dxa"/>
          </w:tcPr>
          <w:p>
            <w:pPr>
              <w:pStyle w:val="Compact"/>
              <w:jc w:val="center"/>
            </w:pPr>
            <w:r>
              <w:t xml:space="preserve">C</w:t>
            </w:r>
            <w:r>
              <w:rPr>
                <w:vertAlign w:val="subscript"/>
              </w:rPr>
              <w:t xml:space="preserve">24</w:t>
            </w:r>
          </w:p>
        </w:tc>
        <w:tc>
          <w:tcPr>
            <w:tcW w:w="822" w:type="dxa"/>
          </w:tcPr>
          <w:p>
            <w:pPr>
              <w:pStyle w:val="Compact"/>
              <w:jc w:val="center"/>
            </w:pPr>
            <w:r>
              <w:t xml:space="preserve">C</w:t>
            </w:r>
            <w:r>
              <w:rPr>
                <w:vertAlign w:val="subscript"/>
              </w:rPr>
              <w:t xml:space="preserve">49</w:t>
            </w:r>
          </w:p>
        </w:tc>
        <w:tc>
          <w:tcPr>
            <w:tcW w:w="1166" w:type="dxa"/>
          </w:tcPr>
          <w:p>
            <w:pPr>
              <w:pStyle w:val="Compact"/>
              <w:jc w:val="center"/>
            </w:pPr>
            <w:r>
              <w:t xml:space="preserve">Delta-C</w:t>
            </w:r>
          </w:p>
        </w:tc>
        <w:tc>
          <w:tcPr>
            <w:tcW w:w="2038" w:type="dxa"/>
          </w:tcPr>
          <w:p>
            <w:pPr>
              <w:pStyle w:val="Compact"/>
              <w:jc w:val="center"/>
            </w:pPr>
            <w:r>
              <w:t xml:space="preserve">IC 95%</w:t>
            </w:r>
          </w:p>
        </w:tc>
        <w:tc>
          <w:tcPr>
            <w:tcW w:w="826" w:type="dxa"/>
          </w:tcPr>
          <w:p>
            <w:pPr>
              <w:pStyle w:val="Compact"/>
              <w:jc w:val="center"/>
            </w:pPr>
            <w:r>
              <w:t xml:space="preserve">r</w:t>
            </w:r>
          </w:p>
        </w:tc>
      </w:tr>
      <w:tr>
        <w:tc>
          <w:tcPr>
            <w:tcW w:w="1300" w:type="dxa"/>
          </w:tcPr>
          <w:p>
            <w:pPr>
              <w:pStyle w:val="Compact"/>
              <w:jc w:val="center"/>
            </w:pPr>
            <w:r>
              <w:t xml:space="preserve">TCGA-BRCA</w:t>
            </w:r>
          </w:p>
        </w:tc>
        <w:tc>
          <w:tcPr>
            <w:tcW w:w="1274" w:type="dxa"/>
          </w:tcPr>
          <w:p>
            <w:pPr>
              <w:pStyle w:val="Compact"/>
              <w:jc w:val="center"/>
            </w:pPr>
            <w:r>
              <w:t xml:space="preserve">intra</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0,631</w:t>
            </w:r>
          </w:p>
        </w:tc>
        <w:tc>
          <w:tcPr>
            <w:tcW w:w="1166" w:type="dxa"/>
          </w:tcPr>
          <w:p>
            <w:pPr>
              <w:pStyle w:val="Compact"/>
              <w:jc w:val="center"/>
            </w:pPr>
            <w:r>
              <w:t xml:space="preserve">-0,008</w:t>
            </w:r>
          </w:p>
        </w:tc>
        <w:tc>
          <w:tcPr>
            <w:tcW w:w="2038" w:type="dxa"/>
          </w:tcPr>
          <w:p>
            <w:pPr>
              <w:pStyle w:val="Compact"/>
              <w:jc w:val="center"/>
            </w:pPr>
            <w:r>
              <w:t xml:space="preserve">(-0,038, +0,022)</w:t>
            </w:r>
          </w:p>
        </w:tc>
        <w:tc>
          <w:tcPr>
            <w:tcW w:w="826" w:type="dxa"/>
          </w:tcPr>
          <w:p>
            <w:pPr>
              <w:pStyle w:val="Compact"/>
              <w:jc w:val="center"/>
            </w:pPr>
            <w:r>
              <w:t xml:space="preserve">0,853</w:t>
            </w:r>
          </w:p>
        </w:tc>
      </w:tr>
      <w:tr>
        <w:tc>
          <w:tcPr>
            <w:tcW w:w="1300" w:type="dxa"/>
          </w:tcPr>
          <w:p>
            <w:pPr>
              <w:pStyle w:val="Compact"/>
              <w:jc w:val="center"/>
            </w:pPr>
            <w:r>
              <w:t xml:space="preserve">TCGA-BRCA</w:t>
            </w:r>
          </w:p>
        </w:tc>
        <w:tc>
          <w:tcPr>
            <w:tcW w:w="1274" w:type="dxa"/>
          </w:tcPr>
          <w:p>
            <w:pPr>
              <w:pStyle w:val="Compact"/>
              <w:jc w:val="center"/>
            </w:pPr>
            <w:r>
              <w:t xml:space="preserve">congelado</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0,634</w:t>
            </w:r>
          </w:p>
        </w:tc>
        <w:tc>
          <w:tcPr>
            <w:tcW w:w="1166" w:type="dxa"/>
          </w:tcPr>
          <w:p>
            <w:pPr>
              <w:pStyle w:val="Compact"/>
              <w:jc w:val="center"/>
            </w:pPr>
            <w:r>
              <w:t xml:space="preserve">-0,010</w:t>
            </w:r>
          </w:p>
        </w:tc>
        <w:tc>
          <w:tcPr>
            <w:tcW w:w="2038" w:type="dxa"/>
          </w:tcPr>
          <w:p>
            <w:pPr>
              <w:pStyle w:val="Compact"/>
              <w:jc w:val="center"/>
            </w:pPr>
            <w:r>
              <w:t xml:space="preserve">(-0,039, +0,020)</w:t>
            </w:r>
          </w:p>
        </w:tc>
        <w:tc>
          <w:tcPr>
            <w:tcW w:w="826" w:type="dxa"/>
          </w:tcPr>
          <w:p>
            <w:pPr>
              <w:pStyle w:val="Compact"/>
              <w:jc w:val="center"/>
            </w:pPr>
            <w:r>
              <w:t xml:space="preserve">0,864</w:t>
            </w:r>
          </w:p>
        </w:tc>
      </w:tr>
      <w:tr>
        <w:tc>
          <w:tcPr>
            <w:tcW w:w="1300" w:type="dxa"/>
          </w:tcPr>
          <w:p>
            <w:pPr>
              <w:pStyle w:val="Compact"/>
              <w:jc w:val="center"/>
            </w:pPr>
            <w:r>
              <w:t xml:space="preserve">METABRIC</w:t>
            </w:r>
          </w:p>
        </w:tc>
        <w:tc>
          <w:tcPr>
            <w:tcW w:w="1274" w:type="dxa"/>
          </w:tcPr>
          <w:p>
            <w:pPr>
              <w:pStyle w:val="Compact"/>
              <w:jc w:val="center"/>
            </w:pPr>
            <w:r>
              <w:t xml:space="preserve">intra</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0,616</w:t>
            </w:r>
          </w:p>
        </w:tc>
        <w:tc>
          <w:tcPr>
            <w:tcW w:w="1166" w:type="dxa"/>
          </w:tcPr>
          <w:p>
            <w:pPr>
              <w:pStyle w:val="Compact"/>
              <w:jc w:val="center"/>
            </w:pPr>
            <w:r>
              <w:rPr>
                <w:b/>
                <w:bCs/>
              </w:rPr>
              <w:t xml:space="preserve">+0,022</w:t>
            </w:r>
          </w:p>
        </w:tc>
        <w:tc>
          <w:tcPr>
            <w:tcW w:w="2038" w:type="dxa"/>
          </w:tcPr>
          <w:p>
            <w:pPr>
              <w:pStyle w:val="Compact"/>
              <w:jc w:val="center"/>
            </w:pPr>
            <w:r>
              <w:t xml:space="preserve">(+0,011, +0,032)</w:t>
            </w:r>
          </w:p>
        </w:tc>
        <w:tc>
          <w:tcPr>
            <w:tcW w:w="826" w:type="dxa"/>
          </w:tcPr>
          <w:p>
            <w:pPr>
              <w:pStyle w:val="Compact"/>
              <w:jc w:val="center"/>
            </w:pPr>
            <w:r>
              <w:t xml:space="preserve">0,902</w:t>
            </w:r>
          </w:p>
        </w:tc>
      </w:tr>
      <w:tr>
        <w:tc>
          <w:tcPr>
            <w:tcW w:w="1300" w:type="dxa"/>
          </w:tcPr>
          <w:p>
            <w:pPr>
              <w:pStyle w:val="Compact"/>
              <w:jc w:val="center"/>
            </w:pPr>
            <w:r>
              <w:t xml:space="preserve">METABRIC</w:t>
            </w:r>
          </w:p>
        </w:tc>
        <w:tc>
          <w:tcPr>
            <w:tcW w:w="1274" w:type="dxa"/>
          </w:tcPr>
          <w:p>
            <w:pPr>
              <w:pStyle w:val="Compact"/>
              <w:jc w:val="center"/>
            </w:pPr>
            <w:r>
              <w:t xml:space="preserve">congelado</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0,622</w:t>
            </w:r>
          </w:p>
        </w:tc>
        <w:tc>
          <w:tcPr>
            <w:tcW w:w="1166" w:type="dxa"/>
          </w:tcPr>
          <w:p>
            <w:pPr>
              <w:pStyle w:val="Compact"/>
              <w:jc w:val="center"/>
            </w:pPr>
            <w:r>
              <w:rPr>
                <w:b/>
                <w:bCs/>
              </w:rPr>
              <w:t xml:space="preserve">+0,017</w:t>
            </w:r>
          </w:p>
        </w:tc>
        <w:tc>
          <w:tcPr>
            <w:tcW w:w="2038" w:type="dxa"/>
          </w:tcPr>
          <w:p>
            <w:pPr>
              <w:pStyle w:val="Compact"/>
              <w:jc w:val="center"/>
            </w:pPr>
            <w:r>
              <w:t xml:space="preserve">(+0,007, +0,027)</w:t>
            </w:r>
          </w:p>
        </w:tc>
        <w:tc>
          <w:tcPr>
            <w:tcW w:w="826" w:type="dxa"/>
          </w:tcPr>
          <w:p>
            <w:pPr>
              <w:pStyle w:val="Compact"/>
              <w:jc w:val="center"/>
            </w:pPr>
            <w:r>
              <w:t xml:space="preserve">0,914</w:t>
            </w:r>
          </w:p>
        </w:tc>
      </w:tr>
      <w:tr>
        <w:tc>
          <w:tcPr>
            <w:tcW w:w="1300" w:type="dxa"/>
          </w:tcPr>
          <w:p>
            <w:pPr>
              <w:pStyle w:val="Compact"/>
              <w:jc w:val="center"/>
            </w:pPr>
            <w:r>
              <w:t xml:space="preserve">GSE20685</w:t>
            </w:r>
          </w:p>
        </w:tc>
        <w:tc>
          <w:tcPr>
            <w:tcW w:w="1274" w:type="dxa"/>
          </w:tcPr>
          <w:p>
            <w:pPr>
              <w:pStyle w:val="Compact"/>
              <w:jc w:val="center"/>
            </w:pPr>
            <w:r>
              <w:t xml:space="preserve">intra</w:t>
            </w:r>
          </w:p>
        </w:tc>
        <w:tc>
          <w:tcPr>
            <w:tcW w:w="822" w:type="dxa"/>
          </w:tcPr>
          <w:p>
            <w:pPr>
              <w:pStyle w:val="Compact"/>
              <w:jc w:val="center"/>
            </w:pPr>
            <w:r>
              <w:t xml:space="preserve">327</w:t>
            </w:r>
          </w:p>
        </w:tc>
        <w:tc>
          <w:tcPr>
            <w:tcW w:w="822" w:type="dxa"/>
          </w:tcPr>
          <w:p>
            <w:pPr>
              <w:pStyle w:val="Compact"/>
              <w:jc w:val="center"/>
            </w:pPr>
            <w:r>
              <w:t xml:space="preserve">0,626</w:t>
            </w:r>
          </w:p>
        </w:tc>
        <w:tc>
          <w:tcPr>
            <w:tcW w:w="822" w:type="dxa"/>
          </w:tcPr>
          <w:p>
            <w:pPr>
              <w:pStyle w:val="Compact"/>
              <w:jc w:val="center"/>
            </w:pPr>
            <w:r>
              <w:t xml:space="preserve">0,571</w:t>
            </w:r>
          </w:p>
        </w:tc>
        <w:tc>
          <w:tcPr>
            <w:tcW w:w="1166" w:type="dxa"/>
          </w:tcPr>
          <w:p>
            <w:pPr>
              <w:pStyle w:val="Compact"/>
              <w:jc w:val="center"/>
            </w:pPr>
            <w:r>
              <w:rPr>
                <w:b/>
                <w:bCs/>
              </w:rPr>
              <w:t xml:space="preserve">+0,055</w:t>
            </w:r>
          </w:p>
        </w:tc>
        <w:tc>
          <w:tcPr>
            <w:tcW w:w="2038" w:type="dxa"/>
          </w:tcPr>
          <w:p>
            <w:pPr>
              <w:pStyle w:val="Compact"/>
              <w:jc w:val="center"/>
            </w:pPr>
            <w:r>
              <w:t xml:space="preserve">(+0,010, +0,101)</w:t>
            </w:r>
          </w:p>
        </w:tc>
        <w:tc>
          <w:tcPr>
            <w:tcW w:w="826" w:type="dxa"/>
          </w:tcPr>
          <w:p>
            <w:pPr>
              <w:pStyle w:val="Compact"/>
              <w:jc w:val="center"/>
            </w:pPr>
            <w:r>
              <w:t xml:space="preserve">0,823</w:t>
            </w:r>
          </w:p>
        </w:tc>
      </w:tr>
      <w:tr>
        <w:tc>
          <w:tcPr>
            <w:tcW w:w="1300" w:type="dxa"/>
          </w:tcPr>
          <w:p>
            <w:pPr>
              <w:pStyle w:val="Compact"/>
              <w:jc w:val="center"/>
            </w:pPr>
            <w:r>
              <w:t xml:space="preserve">GSE20685</w:t>
            </w:r>
          </w:p>
        </w:tc>
        <w:tc>
          <w:tcPr>
            <w:tcW w:w="1274" w:type="dxa"/>
          </w:tcPr>
          <w:p>
            <w:pPr>
              <w:pStyle w:val="Compact"/>
              <w:jc w:val="center"/>
            </w:pPr>
            <w:r>
              <w:t xml:space="preserve">congelado</w:t>
            </w:r>
          </w:p>
        </w:tc>
        <w:tc>
          <w:tcPr>
            <w:tcW w:w="822" w:type="dxa"/>
          </w:tcPr>
          <w:p>
            <w:pPr>
              <w:pStyle w:val="Compact"/>
              <w:jc w:val="center"/>
            </w:pPr>
            <w:r>
              <w:t xml:space="preserve">327</w:t>
            </w:r>
          </w:p>
        </w:tc>
        <w:tc>
          <w:tcPr>
            <w:tcW w:w="822" w:type="dxa"/>
          </w:tcPr>
          <w:p>
            <w:pPr>
              <w:pStyle w:val="Compact"/>
              <w:jc w:val="center"/>
            </w:pPr>
            <w:r>
              <w:t xml:space="preserve">0,591</w:t>
            </w:r>
          </w:p>
        </w:tc>
        <w:tc>
          <w:tcPr>
            <w:tcW w:w="822" w:type="dxa"/>
          </w:tcPr>
          <w:p>
            <w:pPr>
              <w:pStyle w:val="Compact"/>
              <w:jc w:val="center"/>
            </w:pPr>
            <w:r>
              <w:t xml:space="preserve">0,544</w:t>
            </w:r>
          </w:p>
        </w:tc>
        <w:tc>
          <w:tcPr>
            <w:tcW w:w="1166" w:type="dxa"/>
          </w:tcPr>
          <w:p>
            <w:pPr>
              <w:pStyle w:val="Compact"/>
              <w:jc w:val="center"/>
            </w:pPr>
            <w:r>
              <w:rPr>
                <w:b/>
                <w:bCs/>
              </w:rPr>
              <w:t xml:space="preserve">+0,047</w:t>
            </w:r>
          </w:p>
        </w:tc>
        <w:tc>
          <w:tcPr>
            <w:tcW w:w="2038" w:type="dxa"/>
          </w:tcPr>
          <w:p>
            <w:pPr>
              <w:pStyle w:val="Compact"/>
              <w:jc w:val="center"/>
            </w:pPr>
            <w:r>
              <w:t xml:space="preserve">(+0,007, +0,085)</w:t>
            </w:r>
          </w:p>
        </w:tc>
        <w:tc>
          <w:tcPr>
            <w:tcW w:w="826" w:type="dxa"/>
          </w:tcPr>
          <w:p>
            <w:pPr>
              <w:pStyle w:val="Compact"/>
              <w:jc w:val="center"/>
            </w:pPr>
            <w:r>
              <w:t xml:space="preserve">0,843</w:t>
            </w:r>
          </w:p>
        </w:tc>
      </w:tr>
      <w:tr>
        <w:tc>
          <w:tcPr>
            <w:tcW w:w="1300" w:type="dxa"/>
          </w:tcPr>
          <w:p>
            <w:pPr>
              <w:pStyle w:val="Compact"/>
              <w:jc w:val="center"/>
            </w:pPr>
            <w:r>
              <w:t xml:space="preserve">GSE1456</w:t>
            </w:r>
          </w:p>
        </w:tc>
        <w:tc>
          <w:tcPr>
            <w:tcW w:w="1274" w:type="dxa"/>
          </w:tcPr>
          <w:p>
            <w:pPr>
              <w:pStyle w:val="Compact"/>
              <w:jc w:val="center"/>
            </w:pPr>
            <w:r>
              <w:t xml:space="preserve">intra</w:t>
            </w:r>
          </w:p>
        </w:tc>
        <w:tc>
          <w:tcPr>
            <w:tcW w:w="822" w:type="dxa"/>
          </w:tcPr>
          <w:p>
            <w:pPr>
              <w:pStyle w:val="Compact"/>
              <w:jc w:val="center"/>
            </w:pPr>
            <w:r>
              <w:t xml:space="preserve">159</w:t>
            </w:r>
          </w:p>
        </w:tc>
        <w:tc>
          <w:tcPr>
            <w:tcW w:w="822" w:type="dxa"/>
          </w:tcPr>
          <w:p>
            <w:pPr>
              <w:pStyle w:val="Compact"/>
              <w:jc w:val="center"/>
            </w:pPr>
            <w:r>
              <w:t xml:space="preserve">0,661</w:t>
            </w:r>
          </w:p>
        </w:tc>
        <w:tc>
          <w:tcPr>
            <w:tcW w:w="822" w:type="dxa"/>
          </w:tcPr>
          <w:p>
            <w:pPr>
              <w:pStyle w:val="Compact"/>
              <w:jc w:val="center"/>
            </w:pPr>
            <w:r>
              <w:t xml:space="preserve">0,564</w:t>
            </w:r>
          </w:p>
        </w:tc>
        <w:tc>
          <w:tcPr>
            <w:tcW w:w="1166" w:type="dxa"/>
          </w:tcPr>
          <w:p>
            <w:pPr>
              <w:pStyle w:val="Compact"/>
              <w:jc w:val="center"/>
            </w:pPr>
            <w:r>
              <w:rPr>
                <w:b/>
                <w:bCs/>
              </w:rPr>
              <w:t xml:space="preserve">+0,097</w:t>
            </w:r>
          </w:p>
        </w:tc>
        <w:tc>
          <w:tcPr>
            <w:tcW w:w="2038" w:type="dxa"/>
          </w:tcPr>
          <w:p>
            <w:pPr>
              <w:pStyle w:val="Compact"/>
              <w:jc w:val="center"/>
            </w:pPr>
            <w:r>
              <w:t xml:space="preserve">(+0,032, +0,166)</w:t>
            </w:r>
          </w:p>
        </w:tc>
        <w:tc>
          <w:tcPr>
            <w:tcW w:w="826" w:type="dxa"/>
          </w:tcPr>
          <w:p>
            <w:pPr>
              <w:pStyle w:val="Compact"/>
              <w:jc w:val="center"/>
            </w:pPr>
            <w:r>
              <w:t xml:space="preserve">0,697</w:t>
            </w:r>
          </w:p>
        </w:tc>
      </w:tr>
      <w:tr>
        <w:tc>
          <w:tcPr>
            <w:tcW w:w="1300" w:type="dxa"/>
          </w:tcPr>
          <w:p>
            <w:pPr>
              <w:pStyle w:val="Compact"/>
              <w:jc w:val="center"/>
            </w:pPr>
            <w:r>
              <w:t xml:space="preserve">GSE1456</w:t>
            </w:r>
          </w:p>
        </w:tc>
        <w:tc>
          <w:tcPr>
            <w:tcW w:w="1274" w:type="dxa"/>
          </w:tcPr>
          <w:p>
            <w:pPr>
              <w:pStyle w:val="Compact"/>
              <w:jc w:val="center"/>
            </w:pPr>
            <w:r>
              <w:t xml:space="preserve">congelado</w:t>
            </w:r>
          </w:p>
        </w:tc>
        <w:tc>
          <w:tcPr>
            <w:tcW w:w="822" w:type="dxa"/>
          </w:tcPr>
          <w:p>
            <w:pPr>
              <w:pStyle w:val="Compact"/>
              <w:jc w:val="center"/>
            </w:pPr>
            <w:r>
              <w:t xml:space="preserve">159</w:t>
            </w:r>
          </w:p>
        </w:tc>
        <w:tc>
          <w:tcPr>
            <w:tcW w:w="822" w:type="dxa"/>
          </w:tcPr>
          <w:p>
            <w:pPr>
              <w:pStyle w:val="Compact"/>
              <w:jc w:val="center"/>
            </w:pPr>
            <w:r>
              <w:t xml:space="preserve">0,622</w:t>
            </w:r>
          </w:p>
        </w:tc>
        <w:tc>
          <w:tcPr>
            <w:tcW w:w="822" w:type="dxa"/>
          </w:tcPr>
          <w:p>
            <w:pPr>
              <w:pStyle w:val="Compact"/>
              <w:jc w:val="center"/>
            </w:pPr>
            <w:r>
              <w:t xml:space="preserve">0,510</w:t>
            </w:r>
          </w:p>
        </w:tc>
        <w:tc>
          <w:tcPr>
            <w:tcW w:w="1166" w:type="dxa"/>
          </w:tcPr>
          <w:p>
            <w:pPr>
              <w:pStyle w:val="Compact"/>
              <w:jc w:val="center"/>
            </w:pPr>
            <w:r>
              <w:rPr>
                <w:b/>
                <w:bCs/>
              </w:rPr>
              <w:t xml:space="preserve">+0,111</w:t>
            </w:r>
          </w:p>
        </w:tc>
        <w:tc>
          <w:tcPr>
            <w:tcW w:w="2038" w:type="dxa"/>
          </w:tcPr>
          <w:p>
            <w:pPr>
              <w:pStyle w:val="Compact"/>
              <w:jc w:val="center"/>
            </w:pPr>
            <w:r>
              <w:t xml:space="preserve">(+0,045, +0,181)</w:t>
            </w:r>
          </w:p>
        </w:tc>
        <w:tc>
          <w:tcPr>
            <w:tcW w:w="826" w:type="dxa"/>
          </w:tcPr>
          <w:p>
            <w:pPr>
              <w:pStyle w:val="Compact"/>
              <w:jc w:val="center"/>
            </w:pPr>
            <w:r>
              <w:t xml:space="preserve">0,617</w:t>
            </w:r>
          </w:p>
        </w:tc>
      </w:tr>
    </w:tbl>
    <w:bookmarkEnd w:id="197"/>
    <w:p/>
    <w:bookmarkStart w:id="201" w:name="fig-headtohead"/>
    <w:p>
      <w:pPr>
        <w:pStyle w:val="Compact"/>
        <w:jc w:val="center"/>
      </w:pPr>
      <w:r>
        <w:drawing>
          <wp:inline>
            <wp:extent cx="5687999" cy="3554999"/>
            <wp:effectExtent b="0" l="0" r="0" t="0"/>
            <wp:docPr descr="" title="" id="199" name="Picture"/>
            <a:graphic>
              <a:graphicData uri="http://schemas.openxmlformats.org/drawingml/2006/picture">
                <pic:pic>
                  <pic:nvPicPr>
                    <pic:cNvPr descr="../figures/supp/pt/png/FigS_HeadToHead_24vs50_PT.png" id="200" name="Picture"/>
                    <pic:cNvPicPr>
                      <a:picLocks noChangeArrowheads="1" noChangeAspect="1"/>
                    </pic:cNvPicPr>
                  </pic:nvPicPr>
                  <pic:blipFill>
                    <a:blip r:embed="rId198"/>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e modo de pontuação. Em TCGA-BRCA, desempenho equivalente. Nas três coortes restantes, o modelo de 24 genes superou significativamente o de 49 genes, com vantagem crescente com a distância de plataforma em relação ao SCAN-B.</w:t>
      </w:r>
    </w:p>
    <w:bookmarkEnd w:id="201"/>
    <w:bookmarkEnd w:id="202"/>
    <w:bookmarkStart w:id="208" w:name="comparação-com-assinaturas-estabelecidas"/>
    <w:p>
      <w:pPr>
        <w:pageBreakBefore/>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em toda a faixa — nunca sendo pior que os dois competidores simultaneamente em nenhuma coorte.</w:t>
      </w:r>
    </w:p>
    <w:p>
      <w:pPr>
        <w:jc w:val="left"/>
        <w:spacing w:before="200"/>
        <w:pStyle w:val="ImageCaption"/>
      </w:pPr>
      <w:bookmarkStart w:id="203"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9070"/>
        <w:tblLayout w:type="fixed"/>
        <w:tblLook w:firstRow="1" w:lastRow="0" w:firstColumn="0" w:lastColumn="0" w:noHBand="0" w:noVBand="0" w:val="0020"/>
      </w:tblPr>
      <w:tblGrid>
        <w:gridCol w:w="1300"/>
        <w:gridCol w:w="730"/>
        <w:gridCol w:w="1267"/>
        <w:gridCol w:w="987"/>
        <w:gridCol w:w="1151"/>
        <w:gridCol w:w="1212"/>
        <w:gridCol w:w="1151"/>
        <w:gridCol w:w="1272"/>
      </w:tblGrid>
      <w:tr>
        <w:trPr>
          <w:tblHeader w:val="on"/>
        </w:trPr>
        <w:tc>
          <w:tcPr>
            <w:tcW w:w="1300" w:type="dxa"/>
          </w:tcPr>
          <w:p>
            <w:pPr>
              <w:pStyle w:val="Compact"/>
              <w:jc w:val="center"/>
            </w:pPr>
            <w:r>
              <w:t xml:space="preserve">Coorte</w:t>
            </w:r>
          </w:p>
        </w:tc>
        <w:tc>
          <w:tcPr>
            <w:tcW w:w="730" w:type="dxa"/>
          </w:tcPr>
          <w:p>
            <w:pPr>
              <w:pStyle w:val="Compact"/>
              <w:jc w:val="center"/>
            </w:pPr>
            <w:r>
              <w:t xml:space="preserve">N</w:t>
            </w:r>
          </w:p>
        </w:tc>
        <w:tc>
          <w:tcPr>
            <w:tcW w:w="1267" w:type="dxa"/>
          </w:tcPr>
          <w:p>
            <w:pPr>
              <w:pStyle w:val="Compact"/>
              <w:jc w:val="center"/>
            </w:pPr>
            <w:r>
              <w:t xml:space="preserve">CorePAM C</w:t>
            </w:r>
          </w:p>
        </w:tc>
        <w:tc>
          <w:tcPr>
            <w:tcW w:w="987" w:type="dxa"/>
          </w:tcPr>
          <w:p>
            <w:pPr>
              <w:pStyle w:val="Compact"/>
              <w:jc w:val="center"/>
            </w:pPr>
            <w:r>
              <w:rPr>
                <w:i/>
                <w:iCs/>
              </w:rPr>
              <w:t xml:space="preserve">ROR-S</w:t>
            </w:r>
            <w:r>
              <w:t xml:space="preserve"> </w:t>
            </w:r>
            <w:r>
              <w:t xml:space="preserve">C</w:t>
            </w:r>
          </w:p>
        </w:tc>
        <w:tc>
          <w:tcPr>
            <w:tcW w:w="1151" w:type="dxa"/>
          </w:tcPr>
          <w:p>
            <w:pPr>
              <w:pStyle w:val="Compact"/>
              <w:jc w:val="center"/>
            </w:pPr>
            <w:r>
              <w:t xml:space="preserve">ODX-RS C</w:t>
            </w:r>
          </w:p>
        </w:tc>
        <w:tc>
          <w:tcPr>
            <w:tcW w:w="1212" w:type="dxa"/>
          </w:tcPr>
          <w:p>
            <w:pPr>
              <w:pStyle w:val="Compact"/>
              <w:jc w:val="center"/>
            </w:pPr>
            <w:r>
              <w:t xml:space="preserve">CorePAM HR</w:t>
            </w:r>
          </w:p>
        </w:tc>
        <w:tc>
          <w:tcPr>
            <w:tcW w:w="1151" w:type="dxa"/>
          </w:tcPr>
          <w:p>
            <w:pPr>
              <w:pStyle w:val="Compact"/>
              <w:jc w:val="center"/>
            </w:pPr>
            <w:r>
              <w:rPr>
                <w:i/>
                <w:iCs/>
              </w:rPr>
              <w:t xml:space="preserve">ROR-S</w:t>
            </w:r>
            <w:r>
              <w:t xml:space="preserve"> </w:t>
            </w:r>
            <w:r>
              <w:t xml:space="preserve">HR</w:t>
            </w:r>
          </w:p>
        </w:tc>
        <w:tc>
          <w:tcPr>
            <w:tcW w:w="1272" w:type="dxa"/>
          </w:tcPr>
          <w:p>
            <w:pPr>
              <w:pStyle w:val="Compact"/>
              <w:jc w:val="center"/>
            </w:pPr>
            <w:r>
              <w:t xml:space="preserve">ODX-RS HR</w:t>
            </w:r>
          </w:p>
        </w:tc>
      </w:tr>
      <w:tr>
        <w:tc>
          <w:tcPr>
            <w:tcW w:w="1300" w:type="dxa"/>
          </w:tcPr>
          <w:p>
            <w:pPr>
              <w:pStyle w:val="Compact"/>
              <w:jc w:val="center"/>
            </w:pPr>
            <w:r>
              <w:t xml:space="preserve">SCAN-B</w:t>
            </w:r>
          </w:p>
        </w:tc>
        <w:tc>
          <w:tcPr>
            <w:tcW w:w="730" w:type="dxa"/>
          </w:tcPr>
          <w:p>
            <w:pPr>
              <w:pStyle w:val="Compact"/>
              <w:jc w:val="center"/>
            </w:pPr>
            <w:r>
              <w:t xml:space="preserve">3 069</w:t>
            </w:r>
          </w:p>
        </w:tc>
        <w:tc>
          <w:tcPr>
            <w:tcW w:w="1267" w:type="dxa"/>
          </w:tcPr>
          <w:p>
            <w:pPr>
              <w:pStyle w:val="Compact"/>
              <w:jc w:val="center"/>
            </w:pPr>
            <w:r>
              <w:rPr>
                <w:b/>
                <w:bCs/>
              </w:rPr>
              <w:t xml:space="preserve">0,698</w:t>
            </w:r>
          </w:p>
        </w:tc>
        <w:tc>
          <w:tcPr>
            <w:tcW w:w="987" w:type="dxa"/>
          </w:tcPr>
          <w:p>
            <w:pPr>
              <w:pStyle w:val="Compact"/>
              <w:jc w:val="center"/>
            </w:pPr>
            <w:r>
              <w:t xml:space="preserve">0,641</w:t>
            </w:r>
          </w:p>
        </w:tc>
        <w:tc>
          <w:tcPr>
            <w:tcW w:w="1151" w:type="dxa"/>
          </w:tcPr>
          <w:p>
            <w:pPr>
              <w:pStyle w:val="Compact"/>
              <w:jc w:val="center"/>
            </w:pPr>
            <w:r>
              <w:t xml:space="preserve">0,607</w:t>
            </w:r>
          </w:p>
        </w:tc>
        <w:tc>
          <w:tcPr>
            <w:tcW w:w="1212" w:type="dxa"/>
          </w:tcPr>
          <w:p>
            <w:pPr>
              <w:pStyle w:val="Compact"/>
              <w:jc w:val="center"/>
            </w:pPr>
            <w:r>
              <w:rPr>
                <w:b/>
                <w:bCs/>
              </w:rPr>
              <w:t xml:space="preserve">1,92</w:t>
            </w:r>
          </w:p>
        </w:tc>
        <w:tc>
          <w:tcPr>
            <w:tcW w:w="1151" w:type="dxa"/>
          </w:tcPr>
          <w:p>
            <w:pPr>
              <w:pStyle w:val="Compact"/>
              <w:jc w:val="center"/>
            </w:pPr>
            <w:r>
              <w:t xml:space="preserve">1,56</w:t>
            </w:r>
          </w:p>
        </w:tc>
        <w:tc>
          <w:tcPr>
            <w:tcW w:w="1272" w:type="dxa"/>
          </w:tcPr>
          <w:p>
            <w:pPr>
              <w:pStyle w:val="Compact"/>
              <w:jc w:val="center"/>
            </w:pPr>
            <w:r>
              <w:t xml:space="preserve">1,40</w:t>
            </w:r>
          </w:p>
        </w:tc>
      </w:tr>
      <w:tr>
        <w:tc>
          <w:tcPr>
            <w:tcW w:w="1300" w:type="dxa"/>
          </w:tcPr>
          <w:p>
            <w:pPr>
              <w:pStyle w:val="Compact"/>
              <w:jc w:val="center"/>
            </w:pPr>
            <w:r>
              <w:t xml:space="preserve">TCGA-BRCA</w:t>
            </w:r>
          </w:p>
        </w:tc>
        <w:tc>
          <w:tcPr>
            <w:tcW w:w="730" w:type="dxa"/>
          </w:tcPr>
          <w:p>
            <w:pPr>
              <w:pStyle w:val="Compact"/>
              <w:jc w:val="center"/>
            </w:pPr>
            <w:r>
              <w:t xml:space="preserve">1 072</w:t>
            </w:r>
          </w:p>
        </w:tc>
        <w:tc>
          <w:tcPr>
            <w:tcW w:w="1267" w:type="dxa"/>
          </w:tcPr>
          <w:p>
            <w:pPr>
              <w:pStyle w:val="Compact"/>
              <w:jc w:val="center"/>
            </w:pPr>
            <w:r>
              <w:rPr>
                <w:b/>
                <w:bCs/>
              </w:rPr>
              <w:t xml:space="preserve">0,624</w:t>
            </w:r>
          </w:p>
        </w:tc>
        <w:tc>
          <w:tcPr>
            <w:tcW w:w="987" w:type="dxa"/>
          </w:tcPr>
          <w:p>
            <w:pPr>
              <w:pStyle w:val="Compact"/>
              <w:jc w:val="center"/>
            </w:pPr>
            <w:r>
              <w:t xml:space="preserve">0,602</w:t>
            </w:r>
          </w:p>
        </w:tc>
        <w:tc>
          <w:tcPr>
            <w:tcW w:w="1151" w:type="dxa"/>
          </w:tcPr>
          <w:p>
            <w:pPr>
              <w:pStyle w:val="Compact"/>
              <w:jc w:val="center"/>
            </w:pPr>
            <w:r>
              <w:t xml:space="preserve">0,586</w:t>
            </w:r>
          </w:p>
        </w:tc>
        <w:tc>
          <w:tcPr>
            <w:tcW w:w="1212" w:type="dxa"/>
          </w:tcPr>
          <w:p>
            <w:pPr>
              <w:pStyle w:val="Compact"/>
              <w:jc w:val="center"/>
            </w:pPr>
            <w:r>
              <w:t xml:space="preserve">1,20</w:t>
            </w:r>
          </w:p>
        </w:tc>
        <w:tc>
          <w:tcPr>
            <w:tcW w:w="1151" w:type="dxa"/>
          </w:tcPr>
          <w:p>
            <w:pPr>
              <w:pStyle w:val="Compact"/>
              <w:jc w:val="center"/>
            </w:pPr>
            <w:r>
              <w:rPr>
                <w:b/>
                <w:bCs/>
              </w:rPr>
              <w:t xml:space="preserve">1,25</w:t>
            </w:r>
          </w:p>
        </w:tc>
        <w:tc>
          <w:tcPr>
            <w:tcW w:w="1272" w:type="dxa"/>
          </w:tcPr>
          <w:p>
            <w:pPr>
              <w:pStyle w:val="Compact"/>
              <w:jc w:val="center"/>
            </w:pPr>
            <w:r>
              <w:t xml:space="preserve">1,13</w:t>
            </w:r>
          </w:p>
        </w:tc>
      </w:tr>
      <w:tr>
        <w:tc>
          <w:tcPr>
            <w:tcW w:w="1300" w:type="dxa"/>
          </w:tcPr>
          <w:p>
            <w:pPr>
              <w:pStyle w:val="Compact"/>
              <w:jc w:val="center"/>
            </w:pPr>
            <w:r>
              <w:t xml:space="preserve">METABRIC</w:t>
            </w:r>
          </w:p>
        </w:tc>
        <w:tc>
          <w:tcPr>
            <w:tcW w:w="730" w:type="dxa"/>
          </w:tcPr>
          <w:p>
            <w:pPr>
              <w:pStyle w:val="Compact"/>
              <w:jc w:val="center"/>
            </w:pPr>
            <w:r>
              <w:t xml:space="preserve">1 978</w:t>
            </w:r>
          </w:p>
        </w:tc>
        <w:tc>
          <w:tcPr>
            <w:tcW w:w="1267" w:type="dxa"/>
          </w:tcPr>
          <w:p>
            <w:pPr>
              <w:pStyle w:val="Compact"/>
              <w:jc w:val="center"/>
            </w:pPr>
            <w:r>
              <w:t xml:space="preserve">0,638</w:t>
            </w:r>
          </w:p>
        </w:tc>
        <w:tc>
          <w:tcPr>
            <w:tcW w:w="987" w:type="dxa"/>
          </w:tcPr>
          <w:p>
            <w:pPr>
              <w:pStyle w:val="Compact"/>
              <w:jc w:val="center"/>
            </w:pPr>
            <w:r>
              <w:t xml:space="preserve">0,643</w:t>
            </w:r>
          </w:p>
        </w:tc>
        <w:tc>
          <w:tcPr>
            <w:tcW w:w="1151" w:type="dxa"/>
          </w:tcPr>
          <w:p>
            <w:pPr>
              <w:pStyle w:val="Compact"/>
              <w:jc w:val="center"/>
            </w:pPr>
            <w:r>
              <w:rPr>
                <w:b/>
                <w:bCs/>
              </w:rPr>
              <w:t xml:space="preserve">0,665</w:t>
            </w:r>
          </w:p>
        </w:tc>
        <w:tc>
          <w:tcPr>
            <w:tcW w:w="1212" w:type="dxa"/>
          </w:tcPr>
          <w:p>
            <w:pPr>
              <w:pStyle w:val="Compact"/>
              <w:jc w:val="center"/>
            </w:pPr>
            <w:r>
              <w:t xml:space="preserve">1,41</w:t>
            </w:r>
          </w:p>
        </w:tc>
        <w:tc>
          <w:tcPr>
            <w:tcW w:w="1151" w:type="dxa"/>
          </w:tcPr>
          <w:p>
            <w:pPr>
              <w:pStyle w:val="Compact"/>
              <w:jc w:val="center"/>
            </w:pPr>
            <w:r>
              <w:t xml:space="preserve">1,53</w:t>
            </w:r>
          </w:p>
        </w:tc>
        <w:tc>
          <w:tcPr>
            <w:tcW w:w="1272" w:type="dxa"/>
          </w:tcPr>
          <w:p>
            <w:pPr>
              <w:pStyle w:val="Compact"/>
              <w:jc w:val="center"/>
            </w:pPr>
            <w:r>
              <w:rPr>
                <w:b/>
                <w:bCs/>
              </w:rPr>
              <w:t xml:space="preserve">1,51</w:t>
            </w:r>
          </w:p>
        </w:tc>
      </w:tr>
      <w:tr>
        <w:tc>
          <w:tcPr>
            <w:tcW w:w="1300" w:type="dxa"/>
          </w:tcPr>
          <w:p>
            <w:pPr>
              <w:pStyle w:val="Compact"/>
              <w:jc w:val="center"/>
            </w:pPr>
            <w:r>
              <w:t xml:space="preserve">GSE20685</w:t>
            </w:r>
          </w:p>
        </w:tc>
        <w:tc>
          <w:tcPr>
            <w:tcW w:w="730" w:type="dxa"/>
          </w:tcPr>
          <w:p>
            <w:pPr>
              <w:pStyle w:val="Compact"/>
              <w:jc w:val="center"/>
            </w:pPr>
            <w:r>
              <w:t xml:space="preserve">327</w:t>
            </w:r>
          </w:p>
        </w:tc>
        <w:tc>
          <w:tcPr>
            <w:tcW w:w="1267" w:type="dxa"/>
          </w:tcPr>
          <w:p>
            <w:pPr>
              <w:pStyle w:val="Compact"/>
              <w:jc w:val="center"/>
            </w:pPr>
            <w:r>
              <w:t xml:space="preserve">0,626</w:t>
            </w:r>
          </w:p>
        </w:tc>
        <w:tc>
          <w:tcPr>
            <w:tcW w:w="987" w:type="dxa"/>
          </w:tcPr>
          <w:p>
            <w:pPr>
              <w:pStyle w:val="Compact"/>
              <w:jc w:val="center"/>
            </w:pPr>
            <w:r>
              <w:t xml:space="preserve">0,646</w:t>
            </w:r>
          </w:p>
        </w:tc>
        <w:tc>
          <w:tcPr>
            <w:tcW w:w="1151" w:type="dxa"/>
          </w:tcPr>
          <w:p>
            <w:pPr>
              <w:pStyle w:val="Compact"/>
              <w:jc w:val="center"/>
            </w:pPr>
            <w:r>
              <w:rPr>
                <w:b/>
                <w:bCs/>
              </w:rPr>
              <w:t xml:space="preserve">0,651</w:t>
            </w:r>
          </w:p>
        </w:tc>
        <w:tc>
          <w:tcPr>
            <w:tcW w:w="1212" w:type="dxa"/>
          </w:tcPr>
          <w:p>
            <w:pPr>
              <w:pStyle w:val="Compact"/>
              <w:jc w:val="center"/>
            </w:pPr>
            <w:r>
              <w:t xml:space="preserve">1,40</w:t>
            </w:r>
          </w:p>
        </w:tc>
        <w:tc>
          <w:tcPr>
            <w:tcW w:w="1151" w:type="dxa"/>
          </w:tcPr>
          <w:p>
            <w:pPr>
              <w:pStyle w:val="Compact"/>
              <w:jc w:val="center"/>
            </w:pPr>
            <w:r>
              <w:t xml:space="preserve">1,55</w:t>
            </w:r>
          </w:p>
        </w:tc>
        <w:tc>
          <w:tcPr>
            <w:tcW w:w="1272" w:type="dxa"/>
          </w:tcPr>
          <w:p>
            <w:pPr>
              <w:pStyle w:val="Compact"/>
              <w:jc w:val="center"/>
            </w:pPr>
            <w:r>
              <w:rPr>
                <w:b/>
                <w:bCs/>
              </w:rPr>
              <w:t xml:space="preserve">1,61</w:t>
            </w:r>
          </w:p>
        </w:tc>
      </w:tr>
    </w:tbl>
    <w:bookmarkEnd w:id="203"/>
    <w:p/>
    <w:bookmarkStart w:id="207" w:name="fig-cindex-comparison"/>
    <w:p>
      <w:pPr>
        <w:pStyle w:val="Compact"/>
        <w:jc w:val="center"/>
      </w:pPr>
      <w:r>
        <w:drawing>
          <wp:inline>
            <wp:extent cx="5687999" cy="4062857"/>
            <wp:effectExtent b="0" l="0" r="0" t="0"/>
            <wp:docPr descr="" title="" id="205" name="Picture"/>
            <a:graphic>
              <a:graphicData uri="http://schemas.openxmlformats.org/drawingml/2006/picture">
                <pic:pic>
                  <pic:nvPicPr>
                    <pic:cNvPr descr="../figures/supp/pt/png/FigS_Cindex_ByCohort_PT.png" id="206" name="Picture"/>
                    <pic:cNvPicPr>
                      <a:picLocks noChangeArrowheads="1" noChangeAspect="1"/>
                    </pic:cNvPicPr>
                  </pic:nvPicPr>
                  <pic:blipFill>
                    <a:blip r:embed="rId204"/>
                    <a:stretch>
                      <a:fillRect/>
                    </a:stretch>
                  </pic:blipFill>
                  <pic:spPr bwMode="auto">
                    <a:xfrm>
                      <a:off x="0" y="0"/>
                      <a:ext cx="5687999" cy="4062857"/>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déficits nas coortes microarray — refletindo o domínio de treinamento.</w:t>
      </w:r>
    </w:p>
    <w:bookmarkEnd w:id="207"/>
    <w:bookmarkEnd w:id="208"/>
    <w:bookmarkEnd w:id="209"/>
    <w:bookmarkStart w:id="224" w:name="discussão"/>
    <w:p>
      <w:pPr>
        <w:pageBreakBefore/>
        <w:pStyle w:val="Heading1"/>
      </w:pPr>
      <w:r>
        <w:t xml:space="preserve">5. DISCUSSÃO</w:t>
      </w:r>
    </w:p>
    <w:bookmarkStart w:id="210"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uma redução absoluta de mortalidade por toxicidade, infertilidade induzida, cardiotoxicidade e neoplasias secundárias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o</w:t>
      </w:r>
      <w:r>
        <w:t xml:space="preserve"> </w:t>
      </w:r>
      <w:r>
        <w:rPr>
          <w:i/>
          <w:iCs/>
        </w:rPr>
        <w:t xml:space="preserve">OncotypeDX</w:t>
      </w:r>
      <w:r>
        <w:t xml:space="preserve"> </w:t>
      </w:r>
      <w:r>
        <w:t xml:space="preserve">foi incorporado ao Sistema Único de Saúde (SUS) por decisão da Comissão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10"/>
    <w:bookmarkStart w:id="211"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1"/>
    <w:bookmarkStart w:id="212"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representando todos os quatro eixos funcionais reconhecidos do PAM50 e da biologia intrínseca do câncer de mama</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FOXA1, fator de transcrição pioneiro, abre a cromatina para ESR1 e é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em nível transcricional, o que Ki67 tenta representar isoladamente na IHQ. Estes genes estão relacionados à progressão do ciclo celular (MYBL2, CDC20), reparo de DNA e segregação cromossômica (EXO1, CENPF, BIRC5, UBE2C), metabolismo de nucleotídeos (TYMS) e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KRT14, KRT17, FOXC1. Citoqueratinas de alto peso molecular e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12"/>
    <w:bookmarkStart w:id="213"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3"/>
    <w:bookmarkStart w:id="214"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14"/>
    <w:bookmarkStart w:id="215"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15"/>
    <w:bookmarkStart w:id="216"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16"/>
    <w:bookmarkStart w:id="217"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7"/>
    <w:bookmarkStart w:id="218"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8"/>
    <w:bookmarkStart w:id="219"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9"/>
    <w:bookmarkStart w:id="220"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20"/>
    <w:bookmarkStart w:id="221"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21"/>
    <w:bookmarkStart w:id="222"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2"/>
    <w:bookmarkStart w:id="223"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bookmarkEnd w:id="223"/>
    <w:bookmarkEnd w:id="224"/>
    <w:bookmarkStart w:id="225" w:name="conclusão"/>
    <w:p>
      <w:pPr>
        <w:pageBreakBefore/>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bookmarkEnd w:id="225"/>
    <w:bookmarkStart w:id="378" w:name="referências-bibliográficas"/>
    <w:p>
      <w:pPr>
        <w:pageBreakBefore/>
        <w:pStyle w:val="Heading1"/>
      </w:pPr>
      <w:r>
        <w:t xml:space="preserve">REFERÊNCIAS BIBLIOGRÁFICAS</w:t>
      </w:r>
    </w:p>
    <w:bookmarkStart w:id="377" w:name="refs"/>
    <w:bookmarkStart w:id="227"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hyperlink r:id="rId226">
        <w:r>
          <w:rPr>
            <w:rStyle w:val="Hyperlink"/>
          </w:rPr>
          <w:t xml:space="preserve">https://doi.org/10.3322/caac.21660</w:t>
        </w:r>
      </w:hyperlink>
    </w:p>
    <w:bookmarkEnd w:id="227"/>
    <w:bookmarkStart w:id="229"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hyperlink r:id="rId228">
        <w:r>
          <w:rPr>
            <w:rStyle w:val="Hyperlink"/>
          </w:rPr>
          <w:t xml:space="preserve">https://doi.org/10.3322/caac.21834</w:t>
        </w:r>
      </w:hyperlink>
    </w:p>
    <w:bookmarkEnd w:id="229"/>
    <w:bookmarkStart w:id="231"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hyperlink r:id="rId230">
        <w:r>
          <w:rPr>
            <w:rStyle w:val="Hyperlink"/>
          </w:rPr>
          <w:t xml:space="preserve">https://doi.org/10.1016/S0140-6736(11)61625-5</w:t>
        </w:r>
      </w:hyperlink>
    </w:p>
    <w:bookmarkEnd w:id="231"/>
    <w:bookmarkStart w:id="233"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hyperlink r:id="rId232">
        <w:r>
          <w:rPr>
            <w:rStyle w:val="Hyperlink"/>
          </w:rPr>
          <w:t xml:space="preserve">https://doi.org/10.1016/S0140-6736(11)60993-8</w:t>
        </w:r>
      </w:hyperlink>
    </w:p>
    <w:bookmarkEnd w:id="233"/>
    <w:bookmarkStart w:id="234"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4"/>
    <w:bookmarkStart w:id="236"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hyperlink r:id="rId235">
        <w:r>
          <w:rPr>
            <w:rStyle w:val="Hyperlink"/>
          </w:rPr>
          <w:t xml:space="preserve">https://doi.org/10.1590/0102-311X00074817</w:t>
        </w:r>
      </w:hyperlink>
    </w:p>
    <w:bookmarkEnd w:id="236"/>
    <w:bookmarkStart w:id="238"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hyperlink r:id="rId237">
        <w:r>
          <w:rPr>
            <w:rStyle w:val="Hyperlink"/>
          </w:rPr>
          <w:t xml:space="preserve">https://doi.org/10.1038/s41572-019-0111-2</w:t>
        </w:r>
      </w:hyperlink>
    </w:p>
    <w:bookmarkEnd w:id="238"/>
    <w:bookmarkStart w:id="240"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hyperlink r:id="rId239">
        <w:r>
          <w:rPr>
            <w:rStyle w:val="Hyperlink"/>
          </w:rPr>
          <w:t xml:space="preserve">https://doi.org/10.1038/35021093</w:t>
        </w:r>
      </w:hyperlink>
    </w:p>
    <w:bookmarkEnd w:id="240"/>
    <w:bookmarkStart w:id="242"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hyperlink r:id="rId241">
        <w:r>
          <w:rPr>
            <w:rStyle w:val="Hyperlink"/>
          </w:rPr>
          <w:t xml:space="preserve">https://doi.org/10.1073/pnas.191367098</w:t>
        </w:r>
      </w:hyperlink>
    </w:p>
    <w:bookmarkEnd w:id="242"/>
    <w:bookmarkStart w:id="24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hyperlink r:id="rId243">
        <w:r>
          <w:rPr>
            <w:rStyle w:val="Hyperlink"/>
          </w:rPr>
          <w:t xml:space="preserve">https://doi.org/10.1016/j.molonc.2010.11.003</w:t>
        </w:r>
      </w:hyperlink>
    </w:p>
    <w:bookmarkEnd w:id="244"/>
    <w:bookmarkStart w:id="246"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hyperlink r:id="rId245">
        <w:r>
          <w:rPr>
            <w:rStyle w:val="Hyperlink"/>
          </w:rPr>
          <w:t xml:space="preserve">https://doi.org/10.1038/nature10983</w:t>
        </w:r>
      </w:hyperlink>
    </w:p>
    <w:bookmarkEnd w:id="246"/>
    <w:bookmarkStart w:id="248"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hyperlink r:id="rId247">
        <w:r>
          <w:rPr>
            <w:rStyle w:val="Hyperlink"/>
          </w:rPr>
          <w:t xml:space="preserve">https://doi.org/10.1038/ncomms11479</w:t>
        </w:r>
      </w:hyperlink>
    </w:p>
    <w:bookmarkEnd w:id="248"/>
    <w:bookmarkStart w:id="250"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hyperlink r:id="rId249">
        <w:r>
          <w:rPr>
            <w:rStyle w:val="Hyperlink"/>
          </w:rPr>
          <w:t xml:space="preserve">https://doi.org/10.1200/JCO.2008.18.1370</w:t>
        </w:r>
      </w:hyperlink>
    </w:p>
    <w:bookmarkEnd w:id="250"/>
    <w:bookmarkStart w:id="252"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hyperlink r:id="rId251">
        <w:r>
          <w:rPr>
            <w:rStyle w:val="Hyperlink"/>
          </w:rPr>
          <w:t xml:space="preserve">https://doi.org/10.1158/1078-0432.CCR-10-1282</w:t>
        </w:r>
      </w:hyperlink>
    </w:p>
    <w:bookmarkEnd w:id="252"/>
    <w:bookmarkStart w:id="254"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hyperlink r:id="rId253">
        <w:r>
          <w:rPr>
            <w:rStyle w:val="Hyperlink"/>
          </w:rPr>
          <w:t xml:space="preserve">https://doi.org/10.1158/1078-0432.CCR-12-0286</w:t>
        </w:r>
      </w:hyperlink>
    </w:p>
    <w:bookmarkEnd w:id="254"/>
    <w:bookmarkStart w:id="256"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hyperlink r:id="rId255">
        <w:r>
          <w:rPr>
            <w:rStyle w:val="Hyperlink"/>
          </w:rPr>
          <w:t xml:space="preserve">https://doi.org/10.1186/s12920-015-0129-6</w:t>
        </w:r>
      </w:hyperlink>
    </w:p>
    <w:bookmarkEnd w:id="256"/>
    <w:bookmarkStart w:id="258"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hyperlink r:id="rId257">
        <w:r>
          <w:rPr>
            <w:rStyle w:val="Hyperlink"/>
          </w:rPr>
          <w:t xml:space="preserve">https://doi.org/10.1200/JCO.2009.24.4798</w:t>
        </w:r>
      </w:hyperlink>
    </w:p>
    <w:bookmarkEnd w:id="258"/>
    <w:bookmarkStart w:id="260"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hyperlink r:id="rId259">
        <w:r>
          <w:rPr>
            <w:rStyle w:val="Hyperlink"/>
          </w:rPr>
          <w:t xml:space="preserve">https://doi.org/10.1093/annonc/mdt494</w:t>
        </w:r>
      </w:hyperlink>
    </w:p>
    <w:bookmarkEnd w:id="260"/>
    <w:bookmarkStart w:id="262"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hyperlink r:id="rId261">
        <w:r>
          <w:rPr>
            <w:rStyle w:val="Hyperlink"/>
          </w:rPr>
          <w:t xml:space="preserve">https://doi.org/10.1093/annonc/mdv221</w:t>
        </w:r>
      </w:hyperlink>
    </w:p>
    <w:bookmarkEnd w:id="262"/>
    <w:bookmarkStart w:id="26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hyperlink r:id="rId263">
        <w:r>
          <w:rPr>
            <w:rStyle w:val="Hyperlink"/>
          </w:rPr>
          <w:t xml:space="preserve">https://doi.org/10.1093/annonc/mdz235</w:t>
        </w:r>
      </w:hyperlink>
    </w:p>
    <w:bookmarkEnd w:id="264"/>
    <w:bookmarkStart w:id="266"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hyperlink r:id="rId265">
        <w:r>
          <w:rPr>
            <w:rStyle w:val="Hyperlink"/>
          </w:rPr>
          <w:t xml:space="preserve">https://doi.org/10.1200/JCO.22.00069</w:t>
        </w:r>
      </w:hyperlink>
    </w:p>
    <w:bookmarkEnd w:id="266"/>
    <w:bookmarkStart w:id="268"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hyperlink r:id="rId267">
        <w:r>
          <w:rPr>
            <w:rStyle w:val="Hyperlink"/>
          </w:rPr>
          <w:t xml:space="preserve">https://doi.org/10.1056/NEJMoa041588</w:t>
        </w:r>
      </w:hyperlink>
    </w:p>
    <w:bookmarkEnd w:id="268"/>
    <w:bookmarkStart w:id="270"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hyperlink r:id="rId269">
        <w:r>
          <w:rPr>
            <w:rStyle w:val="Hyperlink"/>
          </w:rPr>
          <w:t xml:space="preserve">https://doi.org/10.1056/NEJMoa1804710</w:t>
        </w:r>
      </w:hyperlink>
    </w:p>
    <w:bookmarkEnd w:id="270"/>
    <w:bookmarkStart w:id="272"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hyperlink r:id="rId271">
        <w:r>
          <w:rPr>
            <w:rStyle w:val="Hyperlink"/>
          </w:rPr>
          <w:t xml:space="preserve">https://doi.org/10.1056/NEJMoa1904819</w:t>
        </w:r>
      </w:hyperlink>
    </w:p>
    <w:bookmarkEnd w:id="272"/>
    <w:bookmarkStart w:id="274"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hyperlink r:id="rId273">
        <w:r>
          <w:rPr>
            <w:rStyle w:val="Hyperlink"/>
          </w:rPr>
          <w:t xml:space="preserve">https://doi.org/10.1056/NEJMoa2108873</w:t>
        </w:r>
      </w:hyperlink>
    </w:p>
    <w:bookmarkEnd w:id="274"/>
    <w:bookmarkStart w:id="276"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hyperlink r:id="rId275">
        <w:r>
          <w:rPr>
            <w:rStyle w:val="Hyperlink"/>
          </w:rPr>
          <w:t xml:space="preserve">https://doi.org/10.1038/415530a</w:t>
        </w:r>
      </w:hyperlink>
    </w:p>
    <w:bookmarkEnd w:id="276"/>
    <w:bookmarkStart w:id="278"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hyperlink r:id="rId277">
        <w:r>
          <w:rPr>
            <w:rStyle w:val="Hyperlink"/>
          </w:rPr>
          <w:t xml:space="preserve">https://doi.org/10.1056/NEJMoa1602253</w:t>
        </w:r>
      </w:hyperlink>
    </w:p>
    <w:bookmarkEnd w:id="278"/>
    <w:bookmarkStart w:id="280"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hyperlink r:id="rId279">
        <w:r>
          <w:rPr>
            <w:rStyle w:val="Hyperlink"/>
          </w:rPr>
          <w:t xml:space="preserve">https://doi.org/10.1016/S1470-2045(21)00007-3</w:t>
        </w:r>
      </w:hyperlink>
    </w:p>
    <w:bookmarkEnd w:id="280"/>
    <w:bookmarkStart w:id="282"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hyperlink r:id="rId281">
        <w:r>
          <w:rPr>
            <w:rStyle w:val="Hyperlink"/>
          </w:rPr>
          <w:t xml:space="preserve">https://doi.org/10.1158/1078-0432.CCR-11-0926</w:t>
        </w:r>
      </w:hyperlink>
    </w:p>
    <w:bookmarkEnd w:id="282"/>
    <w:bookmarkStart w:id="28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hyperlink r:id="rId283">
        <w:r>
          <w:rPr>
            <w:rStyle w:val="Hyperlink"/>
          </w:rPr>
          <w:t xml:space="preserve">https://doi.org/10.1158/1078-0432.CCR-13-0804</w:t>
        </w:r>
      </w:hyperlink>
    </w:p>
    <w:bookmarkEnd w:id="284"/>
    <w:bookmarkStart w:id="286"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hyperlink r:id="rId285">
        <w:r>
          <w:rPr>
            <w:rStyle w:val="Hyperlink"/>
          </w:rPr>
          <w:t xml:space="preserve">https://doi.org/10.1001/jamaoncol.2017.5524</w:t>
        </w:r>
      </w:hyperlink>
    </w:p>
    <w:bookmarkEnd w:id="286"/>
    <w:bookmarkStart w:id="288"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hyperlink r:id="rId287">
        <w:r>
          <w:rPr>
            <w:rStyle w:val="Hyperlink"/>
          </w:rPr>
          <w:t xml:space="preserve">https://doi.org/10.1186/s13059-014-0550-8</w:t>
        </w:r>
      </w:hyperlink>
    </w:p>
    <w:bookmarkEnd w:id="288"/>
    <w:bookmarkStart w:id="290"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hyperlink r:id="rId289">
        <w:r>
          <w:rPr>
            <w:rStyle w:val="Hyperlink"/>
          </w:rPr>
          <w:t xml:space="preserve">https://doi.org/10.1093/nar/gkv007</w:t>
        </w:r>
      </w:hyperlink>
    </w:p>
    <w:bookmarkEnd w:id="290"/>
    <w:bookmarkStart w:id="292"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hyperlink r:id="rId291">
        <w:r>
          <w:rPr>
            <w:rStyle w:val="Hyperlink"/>
          </w:rPr>
          <w:t xml:space="preserve">https://doi.org/10.1038/nrg2825</w:t>
        </w:r>
      </w:hyperlink>
    </w:p>
    <w:bookmarkEnd w:id="292"/>
    <w:bookmarkStart w:id="294"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hyperlink r:id="rId293">
        <w:r>
          <w:rPr>
            <w:rStyle w:val="Hyperlink"/>
          </w:rPr>
          <w:t xml:space="preserve">https://doi.org/10.1093/biostatistics/kxj037</w:t>
        </w:r>
      </w:hyperlink>
    </w:p>
    <w:bookmarkEnd w:id="294"/>
    <w:bookmarkStart w:id="296"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hyperlink r:id="rId295">
        <w:r>
          <w:rPr>
            <w:rStyle w:val="Hyperlink"/>
          </w:rPr>
          <w:t xml:space="preserve">https://doi.org/10.1186/s13073-015-0131-9</w:t>
        </w:r>
      </w:hyperlink>
    </w:p>
    <w:bookmarkEnd w:id="296"/>
    <w:bookmarkStart w:id="298"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hyperlink r:id="rId297">
        <w:r>
          <w:rPr>
            <w:rStyle w:val="Hyperlink"/>
          </w:rPr>
          <w:t xml:space="preserve">https://doi.org/10.1200/PO.17.00135</w:t>
        </w:r>
      </w:hyperlink>
    </w:p>
    <w:bookmarkEnd w:id="298"/>
    <w:bookmarkStart w:id="300" w:name="ref-tcga2012"/>
    <w:p>
      <w:pPr>
        <w:pStyle w:val="Bibliography"/>
      </w:pPr>
      <w:r>
        <w:t xml:space="preserve">38.</w:t>
      </w:r>
      <w:r>
        <w:t xml:space="preserve"> </w:t>
      </w:r>
      <w:r>
        <w:t xml:space="preserve">	</w:t>
      </w:r>
      <w:r>
        <w:t xml:space="preserve">TCGA Network. Comprehensive molecular portraits of human breast tumours. Nature. 2012;490(7418):61–70.</w:t>
      </w:r>
      <w:r>
        <w:t xml:space="preserve"> </w:t>
      </w:r>
      <w:hyperlink r:id="rId299">
        <w:r>
          <w:rPr>
            <w:rStyle w:val="Hyperlink"/>
          </w:rPr>
          <w:t xml:space="preserve">https://doi.org/10.1038/nature11412</w:t>
        </w:r>
      </w:hyperlink>
    </w:p>
    <w:bookmarkEnd w:id="300"/>
    <w:bookmarkStart w:id="302"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hyperlink r:id="rId301">
        <w:r>
          <w:rPr>
            <w:rStyle w:val="Hyperlink"/>
          </w:rPr>
          <w:t xml:space="preserve">https://doi.org/10.1186/1471-2407-11-143</w:t>
        </w:r>
      </w:hyperlink>
    </w:p>
    <w:bookmarkEnd w:id="302"/>
    <w:bookmarkStart w:id="304"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hyperlink r:id="rId303">
        <w:r>
          <w:rPr>
            <w:rStyle w:val="Hyperlink"/>
          </w:rPr>
          <w:t xml:space="preserve">https://doi.org/10.1186/bcr1325</w:t>
        </w:r>
      </w:hyperlink>
    </w:p>
    <w:bookmarkEnd w:id="304"/>
    <w:bookmarkStart w:id="306"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hyperlink r:id="rId305">
        <w:r>
          <w:rPr>
            <w:rStyle w:val="Hyperlink"/>
          </w:rPr>
          <w:t xml:space="preserve">https://doi.org/10.1001/jama.2011.593</w:t>
        </w:r>
      </w:hyperlink>
    </w:p>
    <w:bookmarkEnd w:id="306"/>
    <w:bookmarkStart w:id="308"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hyperlink r:id="rId307">
        <w:r>
          <w:rPr>
            <w:rStyle w:val="Hyperlink"/>
          </w:rPr>
          <w:t xml:space="preserve">https://doi.org/10.1038/nbt.1665</w:t>
        </w:r>
      </w:hyperlink>
    </w:p>
    <w:bookmarkEnd w:id="308"/>
    <w:bookmarkStart w:id="310"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hyperlink r:id="rId309">
        <w:r>
          <w:rPr>
            <w:rStyle w:val="Hyperlink"/>
          </w:rPr>
          <w:t xml:space="preserve">https://doi.org/10.1111/j.1349-7006.2012.02241.x</w:t>
        </w:r>
      </w:hyperlink>
    </w:p>
    <w:bookmarkEnd w:id="310"/>
    <w:bookmarkStart w:id="312"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hyperlink r:id="rId311">
        <w:r>
          <w:rPr>
            <w:rStyle w:val="Hyperlink"/>
          </w:rPr>
          <w:t xml:space="preserve">https://doi.org/10.1007/s10549-011-1895-2</w:t>
        </w:r>
      </w:hyperlink>
    </w:p>
    <w:bookmarkEnd w:id="312"/>
    <w:bookmarkStart w:id="314"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hyperlink r:id="rId313">
        <w:r>
          <w:rPr>
            <w:rStyle w:val="Hyperlink"/>
          </w:rPr>
          <w:t xml:space="preserve">https://doi.org/10.1016/j.ccell.2022.05.005</w:t>
        </w:r>
      </w:hyperlink>
    </w:p>
    <w:bookmarkEnd w:id="314"/>
    <w:bookmarkStart w:id="316"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hyperlink r:id="rId315">
        <w:r>
          <w:rPr>
            <w:rStyle w:val="Hyperlink"/>
          </w:rPr>
          <w:t xml:space="preserve">https://doi.org/10.7326/M14-0698</w:t>
        </w:r>
      </w:hyperlink>
    </w:p>
    <w:bookmarkEnd w:id="316"/>
    <w:bookmarkStart w:id="318"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hyperlink r:id="rId317">
        <w:r>
          <w:rPr>
            <w:rStyle w:val="Hyperlink"/>
          </w:rPr>
          <w:t xml:space="preserve">https://doi.org/10.1136/bmj.g7594</w:t>
        </w:r>
      </w:hyperlink>
    </w:p>
    <w:bookmarkEnd w:id="318"/>
    <w:bookmarkStart w:id="320"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hyperlink r:id="rId319">
        <w:r>
          <w:rPr>
            <w:rStyle w:val="Hyperlink"/>
          </w:rPr>
          <w:t xml:space="preserve">https://doi.org/10.1186/1471-2288-13-33</w:t>
        </w:r>
      </w:hyperlink>
    </w:p>
    <w:bookmarkEnd w:id="320"/>
    <w:bookmarkStart w:id="322"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hyperlink r:id="rId321">
        <w:r>
          <w:rPr>
            <w:rStyle w:val="Hyperlink"/>
          </w:rPr>
          <w:t xml:space="preserve">https://doi.org/10.1016/j.jclinepi.2015.04.005</w:t>
        </w:r>
      </w:hyperlink>
    </w:p>
    <w:bookmarkEnd w:id="322"/>
    <w:bookmarkStart w:id="32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hyperlink r:id="rId323">
        <w:r>
          <w:rPr>
            <w:rStyle w:val="Hyperlink"/>
          </w:rPr>
          <w:t xml:space="preserve">https://doi.org/10.1093/bioinformatics/btp616</w:t>
        </w:r>
      </w:hyperlink>
    </w:p>
    <w:bookmarkEnd w:id="324"/>
    <w:bookmarkStart w:id="326"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hyperlink r:id="rId325">
        <w:r>
          <w:rPr>
            <w:rStyle w:val="Hyperlink"/>
          </w:rPr>
          <w:t xml:space="preserve">https://doi.org/10.1186/gb-2010-11-3-r25</w:t>
        </w:r>
      </w:hyperlink>
    </w:p>
    <w:bookmarkEnd w:id="326"/>
    <w:bookmarkStart w:id="328"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hyperlink r:id="rId327">
        <w:r>
          <w:rPr>
            <w:rStyle w:val="Hyperlink"/>
          </w:rPr>
          <w:t xml:space="preserve">https://doi.org/10.1111/j.1467-9868.2005.00503.x</w:t>
        </w:r>
      </w:hyperlink>
    </w:p>
    <w:bookmarkEnd w:id="328"/>
    <w:bookmarkStart w:id="330"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hyperlink r:id="rId329">
        <w:r>
          <w:rPr>
            <w:rStyle w:val="Hyperlink"/>
          </w:rPr>
          <w:t xml:space="preserve">https://doi.org/10.1111/j.2517-6161.1996.tb02080.x</w:t>
        </w:r>
      </w:hyperlink>
    </w:p>
    <w:bookmarkEnd w:id="330"/>
    <w:bookmarkStart w:id="332"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hyperlink r:id="rId331">
        <w:r>
          <w:rPr>
            <w:rStyle w:val="Hyperlink"/>
          </w:rPr>
          <w:t xml:space="preserve">https://doi.org/10.1002/(SICI)1097-0258(19970228)16:4&lt;385::AID-SIM380&gt;3.0.CO;2-3</w:t>
        </w:r>
      </w:hyperlink>
    </w:p>
    <w:bookmarkEnd w:id="332"/>
    <w:bookmarkStart w:id="334"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hyperlink r:id="rId333">
        <w:r>
          <w:rPr>
            <w:rStyle w:val="Hyperlink"/>
          </w:rPr>
          <w:t xml:space="preserve">https://doi.org/10.18637/jss.v033.i01</w:t>
        </w:r>
      </w:hyperlink>
    </w:p>
    <w:bookmarkEnd w:id="334"/>
    <w:bookmarkStart w:id="336"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hyperlink r:id="rId335">
        <w:r>
          <w:rPr>
            <w:rStyle w:val="Hyperlink"/>
          </w:rPr>
          <w:t xml:space="preserve">https://doi.org/10.18637/jss.v039.i05</w:t>
        </w:r>
      </w:hyperlink>
    </w:p>
    <w:bookmarkEnd w:id="336"/>
    <w:bookmarkStart w:id="338"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hyperlink r:id="rId337">
        <w:r>
          <w:rPr>
            <w:rStyle w:val="Hyperlink"/>
          </w:rPr>
          <w:t xml:space="preserve">https://doi.org/10.1093/biomet/81.3.515</w:t>
        </w:r>
      </w:hyperlink>
    </w:p>
    <w:bookmarkEnd w:id="338"/>
    <w:bookmarkStart w:id="340"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hyperlink r:id="rId339">
        <w:r>
          <w:rPr>
            <w:rStyle w:val="Hyperlink"/>
          </w:rPr>
          <w:t xml:space="preserve">https://doi.org/10.1007/978-1-4757-3294-8</w:t>
        </w:r>
      </w:hyperlink>
    </w:p>
    <w:bookmarkEnd w:id="340"/>
    <w:bookmarkStart w:id="342"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hyperlink r:id="rId341">
        <w:r>
          <w:rPr>
            <w:rStyle w:val="Hyperlink"/>
          </w:rPr>
          <w:t xml:space="preserve">https://doi.org/10.1001/jama.1982.03320430047030</w:t>
        </w:r>
      </w:hyperlink>
    </w:p>
    <w:bookmarkEnd w:id="342"/>
    <w:bookmarkStart w:id="344"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hyperlink r:id="rId343">
        <w:r>
          <w:rPr>
            <w:rStyle w:val="Hyperlink"/>
          </w:rPr>
          <w:t xml:space="preserve">https://doi.org/10.1214/aos/1176344552</w:t>
        </w:r>
      </w:hyperlink>
    </w:p>
    <w:bookmarkEnd w:id="344"/>
    <w:bookmarkStart w:id="346"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hyperlink r:id="rId345">
        <w:r>
          <w:rPr>
            <w:rStyle w:val="Hyperlink"/>
          </w:rPr>
          <w:t xml:space="preserve">https://doi.org/10.1002/sim.4154</w:t>
        </w:r>
      </w:hyperlink>
    </w:p>
    <w:bookmarkEnd w:id="346"/>
    <w:bookmarkStart w:id="348"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hyperlink r:id="rId347">
        <w:r>
          <w:rPr>
            <w:rStyle w:val="Hyperlink"/>
          </w:rPr>
          <w:t xml:space="preserve">https://doi.org/10.1002/sim.5958</w:t>
        </w:r>
      </w:hyperlink>
    </w:p>
    <w:bookmarkEnd w:id="348"/>
    <w:bookmarkStart w:id="350"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hyperlink r:id="rId349">
        <w:r>
          <w:rPr>
            <w:rStyle w:val="Hyperlink"/>
          </w:rPr>
          <w:t xml:space="preserve">https://doi.org/10.1080/01621459.1999.10474144</w:t>
        </w:r>
      </w:hyperlink>
    </w:p>
    <w:bookmarkEnd w:id="350"/>
    <w:bookmarkStart w:id="352"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hyperlink r:id="rId351">
        <w:r>
          <w:rPr>
            <w:rStyle w:val="Hyperlink"/>
          </w:rPr>
          <w:t xml:space="preserve">https://doi.org/10.1016/j.jclinepi.2015.12.005</w:t>
        </w:r>
      </w:hyperlink>
    </w:p>
    <w:bookmarkEnd w:id="352"/>
    <w:bookmarkStart w:id="354"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hyperlink r:id="rId353">
        <w:r>
          <w:rPr>
            <w:rStyle w:val="Hyperlink"/>
          </w:rPr>
          <w:t xml:space="preserve">https://doi.org/10.1186/s12916-019-1466-7</w:t>
        </w:r>
      </w:hyperlink>
    </w:p>
    <w:bookmarkEnd w:id="354"/>
    <w:bookmarkStart w:id="356"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hyperlink r:id="rId355">
        <w:r>
          <w:rPr>
            <w:rStyle w:val="Hyperlink"/>
          </w:rPr>
          <w:t xml:space="preserve">https://doi.org/10.1177/0272989X06295361</w:t>
        </w:r>
      </w:hyperlink>
    </w:p>
    <w:bookmarkEnd w:id="356"/>
    <w:bookmarkStart w:id="358"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hyperlink r:id="rId357">
        <w:r>
          <w:rPr>
            <w:rStyle w:val="Hyperlink"/>
          </w:rPr>
          <w:t xml:space="preserve">https://doi.org/10.18637/jss.v036.i03</w:t>
        </w:r>
      </w:hyperlink>
    </w:p>
    <w:bookmarkEnd w:id="358"/>
    <w:bookmarkStart w:id="360"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hyperlink r:id="rId359">
        <w:r>
          <w:rPr>
            <w:rStyle w:val="Hyperlink"/>
          </w:rPr>
          <w:t xml:space="preserve">https://doi.org/10.1136/bmj.327.7414.557</w:t>
        </w:r>
      </w:hyperlink>
    </w:p>
    <w:bookmarkEnd w:id="360"/>
    <w:bookmarkStart w:id="362"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hyperlink r:id="rId361">
        <w:r>
          <w:rPr>
            <w:rStyle w:val="Hyperlink"/>
          </w:rPr>
          <w:t xml:space="preserve">https://doi.org/10.1002/sim.1009</w:t>
        </w:r>
      </w:hyperlink>
    </w:p>
    <w:bookmarkEnd w:id="362"/>
    <w:bookmarkStart w:id="364"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hyperlink r:id="rId363">
        <w:r>
          <w:rPr>
            <w:rStyle w:val="Hyperlink"/>
          </w:rPr>
          <w:t xml:space="preserve">https://doi.org/10.1016/0197-2456(86)90046-2</w:t>
        </w:r>
      </w:hyperlink>
    </w:p>
    <w:bookmarkEnd w:id="364"/>
    <w:bookmarkStart w:id="366"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hyperlink r:id="rId365">
        <w:r>
          <w:rPr>
            <w:rStyle w:val="Hyperlink"/>
          </w:rPr>
          <w:t xml:space="preserve">https://doi.org/10.1093/bioinformatics/btv693</w:t>
        </w:r>
      </w:hyperlink>
    </w:p>
    <w:bookmarkEnd w:id="366"/>
    <w:bookmarkStart w:id="368"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hyperlink r:id="rId367">
        <w:r>
          <w:rPr>
            <w:rStyle w:val="Hyperlink"/>
          </w:rPr>
          <w:t xml:space="preserve">https://doi.org/10.1093/jnci/djp082</w:t>
        </w:r>
      </w:hyperlink>
    </w:p>
    <w:bookmarkEnd w:id="368"/>
    <w:bookmarkStart w:id="370"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hyperlink r:id="rId369">
        <w:r>
          <w:rPr>
            <w:rStyle w:val="Hyperlink"/>
          </w:rPr>
          <w:t xml:space="preserve">https://doi.org/10.1016/S1470-2045(17)30904-X</w:t>
        </w:r>
      </w:hyperlink>
    </w:p>
    <w:bookmarkEnd w:id="370"/>
    <w:bookmarkStart w:id="372"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hyperlink r:id="rId371">
        <w:r>
          <w:rPr>
            <w:rStyle w:val="Hyperlink"/>
          </w:rPr>
          <w:t xml:space="preserve">https://doi.org/10.1016/S0140-6736(13)62422-8</w:t>
        </w:r>
      </w:hyperlink>
    </w:p>
    <w:bookmarkEnd w:id="372"/>
    <w:bookmarkStart w:id="374"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hyperlink r:id="rId373">
        <w:r>
          <w:rPr>
            <w:rStyle w:val="Hyperlink"/>
          </w:rPr>
          <w:t xml:space="preserve">https://doi.org/10.1186/s12916-015-0540-z</w:t>
        </w:r>
      </w:hyperlink>
    </w:p>
    <w:bookmarkEnd w:id="374"/>
    <w:bookmarkStart w:id="376"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w:t>
      </w:r>
      <w:hyperlink r:id="rId375">
        <w:r>
          <w:rPr>
            <w:rStyle w:val="Hyperlink"/>
          </w:rPr>
          <w:t xml:space="preserve">https://doi.org/10.1186/s13058-026-02298-5</w:t>
        </w:r>
      </w:hyperlink>
    </w:p>
    <w:bookmarkEnd w:id="376"/>
    <w:bookmarkEnd w:id="377"/>
    <w:bookmarkEnd w:id="378"/>
    <w:bookmarkStart w:id="379" w:name="X346f3bf0109e93783daf3030b368b98445b36f7"/>
    <w:p>
      <w:pPr>
        <w:pageBreakBefore/>
        <w:pStyle w:val="Heading1"/>
      </w:pPr>
      <w:r>
        <w:t xml:space="preserve">APÊNDICE A — Artigo aceito no</w:t>
      </w:r>
      <w:r>
        <w:t xml:space="preserve"> </w:t>
      </w:r>
      <w:r>
        <w:rPr>
          <w:i/>
          <w:iCs/>
        </w:rPr>
        <w:t xml:space="preserve">Breast Cancer Research</w:t>
      </w:r>
    </w:p>
    <w:tbl>
      <w:tblPr>
        <w:tblStyle w:val="Table"/>
        <w:tblW w:type="dxa" w:w="9070"/>
        <w:tblLayout w:type="fixed"/>
        <w:tblLook w:firstRow="1" w:lastRow="0" w:firstColumn="0" w:lastColumn="0" w:noHBand="0" w:noVBand="0" w:val="0020"/>
      </w:tblPr>
      <w:tblGrid>
        <w:gridCol w:w="9070"/>
      </w:tblGrid>
      <w:tr>
        <w:trPr>
          <w:tblHeader w:val="on"/>
        </w:trPr>
        <w:tc>
          <w:tcPr>
            <w:tcW w:w="9070" w:type="dxa"/>
          </w:tcPr>
          <w:p>
            <w:pPr>
              <w:pStyle w:val="Compact"/>
              <w:jc w:val="left"/>
            </w:pPr>
            <w:r>
              <w:rPr>
                <w:b/>
                <w:bCs/>
              </w:rPr>
              <w:t xml:space="preserve">Local para artigo aceito publicado em revista</w:t>
            </w:r>
          </w:p>
        </w:tc>
      </w:tr>
      <w:tr>
        <w:tc>
          <w:tcPr>
            <w:tcW w:w="9070" w:type="dxa"/>
          </w:tcPr>
          <w:p>
            <w:pPr>
              <w:pStyle w:val="Compact"/>
              <w:jc w:val="left"/>
            </w:pPr>
            <w:r>
              <w:t xml:space="preserve">Inserir aqui o PDF da versão final publicada assim que a versão de registro estiver disponível no site da revista.</w:t>
            </w:r>
          </w:p>
        </w:tc>
      </w:tr>
      <w:tr>
        <w:tc>
          <w:tcPr>
            <w:tcW w:w="9070" w:type="dxa"/>
          </w:tcPr>
          <w:p>
            <w:pPr>
              <w:pStyle w:val="Compact"/>
              <w:jc w:val="left"/>
            </w:pPr>
            <w:r>
              <w:rPr>
                <w:rStyle w:val="VerbatimChar"/>
              </w:rPr>
              <w:t xml:space="preserve">[ PLACEHOLDER VISUAL: PDF FINAL DO ARTIGO ]</w:t>
            </w:r>
          </w:p>
        </w:tc>
      </w:tr>
    </w:tbl>
    <w:p>
      <w:pPr>
        <w:pStyle w:val="BodyText"/>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foi aceito para publicação no periódico</w:t>
      </w:r>
      <w:r>
        <w:t xml:space="preserve"> </w:t>
      </w:r>
      <w:r>
        <w:rPr>
          <w:i/>
          <w:iCs/>
        </w:rPr>
        <w:t xml:space="preserve">Breast Cancer Research</w:t>
      </w:r>
      <w:r>
        <w:t xml:space="preserve"> </w:t>
      </w:r>
      <w:r>
        <w:t xml:space="preserve">(Springer Nature) em 27 de abril de 2026, referente ao Submission ID</w:t>
      </w:r>
      <w:r>
        <w:t xml:space="preserve"> </w:t>
      </w:r>
      <w:r>
        <w:rPr>
          <w:rStyle w:val="VerbatimChar"/>
        </w:rPr>
        <w:t xml:space="preserve">c2980ad5-9b3d-41a2-bf47-f093c5dc8c5f</w:t>
      </w:r>
      <w:r>
        <w:t xml:space="preserve">.</w:t>
      </w:r>
    </w:p>
    <w:p>
      <w:pPr>
        <w:pStyle w:val="BodyText"/>
      </w:pPr>
      <w:r>
        <w:t xml:space="preserve">O periódico</w:t>
      </w:r>
      <w:r>
        <w:t xml:space="preserve"> </w:t>
      </w:r>
      <w:r>
        <w:rPr>
          <w:i/>
          <w:iCs/>
        </w:rPr>
        <w:t xml:space="preserve">Breast Cancer Research</w:t>
      </w:r>
      <w:r>
        <w:t xml:space="preserve"> </w:t>
      </w:r>
      <w:r>
        <w:t xml:space="preserve">é uma revista internacional, revisada por pares, de acesso aberto, dedicada a estudos biológicos, translacionais e clínicos em câncer de mama. O escopo oficial inclui patogênese molecular e celular, genômica e tecnologias de alto desempenho, patologia, intervenções clínicas, imagem, rastreamento, prevenção e epidemiologia. A página oficial da Springer Nature informa fator de impacto 2024 de</w:t>
      </w:r>
      <w:r>
        <w:t xml:space="preserve"> </w:t>
      </w:r>
      <w:r>
        <w:rPr>
          <w:b/>
          <w:bCs/>
        </w:rPr>
        <w:t xml:space="preserve">5,6</w:t>
      </w:r>
      <w:r>
        <w:t xml:space="preserve">, fator de impacto de cinco anos de</w:t>
      </w:r>
      <w:r>
        <w:t xml:space="preserve"> </w:t>
      </w:r>
      <w:r>
        <w:rPr>
          <w:b/>
          <w:bCs/>
        </w:rPr>
        <w:t xml:space="preserve">7,0</w:t>
      </w:r>
      <w:r>
        <w:t xml:space="preserve">, indexação em bases como MEDLINE/PubMed, Scopus, SCIE e PubMed Central, e classifica a revista como título específico de câncer de mama no primeiro quartil global de oncologia. Em listas públicas de referência Qualis/CAPES consultáveis por ISSN,</w:t>
      </w:r>
      <w:r>
        <w:t xml:space="preserve"> </w:t>
      </w:r>
      <w:r>
        <w:rPr>
          <w:i/>
          <w:iCs/>
        </w:rPr>
        <w:t xml:space="preserve">Breast Cancer Research</w:t>
      </w:r>
      <w:r>
        <w:t xml:space="preserve"> </w:t>
      </w:r>
      <w:r>
        <w:t xml:space="preserve">online (ISSN 1465-542X) aparece como</w:t>
      </w:r>
      <w:r>
        <w:t xml:space="preserve"> </w:t>
      </w:r>
      <w:r>
        <w:rPr>
          <w:b/>
          <w:bCs/>
        </w:rPr>
        <w:t xml:space="preserve">Qualis A1</w:t>
      </w:r>
      <w:r>
        <w:t xml:space="preserve"> </w:t>
      </w:r>
      <w:r>
        <w:t xml:space="preserve">em áreas biomédicas; como o Qualis varia por área e quadriênio, a versão final da tese deve manter a área/consulta usada pela secretaria do programa.</w:t>
      </w:r>
    </w:p>
    <w:p>
      <w:pPr>
        <w:pStyle w:val="BodyText"/>
      </w:pPr>
      <w:r>
        <w:t xml:space="preserve">O DOI atribuído pela Springer Nature é</w:t>
      </w:r>
      <w:r>
        <w:t xml:space="preserve"> </w:t>
      </w:r>
      <w:r>
        <w:rPr>
          <w:rStyle w:val="VerbatimChar"/>
        </w:rPr>
        <w:t xml:space="preserve">10.1186/s13058-026-02298-5</w:t>
      </w:r>
      <w:r>
        <w:t xml:space="preserve">. Em conferência realizada em 17 de maio de 2026, o DOI ainda não resolvia publicamente em</w:t>
      </w:r>
      <w:r>
        <w:t xml:space="preserve"> </w:t>
      </w:r>
      <w:r>
        <w:rPr>
          <w:rStyle w:val="VerbatimChar"/>
        </w:rPr>
        <w:t xml:space="preserve">doi.org</w:t>
      </w:r>
      <w:r>
        <w:t xml:space="preserve"> </w:t>
      </w:r>
      <w:r>
        <w:t xml:space="preserve">e a consulta à API Crossref retornava 404; portanto, a versão de registro com volume, número do artigo e PDF final ainda parecia pendente de produção editorial. O acordo de publicação foi concluído em 14 de maio de 2026, e o pedido de</w:t>
      </w:r>
      <w:r>
        <w:t xml:space="preserve"> </w:t>
      </w:r>
      <w:r>
        <w:rPr>
          <w:i/>
          <w:iCs/>
        </w:rPr>
        <w:t xml:space="preserve">waiver</w:t>
      </w:r>
      <w:r>
        <w:t xml:space="preserve"> </w:t>
      </w:r>
      <w:r>
        <w:t xml:space="preserve">integral da APC foi aprovado em 14 de maio de 2026. Quando a página final estiver ativa, este apêndice deve substituir o placeholder pelo PDF publicado e atualizar volume, número de artigo, data de publicação e link permanente.</w:t>
      </w:r>
    </w:p>
    <w:bookmarkEnd w:id="379"/>
    <w:bookmarkStart w:id="383" w:name="apêndice-b-pipeline-computacional"/>
    <w:p>
      <w:pPr>
        <w:pageBreakBefore/>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hyperlink w:anchor="tbl-pipeline-org">
        <w:r>
          <w:rPr>
            <w:rStyle w:val="Hyperlink"/>
          </w:rPr>
          <w:t xml:space="preserve">Tabela 18</w:t>
        </w:r>
      </w:hyperlink>
      <w:r>
        <w:t xml:space="preserve">; a lista integral, com descrição objetiva de cada script, segue na</w:t>
      </w:r>
      <w:r>
        <w:t xml:space="preserve"> </w:t>
      </w:r>
      <w:hyperlink w:anchor="tbl-pipeline-full">
        <w:r>
          <w:rPr>
            <w:rStyle w:val="Hyperlink"/>
          </w:rPr>
          <w:t xml:space="preserve">Tabela 19</w:t>
        </w:r>
      </w:hyperlink>
      <w:r>
        <w:t xml:space="preserve">.</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p>
      <w:pPr>
        <w:jc w:val="left"/>
        <w:spacing w:before="200"/>
        <w:pStyle w:val="ImageCaption"/>
      </w:pPr>
      <w:bookmarkStart w:id="380" w:name="tbl-pipeline-org"/>
      <w:r>
        <w:t xml:space="preserve">Tabela 18 — Organização do</w:t>
      </w:r>
      <w:r>
        <w:t xml:space="preserve"> </w:t>
      </w:r>
      <w:r>
        <w:rPr>
          <w:i/>
          <w:iCs/>
        </w:rPr>
        <w:t xml:space="preserve">pipeline</w:t>
      </w:r>
      <w:r>
        <w:t xml:space="preserve"> </w:t>
      </w:r>
      <w:r>
        <w:t xml:space="preserve">computacional por blocos</w:t>
      </w:r>
    </w:p>
    <w:tbl>
      <w:tblPr>
        <w:tblStyle w:val="Table"/>
        <w:tblW w:type="dxa" w:w="9070"/>
        <w:tblLayout w:type="fixed"/>
        <w:tblLook w:firstRow="1" w:lastRow="0" w:firstColumn="0" w:lastColumn="0" w:noHBand="0" w:noVBand="0" w:val="0020"/>
      </w:tblPr>
      <w:tblGrid>
        <w:gridCol w:w="3478"/>
        <w:gridCol w:w="1674"/>
        <w:gridCol w:w="3918"/>
      </w:tblGrid>
      <w:tr>
        <w:trPr>
          <w:tblHeader w:val="on"/>
        </w:trPr>
        <w:tc>
          <w:tcPr>
            <w:tcW w:w="3478" w:type="dxa"/>
          </w:tcPr>
          <w:p>
            <w:pPr>
              <w:pStyle w:val="Compact"/>
              <w:jc w:val="center"/>
            </w:pPr>
            <w:r>
              <w:t xml:space="preserve">Bloco</w:t>
            </w:r>
          </w:p>
        </w:tc>
        <w:tc>
          <w:tcPr>
            <w:tcW w:w="1674" w:type="dxa"/>
          </w:tcPr>
          <w:p>
            <w:pPr>
              <w:pStyle w:val="Compact"/>
              <w:jc w:val="center"/>
            </w:pPr>
            <w:r>
              <w:t xml:space="preserve">Scripts</w:t>
            </w:r>
          </w:p>
        </w:tc>
        <w:tc>
          <w:tcPr>
            <w:tcW w:w="3918" w:type="dxa"/>
          </w:tcPr>
          <w:p>
            <w:pPr>
              <w:pStyle w:val="Compact"/>
              <w:jc w:val="center"/>
            </w:pPr>
            <w:r>
              <w:t xml:space="preserve">Função</w:t>
            </w:r>
          </w:p>
        </w:tc>
      </w:tr>
      <w:tr>
        <w:tc>
          <w:tcPr>
            <w:tcW w:w="3478" w:type="dxa"/>
          </w:tcPr>
          <w:p>
            <w:pPr>
              <w:pStyle w:val="Compact"/>
              <w:jc w:val="center"/>
            </w:pPr>
            <w:r>
              <w:t xml:space="preserve">Setup</w:t>
            </w:r>
          </w:p>
        </w:tc>
        <w:tc>
          <w:tcPr>
            <w:tcW w:w="1674" w:type="dxa"/>
          </w:tcPr>
          <w:p>
            <w:pPr>
              <w:pStyle w:val="Compact"/>
              <w:jc w:val="center"/>
            </w:pPr>
            <w:r>
              <w:t xml:space="preserve">00</w:t>
            </w:r>
          </w:p>
        </w:tc>
        <w:tc>
          <w:tcPr>
            <w:tcW w:w="3918" w:type="dxa"/>
          </w:tcPr>
          <w:p>
            <w:pPr>
              <w:pStyle w:val="Compact"/>
              <w:jc w:val="center"/>
            </w:pPr>
            <w:r>
              <w:t xml:space="preserve">Configuração do ambiente, paleta de cores, validação</w:t>
            </w:r>
          </w:p>
        </w:tc>
      </w:tr>
      <w:tr>
        <w:tc>
          <w:tcPr>
            <w:tcW w:w="3478" w:type="dxa"/>
          </w:tcPr>
          <w:p>
            <w:pPr>
              <w:pStyle w:val="Compact"/>
              <w:jc w:val="center"/>
            </w:pPr>
            <w:r>
              <w:t xml:space="preserve">Dados</w:t>
            </w:r>
          </w:p>
        </w:tc>
        <w:tc>
          <w:tcPr>
            <w:tcW w:w="1674" w:type="dxa"/>
          </w:tcPr>
          <w:p>
            <w:pPr>
              <w:pStyle w:val="Compact"/>
              <w:jc w:val="center"/>
            </w:pPr>
            <w:r>
              <w:t xml:space="preserve">01-04</w:t>
            </w:r>
          </w:p>
        </w:tc>
        <w:tc>
          <w:tcPr>
            <w:tcW w:w="3918" w:type="dxa"/>
          </w:tcPr>
          <w:p>
            <w:pPr>
              <w:pStyle w:val="Compact"/>
              <w:jc w:val="center"/>
            </w:pPr>
            <w:r>
              <w:rPr>
                <w:i/>
                <w:iCs/>
              </w:rPr>
              <w:t xml:space="preserve">Download</w:t>
            </w:r>
            <w:r>
              <w:t xml:space="preserve">, harmonização clínica, pré-processamento</w:t>
            </w:r>
          </w:p>
        </w:tc>
      </w:tr>
      <w:tr>
        <w:tc>
          <w:tcPr>
            <w:tcW w:w="3478" w:type="dxa"/>
          </w:tcPr>
          <w:p>
            <w:pPr>
              <w:pStyle w:val="Compact"/>
              <w:jc w:val="center"/>
            </w:pPr>
            <w:r>
              <w:t xml:space="preserve">Derivação</w:t>
            </w:r>
          </w:p>
        </w:tc>
        <w:tc>
          <w:tcPr>
            <w:tcW w:w="1674" w:type="dxa"/>
          </w:tcPr>
          <w:p>
            <w:pPr>
              <w:pStyle w:val="Compact"/>
              <w:jc w:val="center"/>
            </w:pPr>
            <w:r>
              <w:t xml:space="preserve">05</w:t>
            </w:r>
          </w:p>
        </w:tc>
        <w:tc>
          <w:tcPr>
            <w:tcW w:w="3918" w:type="dxa"/>
          </w:tcPr>
          <w:p>
            <w:pPr>
              <w:pStyle w:val="Compact"/>
              <w:jc w:val="center"/>
            </w:pPr>
            <w:r>
              <w:t xml:space="preserve">Derivação do CorePAM (CONGELADO)</w:t>
            </w:r>
          </w:p>
        </w:tc>
      </w:tr>
      <w:tr>
        <w:tc>
          <w:tcPr>
            <w:tcW w:w="3478" w:type="dxa"/>
          </w:tcPr>
          <w:p>
            <w:pPr>
              <w:pStyle w:val="Compact"/>
              <w:jc w:val="center"/>
            </w:pPr>
            <w:r>
              <w:t xml:space="preserve">Scoring</w:t>
            </w:r>
          </w:p>
        </w:tc>
        <w:tc>
          <w:tcPr>
            <w:tcW w:w="1674" w:type="dxa"/>
          </w:tcPr>
          <w:p>
            <w:pPr>
              <w:pStyle w:val="Compact"/>
              <w:jc w:val="center"/>
            </w:pPr>
            <w:r>
              <w:t xml:space="preserve">06</w:t>
            </w:r>
          </w:p>
        </w:tc>
        <w:tc>
          <w:tcPr>
            <w:tcW w:w="3918" w:type="dxa"/>
          </w:tcPr>
          <w:p>
            <w:pPr>
              <w:pStyle w:val="Compact"/>
              <w:jc w:val="center"/>
            </w:pPr>
            <w:r>
              <w:rPr>
                <w:i/>
                <w:iCs/>
              </w:rPr>
              <w:t xml:space="preserve">Z-score</w:t>
            </w:r>
            <w:r>
              <w:t xml:space="preserve"> </w:t>
            </w:r>
            <w:r>
              <w:t xml:space="preserve">e cálculo do escore por coorte</w:t>
            </w:r>
          </w:p>
        </w:tc>
      </w:tr>
      <w:tr>
        <w:tc>
          <w:tcPr>
            <w:tcW w:w="3478" w:type="dxa"/>
          </w:tcPr>
          <w:p>
            <w:pPr>
              <w:pStyle w:val="Compact"/>
              <w:jc w:val="center"/>
            </w:pPr>
            <w:r>
              <w:t xml:space="preserve">Sobrevida</w:t>
            </w:r>
          </w:p>
        </w:tc>
        <w:tc>
          <w:tcPr>
            <w:tcW w:w="1674" w:type="dxa"/>
          </w:tcPr>
          <w:p>
            <w:pPr>
              <w:pStyle w:val="Compact"/>
              <w:jc w:val="center"/>
            </w:pPr>
            <w:r>
              <w:t xml:space="preserve">07-08</w:t>
            </w:r>
          </w:p>
        </w:tc>
        <w:tc>
          <w:tcPr>
            <w:tcW w:w="3918" w:type="dxa"/>
          </w:tcPr>
          <w:p>
            <w:pPr>
              <w:pStyle w:val="Compact"/>
              <w:jc w:val="center"/>
            </w:pPr>
            <w:r>
              <w:t xml:space="preserve">Análise de sobrevida + meta-análise</w:t>
            </w:r>
          </w:p>
        </w:tc>
      </w:tr>
      <w:tr>
        <w:tc>
          <w:tcPr>
            <w:tcW w:w="3478" w:type="dxa"/>
          </w:tcPr>
          <w:p>
            <w:pPr>
              <w:pStyle w:val="Compact"/>
              <w:jc w:val="center"/>
            </w:pPr>
            <w:r>
              <w:t xml:space="preserve">Valor incremental</w:t>
            </w:r>
          </w:p>
        </w:tc>
        <w:tc>
          <w:tcPr>
            <w:tcW w:w="1674" w:type="dxa"/>
          </w:tcPr>
          <w:p>
            <w:pPr>
              <w:pStyle w:val="Compact"/>
              <w:jc w:val="center"/>
            </w:pPr>
            <w:r>
              <w:t xml:space="preserve">11</w:t>
            </w:r>
          </w:p>
        </w:tc>
        <w:tc>
          <w:tcPr>
            <w:tcW w:w="3918" w:type="dxa"/>
          </w:tcPr>
          <w:p>
            <w:pPr>
              <w:pStyle w:val="Compact"/>
              <w:jc w:val="center"/>
            </w:pPr>
            <w:r>
              <w:t xml:space="preserve">Delta-</w:t>
            </w:r>
            <w:r>
              <w:rPr>
                <w:i/>
                <w:iCs/>
              </w:rPr>
              <w:t xml:space="preserve">C-index</w:t>
            </w:r>
            <w:r>
              <w:t xml:space="preserve"> </w:t>
            </w:r>
            <w:r>
              <w:t xml:space="preserve">e DCA</w:t>
            </w:r>
          </w:p>
        </w:tc>
      </w:tr>
      <w:tr>
        <w:tc>
          <w:tcPr>
            <w:tcW w:w="3478" w:type="dxa"/>
          </w:tcPr>
          <w:p>
            <w:pPr>
              <w:pStyle w:val="Compact"/>
              <w:jc w:val="center"/>
            </w:pPr>
            <w:r>
              <w:t xml:space="preserve">QC</w:t>
            </w:r>
          </w:p>
        </w:tc>
        <w:tc>
          <w:tcPr>
            <w:tcW w:w="1674" w:type="dxa"/>
          </w:tcPr>
          <w:p>
            <w:pPr>
              <w:pStyle w:val="Compact"/>
              <w:jc w:val="center"/>
            </w:pPr>
            <w:r>
              <w:t xml:space="preserve">13-16</w:t>
            </w:r>
          </w:p>
        </w:tc>
        <w:tc>
          <w:tcPr>
            <w:tcW w:w="3918" w:type="dxa"/>
          </w:tcPr>
          <w:p>
            <w:pPr>
              <w:pStyle w:val="Compact"/>
              <w:jc w:val="center"/>
            </w:pPr>
            <w:r>
              <w:t xml:space="preserve">Correlações, PCA,</w:t>
            </w:r>
            <w:r>
              <w:t xml:space="preserve"> </w:t>
            </w:r>
            <w:r>
              <w:rPr>
                <w:i/>
                <w:iCs/>
              </w:rPr>
              <w:t xml:space="preserve">schema</w:t>
            </w:r>
            <w:r>
              <w:t xml:space="preserve">, anti-hardcoding</w:t>
            </w:r>
          </w:p>
        </w:tc>
      </w:tr>
      <w:tr>
        <w:tc>
          <w:tcPr>
            <w:tcW w:w="3478" w:type="dxa"/>
          </w:tcPr>
          <w:p>
            <w:pPr>
              <w:pStyle w:val="Compact"/>
              <w:jc w:val="center"/>
            </w:pPr>
            <w:r>
              <w:t xml:space="preserve">Render</w:t>
            </w:r>
          </w:p>
        </w:tc>
        <w:tc>
          <w:tcPr>
            <w:tcW w:w="1674" w:type="dxa"/>
          </w:tcPr>
          <w:p>
            <w:pPr>
              <w:pStyle w:val="Compact"/>
              <w:jc w:val="center"/>
            </w:pPr>
            <w:r>
              <w:t xml:space="preserve">17-18</w:t>
            </w:r>
          </w:p>
        </w:tc>
        <w:tc>
          <w:tcPr>
            <w:tcW w:w="3918" w:type="dxa"/>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tcW w:w="3478" w:type="dxa"/>
          </w:tcPr>
          <w:p>
            <w:pPr>
              <w:pStyle w:val="Compact"/>
              <w:jc w:val="center"/>
            </w:pPr>
            <w:r>
              <w:t xml:space="preserve">pCR</w:t>
            </w:r>
          </w:p>
        </w:tc>
        <w:tc>
          <w:tcPr>
            <w:tcW w:w="1674" w:type="dxa"/>
          </w:tcPr>
          <w:p>
            <w:pPr>
              <w:pStyle w:val="Compact"/>
              <w:jc w:val="center"/>
            </w:pPr>
            <w:r>
              <w:t xml:space="preserve">19-23b</w:t>
            </w:r>
          </w:p>
        </w:tc>
        <w:tc>
          <w:tcPr>
            <w:tcW w:w="3918" w:type="dxa"/>
          </w:tcPr>
          <w:p>
            <w:pPr>
              <w:pStyle w:val="Compact"/>
              <w:jc w:val="center"/>
            </w:pPr>
            <w:r>
              <w:rPr>
                <w:i/>
                <w:iCs/>
              </w:rPr>
              <w:t xml:space="preserve">Download</w:t>
            </w:r>
            <w:r>
              <w:t xml:space="preserve">, preparação, análise e figuras de pCR</w:t>
            </w:r>
          </w:p>
        </w:tc>
      </w:tr>
      <w:tr>
        <w:tc>
          <w:tcPr>
            <w:tcW w:w="3478" w:type="dxa"/>
          </w:tcPr>
          <w:p>
            <w:pPr>
              <w:pStyle w:val="Compact"/>
              <w:jc w:val="center"/>
            </w:pPr>
            <w:r>
              <w:t xml:space="preserve">4ª coorte</w:t>
            </w:r>
          </w:p>
        </w:tc>
        <w:tc>
          <w:tcPr>
            <w:tcW w:w="1674" w:type="dxa"/>
          </w:tcPr>
          <w:p>
            <w:pPr>
              <w:pStyle w:val="Compact"/>
              <w:jc w:val="center"/>
            </w:pPr>
            <w:r>
              <w:t xml:space="preserve">24</w:t>
            </w:r>
          </w:p>
        </w:tc>
        <w:tc>
          <w:tcPr>
            <w:tcW w:w="3918" w:type="dxa"/>
          </w:tcPr>
          <w:p>
            <w:pPr>
              <w:pStyle w:val="Compact"/>
              <w:jc w:val="center"/>
            </w:pPr>
            <w:r>
              <w:t xml:space="preserve">Integração GSE1456 (Stockholm)</w:t>
            </w:r>
          </w:p>
        </w:tc>
      </w:tr>
      <w:tr>
        <w:tc>
          <w:tcPr>
            <w:tcW w:w="3478" w:type="dxa"/>
          </w:tcPr>
          <w:p>
            <w:pPr>
              <w:pStyle w:val="Compact"/>
              <w:jc w:val="center"/>
            </w:pPr>
            <w:r>
              <w:t xml:space="preserve">Sensibilidade</w:t>
            </w:r>
          </w:p>
        </w:tc>
        <w:tc>
          <w:tcPr>
            <w:tcW w:w="1674" w:type="dxa"/>
          </w:tcPr>
          <w:p>
            <w:pPr>
              <w:pStyle w:val="Compact"/>
              <w:jc w:val="center"/>
            </w:pPr>
            <w:r>
              <w:t xml:space="preserve">25-29</w:t>
            </w:r>
          </w:p>
        </w:tc>
        <w:tc>
          <w:tcPr>
            <w:tcW w:w="3918" w:type="dxa"/>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tcW w:w="3478" w:type="dxa"/>
          </w:tcPr>
          <w:p>
            <w:pPr>
              <w:pStyle w:val="Compact"/>
              <w:jc w:val="center"/>
            </w:pPr>
            <w:r>
              <w:t xml:space="preserve">Revisão major</w:t>
            </w:r>
          </w:p>
        </w:tc>
        <w:tc>
          <w:tcPr>
            <w:tcW w:w="1674" w:type="dxa"/>
          </w:tcPr>
          <w:p>
            <w:pPr>
              <w:pStyle w:val="Compact"/>
              <w:jc w:val="center"/>
            </w:pPr>
            <w:r>
              <w:t xml:space="preserve">30-36</w:t>
            </w:r>
          </w:p>
        </w:tc>
        <w:tc>
          <w:tcPr>
            <w:tcW w:w="3918" w:type="dxa"/>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tcW w:w="3478" w:type="dxa"/>
          </w:tcPr>
          <w:p>
            <w:pPr>
              <w:pStyle w:val="Compact"/>
              <w:jc w:val="center"/>
            </w:pPr>
            <w:r>
              <w:t xml:space="preserve">R2 (revisão)</w:t>
            </w:r>
          </w:p>
        </w:tc>
        <w:tc>
          <w:tcPr>
            <w:tcW w:w="1674" w:type="dxa"/>
          </w:tcPr>
          <w:p>
            <w:pPr>
              <w:pStyle w:val="Compact"/>
              <w:jc w:val="center"/>
            </w:pPr>
            <w:r>
              <w:t xml:space="preserve">37-38</w:t>
            </w:r>
          </w:p>
        </w:tc>
        <w:tc>
          <w:tcPr>
            <w:tcW w:w="3918" w:type="dxa"/>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80"/>
    <w:p/>
    <w:p>
      <w:pPr>
        <w:pStyle w:val="BodyText"/>
      </w:pPr>
      <w:r>
        <w:t xml:space="preserve"> </w:t>
      </w:r>
    </w:p>
    <w:p>
      <w:pPr>
        <w:jc w:val="left"/>
        <w:spacing w:before="200"/>
        <w:pStyle w:val="ImageCaption"/>
      </w:pPr>
      <w:bookmarkStart w:id="381" w:name="tbl-pipeline-full"/>
      <w:r>
        <w:t xml:space="preserve">Tabela 19 — Lista completa dos scripts do</w:t>
      </w:r>
      <w:r>
        <w:t xml:space="preserve"> </w:t>
      </w:r>
      <w:r>
        <w:rPr>
          <w:i/>
          <w:iCs/>
        </w:rPr>
        <w:t xml:space="preserve">pipeline</w:t>
      </w:r>
    </w:p>
    <w:tbl>
      <w:tblPr>
        <w:tblStyle w:val="Table"/>
        <w:tblW w:type="dxa" w:w="9070"/>
        <w:tblLayout w:type="fixed"/>
        <w:tblLook w:firstRow="1" w:lastRow="0" w:firstColumn="0" w:lastColumn="0" w:noHBand="0" w:noVBand="0" w:val="0020"/>
      </w:tblPr>
      <w:tblGrid>
        <w:gridCol w:w="5411"/>
        <w:gridCol w:w="3659"/>
      </w:tblGrid>
      <w:tr>
        <w:trPr>
          <w:tblHeader w:val="on"/>
        </w:trPr>
        <w:tc>
          <w:tcPr>
            <w:tcW w:w="5411" w:type="dxa"/>
          </w:tcPr>
          <w:p>
            <w:pPr>
              <w:pStyle w:val="Compact"/>
              <w:jc w:val="center"/>
            </w:pPr>
            <w:r>
              <w:t xml:space="preserve">Script</w:t>
            </w:r>
          </w:p>
        </w:tc>
        <w:tc>
          <w:tcPr>
            <w:tcW w:w="3659" w:type="dxa"/>
          </w:tcPr>
          <w:p>
            <w:pPr>
              <w:pStyle w:val="Compact"/>
              <w:jc w:val="center"/>
            </w:pPr>
            <w:r>
              <w:t xml:space="preserve">Descrição</w:t>
            </w:r>
          </w:p>
        </w:tc>
      </w:tr>
      <w:tr>
        <w:tc>
          <w:tcPr>
            <w:tcW w:w="5411" w:type="dxa"/>
          </w:tcPr>
          <w:p>
            <w:pPr>
              <w:pStyle w:val="Compact"/>
              <w:jc w:val="center"/>
            </w:pPr>
            <w:r>
              <w:rPr>
                <w:rStyle w:val="VerbatimChar"/>
              </w:rPr>
              <w:t xml:space="preserve">00_colors.R</w:t>
            </w:r>
          </w:p>
        </w:tc>
        <w:tc>
          <w:tcPr>
            <w:tcW w:w="3659" w:type="dxa"/>
          </w:tcPr>
          <w:p>
            <w:pPr>
              <w:pStyle w:val="Compact"/>
              <w:jc w:val="center"/>
            </w:pPr>
            <w:r>
              <w:t xml:space="preserve">Paleta de cores reprodutível para figuras</w:t>
            </w:r>
          </w:p>
        </w:tc>
      </w:tr>
      <w:tr>
        <w:tc>
          <w:tcPr>
            <w:tcW w:w="5411" w:type="dxa"/>
          </w:tcPr>
          <w:p>
            <w:pPr>
              <w:pStyle w:val="Compact"/>
              <w:jc w:val="center"/>
            </w:pPr>
            <w:r>
              <w:rPr>
                <w:rStyle w:val="VerbatimChar"/>
              </w:rPr>
              <w:t xml:space="preserve">00_setup.R</w:t>
            </w:r>
          </w:p>
        </w:tc>
        <w:tc>
          <w:tcPr>
            <w:tcW w:w="3659" w:type="dxa"/>
          </w:tcPr>
          <w:p>
            <w:pPr>
              <w:pStyle w:val="Compact"/>
              <w:jc w:val="center"/>
            </w:pPr>
            <w:r>
              <w:t xml:space="preserve">Parâmetros congelados (alpha, K, margem, lambda grid)</w:t>
            </w:r>
          </w:p>
        </w:tc>
      </w:tr>
      <w:tr>
        <w:tc>
          <w:tcPr>
            <w:tcW w:w="5411" w:type="dxa"/>
          </w:tcPr>
          <w:p>
            <w:pPr>
              <w:pStyle w:val="Compact"/>
              <w:jc w:val="center"/>
            </w:pPr>
            <w:r>
              <w:rPr>
                <w:rStyle w:val="VerbatimChar"/>
              </w:rPr>
              <w:t xml:space="preserve">00_validate_all.R</w:t>
            </w:r>
          </w:p>
        </w:tc>
        <w:tc>
          <w:tcPr>
            <w:tcW w:w="3659" w:type="dxa"/>
          </w:tcPr>
          <w:p>
            <w:pPr>
              <w:pStyle w:val="Compact"/>
              <w:jc w:val="center"/>
            </w:pPr>
            <w:r>
              <w:t xml:space="preserve">Validação estrutural de entradas e saídas</w:t>
            </w:r>
          </w:p>
        </w:tc>
      </w:tr>
      <w:tr>
        <w:tc>
          <w:tcPr>
            <w:tcW w:w="5411" w:type="dxa"/>
          </w:tcPr>
          <w:p>
            <w:pPr>
              <w:pStyle w:val="Compact"/>
              <w:jc w:val="center"/>
            </w:pPr>
            <w:r>
              <w:rPr>
                <w:rStyle w:val="VerbatimChar"/>
              </w:rPr>
              <w:t xml:space="preserve">01_download_raw_data.R</w:t>
            </w:r>
          </w:p>
        </w:tc>
        <w:tc>
          <w:tcPr>
            <w:tcW w:w="3659" w:type="dxa"/>
          </w:tcPr>
          <w:p>
            <w:pPr>
              <w:pStyle w:val="Compact"/>
              <w:jc w:val="center"/>
            </w:pPr>
            <w:r>
              <w:rPr>
                <w:i/>
                <w:iCs/>
              </w:rPr>
              <w:t xml:space="preserve">Download</w:t>
            </w:r>
            <w:r>
              <w:t xml:space="preserve"> </w:t>
            </w:r>
            <w:r>
              <w:t xml:space="preserve">das matrizes de SCAN-B, TCGA, METABRIC, GEO</w:t>
            </w:r>
          </w:p>
        </w:tc>
      </w:tr>
      <w:tr>
        <w:tc>
          <w:tcPr>
            <w:tcW w:w="5411" w:type="dxa"/>
          </w:tcPr>
          <w:p>
            <w:pPr>
              <w:pStyle w:val="Compact"/>
              <w:jc w:val="center"/>
            </w:pPr>
            <w:r>
              <w:rPr>
                <w:rStyle w:val="VerbatimChar"/>
              </w:rPr>
              <w:t xml:space="preserve">02_harmonize_clinical_GSE20685.R</w:t>
            </w:r>
          </w:p>
        </w:tc>
        <w:tc>
          <w:tcPr>
            <w:tcW w:w="3659" w:type="dxa"/>
          </w:tcPr>
          <w:p>
            <w:pPr>
              <w:pStyle w:val="Compact"/>
              <w:jc w:val="center"/>
            </w:pPr>
            <w:r>
              <w:t xml:space="preserve">Harmonização clínica GSE20685</w:t>
            </w:r>
          </w:p>
        </w:tc>
      </w:tr>
      <w:tr>
        <w:tc>
          <w:tcPr>
            <w:tcW w:w="5411" w:type="dxa"/>
          </w:tcPr>
          <w:p>
            <w:pPr>
              <w:pStyle w:val="Compact"/>
              <w:jc w:val="center"/>
            </w:pPr>
            <w:r>
              <w:rPr>
                <w:rStyle w:val="VerbatimChar"/>
              </w:rPr>
              <w:t xml:space="preserve">02_harmonize_clinical_METABRIC.R</w:t>
            </w:r>
          </w:p>
        </w:tc>
        <w:tc>
          <w:tcPr>
            <w:tcW w:w="3659" w:type="dxa"/>
          </w:tcPr>
          <w:p>
            <w:pPr>
              <w:pStyle w:val="Compact"/>
              <w:jc w:val="center"/>
            </w:pPr>
            <w:r>
              <w:t xml:space="preserve">Harmonização clínica METABRIC</w:t>
            </w:r>
          </w:p>
        </w:tc>
      </w:tr>
      <w:tr>
        <w:tc>
          <w:tcPr>
            <w:tcW w:w="5411" w:type="dxa"/>
          </w:tcPr>
          <w:p>
            <w:pPr>
              <w:pStyle w:val="Compact"/>
              <w:jc w:val="center"/>
            </w:pPr>
            <w:r>
              <w:rPr>
                <w:rStyle w:val="VerbatimChar"/>
              </w:rPr>
              <w:t xml:space="preserve">02_harmonize_clinical_SCANB.R</w:t>
            </w:r>
          </w:p>
        </w:tc>
        <w:tc>
          <w:tcPr>
            <w:tcW w:w="3659" w:type="dxa"/>
          </w:tcPr>
          <w:p>
            <w:pPr>
              <w:pStyle w:val="Compact"/>
              <w:jc w:val="center"/>
            </w:pPr>
            <w:r>
              <w:t xml:space="preserve">Harmonização clínica SCAN-B</w:t>
            </w:r>
          </w:p>
        </w:tc>
      </w:tr>
      <w:tr>
        <w:tc>
          <w:tcPr>
            <w:tcW w:w="5411" w:type="dxa"/>
          </w:tcPr>
          <w:p>
            <w:pPr>
              <w:pStyle w:val="Compact"/>
              <w:jc w:val="center"/>
            </w:pPr>
            <w:r>
              <w:rPr>
                <w:rStyle w:val="VerbatimChar"/>
              </w:rPr>
              <w:t xml:space="preserve">02_harmonize_clinical_TCGA_BRCA.R</w:t>
            </w:r>
          </w:p>
        </w:tc>
        <w:tc>
          <w:tcPr>
            <w:tcW w:w="3659" w:type="dxa"/>
          </w:tcPr>
          <w:p>
            <w:pPr>
              <w:pStyle w:val="Compact"/>
              <w:jc w:val="center"/>
            </w:pPr>
            <w:r>
              <w:t xml:space="preserve">Harmonização clínica TCGA-BRCA</w:t>
            </w:r>
          </w:p>
        </w:tc>
      </w:tr>
      <w:tr>
        <w:tc>
          <w:tcPr>
            <w:tcW w:w="5411" w:type="dxa"/>
          </w:tcPr>
          <w:p>
            <w:pPr>
              <w:pStyle w:val="Compact"/>
              <w:jc w:val="center"/>
            </w:pPr>
            <w:r>
              <w:rPr>
                <w:rStyle w:val="VerbatimChar"/>
              </w:rPr>
              <w:t xml:space="preserve">03_expression_preprocess_GSE20685.R</w:t>
            </w:r>
          </w:p>
        </w:tc>
        <w:tc>
          <w:tcPr>
            <w:tcW w:w="3659" w:type="dxa"/>
          </w:tcPr>
          <w:p>
            <w:pPr>
              <w:pStyle w:val="Compact"/>
              <w:jc w:val="center"/>
            </w:pPr>
            <w:r>
              <w:t xml:space="preserve">Pré-processamento de expressão GSE20685</w:t>
            </w:r>
          </w:p>
        </w:tc>
      </w:tr>
      <w:tr>
        <w:tc>
          <w:tcPr>
            <w:tcW w:w="5411" w:type="dxa"/>
          </w:tcPr>
          <w:p>
            <w:pPr>
              <w:pStyle w:val="Compact"/>
              <w:jc w:val="center"/>
            </w:pPr>
            <w:r>
              <w:rPr>
                <w:rStyle w:val="VerbatimChar"/>
              </w:rPr>
              <w:t xml:space="preserve">03_expression_preprocess_METABRIC.R</w:t>
            </w:r>
          </w:p>
        </w:tc>
        <w:tc>
          <w:tcPr>
            <w:tcW w:w="3659" w:type="dxa"/>
          </w:tcPr>
          <w:p>
            <w:pPr>
              <w:pStyle w:val="Compact"/>
              <w:jc w:val="center"/>
            </w:pPr>
            <w:r>
              <w:t xml:space="preserve">Pré-processamento de expressão METABRIC</w:t>
            </w:r>
          </w:p>
        </w:tc>
      </w:tr>
      <w:tr>
        <w:tc>
          <w:tcPr>
            <w:tcW w:w="5411" w:type="dxa"/>
          </w:tcPr>
          <w:p>
            <w:pPr>
              <w:pStyle w:val="Compact"/>
              <w:jc w:val="center"/>
            </w:pPr>
            <w:r>
              <w:rPr>
                <w:rStyle w:val="VerbatimChar"/>
              </w:rPr>
              <w:t xml:space="preserve">03_expression_preprocess_SCANB.R</w:t>
            </w:r>
          </w:p>
        </w:tc>
        <w:tc>
          <w:tcPr>
            <w:tcW w:w="3659" w:type="dxa"/>
          </w:tcPr>
          <w:p>
            <w:pPr>
              <w:pStyle w:val="Compact"/>
              <w:jc w:val="center"/>
            </w:pPr>
            <w:r>
              <w:t xml:space="preserve">Pré-processamento de expressão SCAN-B</w:t>
            </w:r>
          </w:p>
        </w:tc>
      </w:tr>
      <w:tr>
        <w:tc>
          <w:tcPr>
            <w:tcW w:w="5411" w:type="dxa"/>
          </w:tcPr>
          <w:p>
            <w:pPr>
              <w:pStyle w:val="Compact"/>
              <w:jc w:val="center"/>
            </w:pPr>
            <w:r>
              <w:rPr>
                <w:rStyle w:val="VerbatimChar"/>
              </w:rPr>
              <w:t xml:space="preserve">03_expression_preprocess_TCGA_BRCA.R</w:t>
            </w:r>
          </w:p>
        </w:tc>
        <w:tc>
          <w:tcPr>
            <w:tcW w:w="3659" w:type="dxa"/>
          </w:tcPr>
          <w:p>
            <w:pPr>
              <w:pStyle w:val="Compact"/>
              <w:jc w:val="center"/>
            </w:pPr>
            <w:r>
              <w:t xml:space="preserve">Pré-processamento de expressão TCGA-BRCA</w:t>
            </w:r>
          </w:p>
        </w:tc>
      </w:tr>
      <w:tr>
        <w:tc>
          <w:tcPr>
            <w:tcW w:w="5411" w:type="dxa"/>
          </w:tcPr>
          <w:p>
            <w:pPr>
              <w:pStyle w:val="Compact"/>
              <w:jc w:val="center"/>
            </w:pPr>
            <w:r>
              <w:rPr>
                <w:rStyle w:val="VerbatimChar"/>
              </w:rPr>
              <w:t xml:space="preserve">03_utils_gene_mapping.R</w:t>
            </w:r>
          </w:p>
        </w:tc>
        <w:tc>
          <w:tcPr>
            <w:tcW w:w="3659" w:type="dxa"/>
          </w:tcPr>
          <w:p>
            <w:pPr>
              <w:pStyle w:val="Compact"/>
              <w:jc w:val="center"/>
            </w:pPr>
            <w:r>
              <w:t xml:space="preserve">Utilitários de mapeamento ENSEMBL → HUGO</w:t>
            </w:r>
          </w:p>
        </w:tc>
      </w:tr>
      <w:tr>
        <w:tc>
          <w:tcPr>
            <w:tcW w:w="5411" w:type="dxa"/>
          </w:tcPr>
          <w:p>
            <w:pPr>
              <w:pStyle w:val="Compact"/>
              <w:jc w:val="center"/>
            </w:pPr>
            <w:r>
              <w:rPr>
                <w:rStyle w:val="VerbatimChar"/>
              </w:rPr>
              <w:t xml:space="preserve">04_gene_audit_freeze.R</w:t>
            </w:r>
          </w:p>
        </w:tc>
        <w:tc>
          <w:tcPr>
            <w:tcW w:w="3659" w:type="dxa"/>
          </w:tcPr>
          <w:p>
            <w:pPr>
              <w:pStyle w:val="Compact"/>
              <w:jc w:val="center"/>
            </w:pPr>
            <w:r>
              <w:t xml:space="preserve">Auditoria e congelamento dos 50 genes candidatos</w:t>
            </w:r>
          </w:p>
        </w:tc>
      </w:tr>
      <w:tr>
        <w:tc>
          <w:tcPr>
            <w:tcW w:w="5411" w:type="dxa"/>
          </w:tcPr>
          <w:p>
            <w:pPr>
              <w:pStyle w:val="Compact"/>
              <w:jc w:val="center"/>
            </w:pPr>
            <w:r>
              <w:rPr>
                <w:rStyle w:val="VerbatimChar"/>
              </w:rPr>
              <w:t xml:space="preserve">05_reduce_pam50_to_corepam_FINAL.R</w:t>
            </w:r>
          </w:p>
        </w:tc>
        <w:tc>
          <w:tcPr>
            <w:tcW w:w="3659" w:type="dxa"/>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tcW w:w="5411" w:type="dxa"/>
          </w:tcPr>
          <w:p>
            <w:pPr>
              <w:pStyle w:val="Compact"/>
              <w:jc w:val="center"/>
            </w:pPr>
            <w:r>
              <w:rPr>
                <w:rStyle w:val="VerbatimChar"/>
              </w:rPr>
              <w:t xml:space="preserve">06_zscore_and_score_GSE20685.R</w:t>
            </w:r>
          </w:p>
        </w:tc>
        <w:tc>
          <w:tcPr>
            <w:tcW w:w="3659" w:type="dxa"/>
          </w:tcPr>
          <w:p>
            <w:pPr>
              <w:pStyle w:val="Compact"/>
              <w:jc w:val="center"/>
            </w:pPr>
            <w:r>
              <w:rPr>
                <w:i/>
                <w:iCs/>
              </w:rPr>
              <w:t xml:space="preserve">Z-score</w:t>
            </w:r>
            <w:r>
              <w:t xml:space="preserve"> </w:t>
            </w:r>
            <w:r>
              <w:t xml:space="preserve">e escore GSE20685</w:t>
            </w:r>
          </w:p>
        </w:tc>
      </w:tr>
      <w:tr>
        <w:tc>
          <w:tcPr>
            <w:tcW w:w="5411" w:type="dxa"/>
          </w:tcPr>
          <w:p>
            <w:pPr>
              <w:pStyle w:val="Compact"/>
              <w:jc w:val="center"/>
            </w:pPr>
            <w:r>
              <w:rPr>
                <w:rStyle w:val="VerbatimChar"/>
              </w:rPr>
              <w:t xml:space="preserve">06_zscore_and_score_METABRIC.R</w:t>
            </w:r>
          </w:p>
        </w:tc>
        <w:tc>
          <w:tcPr>
            <w:tcW w:w="3659" w:type="dxa"/>
          </w:tcPr>
          <w:p>
            <w:pPr>
              <w:pStyle w:val="Compact"/>
              <w:jc w:val="center"/>
            </w:pPr>
            <w:r>
              <w:rPr>
                <w:i/>
                <w:iCs/>
              </w:rPr>
              <w:t xml:space="preserve">Z-score</w:t>
            </w:r>
            <w:r>
              <w:t xml:space="preserve"> </w:t>
            </w:r>
            <w:r>
              <w:t xml:space="preserve">e escore METABRIC</w:t>
            </w:r>
          </w:p>
        </w:tc>
      </w:tr>
      <w:tr>
        <w:tc>
          <w:tcPr>
            <w:tcW w:w="5411" w:type="dxa"/>
          </w:tcPr>
          <w:p>
            <w:pPr>
              <w:pStyle w:val="Compact"/>
              <w:jc w:val="center"/>
            </w:pPr>
            <w:r>
              <w:rPr>
                <w:rStyle w:val="VerbatimChar"/>
              </w:rPr>
              <w:t xml:space="preserve">06_zscore_and_score_SCANB.R</w:t>
            </w:r>
          </w:p>
        </w:tc>
        <w:tc>
          <w:tcPr>
            <w:tcW w:w="3659" w:type="dxa"/>
          </w:tcPr>
          <w:p>
            <w:pPr>
              <w:pStyle w:val="Compact"/>
              <w:jc w:val="center"/>
            </w:pPr>
            <w:r>
              <w:rPr>
                <w:i/>
                <w:iCs/>
              </w:rPr>
              <w:t xml:space="preserve">Z-score</w:t>
            </w:r>
            <w:r>
              <w:t xml:space="preserve"> </w:t>
            </w:r>
            <w:r>
              <w:t xml:space="preserve">e escore SCAN-B</w:t>
            </w:r>
          </w:p>
        </w:tc>
      </w:tr>
      <w:tr>
        <w:tc>
          <w:tcPr>
            <w:tcW w:w="5411" w:type="dxa"/>
          </w:tcPr>
          <w:p>
            <w:pPr>
              <w:pStyle w:val="Compact"/>
              <w:jc w:val="center"/>
            </w:pPr>
            <w:r>
              <w:rPr>
                <w:rStyle w:val="VerbatimChar"/>
              </w:rPr>
              <w:t xml:space="preserve">06_zscore_and_score_TCGA_BRCA.R</w:t>
            </w:r>
          </w:p>
        </w:tc>
        <w:tc>
          <w:tcPr>
            <w:tcW w:w="3659" w:type="dxa"/>
          </w:tcPr>
          <w:p>
            <w:pPr>
              <w:pStyle w:val="Compact"/>
              <w:jc w:val="center"/>
            </w:pPr>
            <w:r>
              <w:rPr>
                <w:i/>
                <w:iCs/>
              </w:rPr>
              <w:t xml:space="preserve">Z-score</w:t>
            </w:r>
            <w:r>
              <w:t xml:space="preserve"> </w:t>
            </w:r>
            <w:r>
              <w:t xml:space="preserve">e escore TCGA-BRCA</w:t>
            </w:r>
          </w:p>
        </w:tc>
      </w:tr>
      <w:tr>
        <w:tc>
          <w:tcPr>
            <w:tcW w:w="5411" w:type="dxa"/>
          </w:tcPr>
          <w:p>
            <w:pPr>
              <w:pStyle w:val="Compact"/>
              <w:jc w:val="center"/>
            </w:pPr>
            <w:r>
              <w:rPr>
                <w:rStyle w:val="VerbatimChar"/>
              </w:rPr>
              <w:t xml:space="preserve">07A_preflight_files_strict.R</w:t>
            </w:r>
          </w:p>
        </w:tc>
        <w:tc>
          <w:tcPr>
            <w:tcW w:w="3659" w:type="dxa"/>
          </w:tcPr>
          <w:p>
            <w:pPr>
              <w:pStyle w:val="Compact"/>
              <w:jc w:val="center"/>
            </w:pPr>
            <w:r>
              <w:rPr>
                <w:i/>
                <w:iCs/>
              </w:rPr>
              <w:t xml:space="preserve">Preflight</w:t>
            </w:r>
            <w:r>
              <w:t xml:space="preserve"> </w:t>
            </w:r>
            <w:r>
              <w:t xml:space="preserve">de arquivos obrigatórios</w:t>
            </w:r>
          </w:p>
        </w:tc>
      </w:tr>
      <w:tr>
        <w:tc>
          <w:tcPr>
            <w:tcW w:w="5411" w:type="dxa"/>
          </w:tcPr>
          <w:p>
            <w:pPr>
              <w:pStyle w:val="Compact"/>
              <w:jc w:val="center"/>
            </w:pPr>
            <w:r>
              <w:rPr>
                <w:rStyle w:val="VerbatimChar"/>
              </w:rPr>
              <w:t xml:space="preserve">07D_validate_one_cohort_corepam.R</w:t>
            </w:r>
          </w:p>
        </w:tc>
        <w:tc>
          <w:tcPr>
            <w:tcW w:w="3659" w:type="dxa"/>
          </w:tcPr>
          <w:p>
            <w:pPr>
              <w:pStyle w:val="Compact"/>
              <w:jc w:val="center"/>
            </w:pPr>
            <w:r>
              <w:t xml:space="preserve">Validação unitária por coorte</w:t>
            </w:r>
          </w:p>
        </w:tc>
      </w:tr>
      <w:tr>
        <w:tc>
          <w:tcPr>
            <w:tcW w:w="5411" w:type="dxa"/>
          </w:tcPr>
          <w:p>
            <w:pPr>
              <w:pStyle w:val="Compact"/>
              <w:jc w:val="center"/>
            </w:pPr>
            <w:r>
              <w:rPr>
                <w:rStyle w:val="VerbatimChar"/>
              </w:rPr>
              <w:t xml:space="preserve">07_survival_analysis_GSE20685.R</w:t>
            </w:r>
          </w:p>
        </w:tc>
        <w:tc>
          <w:tcPr>
            <w:tcW w:w="3659" w:type="dxa"/>
          </w:tcPr>
          <w:p>
            <w:pPr>
              <w:pStyle w:val="Compact"/>
              <w:jc w:val="center"/>
            </w:pPr>
            <w:r>
              <w:t xml:space="preserve">Sobrevida GSE20685 (Cox + KM + C-index)</w:t>
            </w:r>
          </w:p>
        </w:tc>
      </w:tr>
      <w:tr>
        <w:tc>
          <w:tcPr>
            <w:tcW w:w="5411" w:type="dxa"/>
          </w:tcPr>
          <w:p>
            <w:pPr>
              <w:pStyle w:val="Compact"/>
              <w:jc w:val="center"/>
            </w:pPr>
            <w:r>
              <w:rPr>
                <w:rStyle w:val="VerbatimChar"/>
              </w:rPr>
              <w:t xml:space="preserve">07_survival_analysis_METABRIC.R</w:t>
            </w:r>
          </w:p>
        </w:tc>
        <w:tc>
          <w:tcPr>
            <w:tcW w:w="3659" w:type="dxa"/>
          </w:tcPr>
          <w:p>
            <w:pPr>
              <w:pStyle w:val="Compact"/>
              <w:jc w:val="center"/>
            </w:pPr>
            <w:r>
              <w:t xml:space="preserve">Sobrevida METABRIC (DSS + Fine-Gray)</w:t>
            </w:r>
          </w:p>
        </w:tc>
      </w:tr>
      <w:tr>
        <w:tc>
          <w:tcPr>
            <w:tcW w:w="5411" w:type="dxa"/>
          </w:tcPr>
          <w:p>
            <w:pPr>
              <w:pStyle w:val="Compact"/>
              <w:jc w:val="center"/>
            </w:pPr>
            <w:r>
              <w:rPr>
                <w:rStyle w:val="VerbatimChar"/>
              </w:rPr>
              <w:t xml:space="preserve">07_survival_analysis_SCANB.R</w:t>
            </w:r>
          </w:p>
        </w:tc>
        <w:tc>
          <w:tcPr>
            <w:tcW w:w="3659" w:type="dxa"/>
          </w:tcPr>
          <w:p>
            <w:pPr>
              <w:pStyle w:val="Compact"/>
              <w:jc w:val="center"/>
            </w:pPr>
            <w:r>
              <w:t xml:space="preserve">Sobrevida SCAN-B (coorte de treinamento)</w:t>
            </w:r>
          </w:p>
        </w:tc>
      </w:tr>
      <w:tr>
        <w:tc>
          <w:tcPr>
            <w:tcW w:w="5411" w:type="dxa"/>
          </w:tcPr>
          <w:p>
            <w:pPr>
              <w:pStyle w:val="Compact"/>
              <w:jc w:val="center"/>
            </w:pPr>
            <w:r>
              <w:rPr>
                <w:rStyle w:val="VerbatimChar"/>
              </w:rPr>
              <w:t xml:space="preserve">07_survival_analysis_TCGA_BRCA.R</w:t>
            </w:r>
          </w:p>
        </w:tc>
        <w:tc>
          <w:tcPr>
            <w:tcW w:w="3659" w:type="dxa"/>
          </w:tcPr>
          <w:p>
            <w:pPr>
              <w:pStyle w:val="Compact"/>
              <w:jc w:val="center"/>
            </w:pPr>
            <w:r>
              <w:t xml:space="preserve">Sobrevida TCGA-BRCA</w:t>
            </w:r>
          </w:p>
        </w:tc>
      </w:tr>
      <w:tr>
        <w:tc>
          <w:tcPr>
            <w:tcW w:w="5411" w:type="dxa"/>
          </w:tcPr>
          <w:p>
            <w:pPr>
              <w:pStyle w:val="Compact"/>
              <w:jc w:val="center"/>
            </w:pPr>
            <w:r>
              <w:rPr>
                <w:rStyle w:val="VerbatimChar"/>
              </w:rPr>
              <w:t xml:space="preserve">07x_extra_figures.R</w:t>
            </w:r>
          </w:p>
        </w:tc>
        <w:tc>
          <w:tcPr>
            <w:tcW w:w="3659" w:type="dxa"/>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tcW w:w="5411" w:type="dxa"/>
          </w:tcPr>
          <w:p>
            <w:pPr>
              <w:pStyle w:val="Compact"/>
              <w:jc w:val="center"/>
            </w:pPr>
            <w:r>
              <w:rPr>
                <w:rStyle w:val="VerbatimChar"/>
              </w:rPr>
              <w:t xml:space="preserve">07x_pcr_os_extra_figures.R</w:t>
            </w:r>
          </w:p>
        </w:tc>
        <w:tc>
          <w:tcPr>
            <w:tcW w:w="3659" w:type="dxa"/>
          </w:tcPr>
          <w:p>
            <w:pPr>
              <w:pStyle w:val="Compact"/>
              <w:jc w:val="center"/>
            </w:pPr>
            <w:r>
              <w:t xml:space="preserve">Figuras suplementares pCR × OS</w:t>
            </w:r>
          </w:p>
        </w:tc>
      </w:tr>
      <w:tr>
        <w:tc>
          <w:tcPr>
            <w:tcW w:w="5411" w:type="dxa"/>
          </w:tcPr>
          <w:p>
            <w:pPr>
              <w:pStyle w:val="Compact"/>
              <w:jc w:val="center"/>
            </w:pPr>
            <w:r>
              <w:rPr>
                <w:rStyle w:val="VerbatimChar"/>
              </w:rPr>
              <w:t xml:space="preserve">07y_pam50full_comparison.R</w:t>
            </w:r>
          </w:p>
        </w:tc>
        <w:tc>
          <w:tcPr>
            <w:tcW w:w="3659" w:type="dxa"/>
          </w:tcPr>
          <w:p>
            <w:pPr>
              <w:pStyle w:val="Compact"/>
              <w:jc w:val="center"/>
            </w:pPr>
            <w:r>
              <w:t xml:space="preserve">Comparação PAM50-full vs CorePAM</w:t>
            </w:r>
          </w:p>
        </w:tc>
      </w:tr>
      <w:tr>
        <w:tc>
          <w:tcPr>
            <w:tcW w:w="5411" w:type="dxa"/>
          </w:tcPr>
          <w:p>
            <w:pPr>
              <w:pStyle w:val="Compact"/>
              <w:jc w:val="center"/>
            </w:pPr>
            <w:r>
              <w:rPr>
                <w:rStyle w:val="VerbatimChar"/>
              </w:rPr>
              <w:t xml:space="preserve">07z_fig1_study_design.R</w:t>
            </w:r>
          </w:p>
        </w:tc>
        <w:tc>
          <w:tcPr>
            <w:tcW w:w="3659" w:type="dxa"/>
          </w:tcPr>
          <w:p>
            <w:pPr>
              <w:pStyle w:val="Compact"/>
              <w:jc w:val="center"/>
            </w:pPr>
            <w:r>
              <w:t xml:space="preserve">Figura 1 — desenho do estudo</w:t>
            </w:r>
          </w:p>
        </w:tc>
      </w:tr>
      <w:tr>
        <w:tc>
          <w:tcPr>
            <w:tcW w:w="5411" w:type="dxa"/>
          </w:tcPr>
          <w:p>
            <w:pPr>
              <w:pStyle w:val="Compact"/>
              <w:jc w:val="center"/>
            </w:pPr>
            <w:r>
              <w:rPr>
                <w:rStyle w:val="VerbatimChar"/>
              </w:rPr>
              <w:t xml:space="preserve">07z_table_figures_survival.R</w:t>
            </w:r>
          </w:p>
        </w:tc>
        <w:tc>
          <w:tcPr>
            <w:tcW w:w="3659" w:type="dxa"/>
          </w:tcPr>
          <w:p>
            <w:pPr>
              <w:pStyle w:val="Compact"/>
              <w:jc w:val="center"/>
            </w:pPr>
            <w:r>
              <w:t xml:space="preserve">Tabelas e figuras consolidadas de sobrevida</w:t>
            </w:r>
          </w:p>
        </w:tc>
      </w:tr>
      <w:tr>
        <w:tc>
          <w:tcPr>
            <w:tcW w:w="5411" w:type="dxa"/>
          </w:tcPr>
          <w:p>
            <w:pPr>
              <w:pStyle w:val="Compact"/>
              <w:jc w:val="center"/>
            </w:pPr>
            <w:r>
              <w:rPr>
                <w:rStyle w:val="VerbatimChar"/>
              </w:rPr>
              <w:t xml:space="preserve">08_meta_survival.R</w:t>
            </w:r>
          </w:p>
        </w:tc>
        <w:tc>
          <w:tcPr>
            <w:tcW w:w="3659" w:type="dxa"/>
          </w:tcPr>
          <w:p>
            <w:pPr>
              <w:pStyle w:val="Compact"/>
              <w:jc w:val="center"/>
            </w:pPr>
            <w:r>
              <w:t xml:space="preserve">Meta-análise de sobrevida (REML + Hartung-Knapp)</w:t>
            </w:r>
          </w:p>
        </w:tc>
      </w:tr>
      <w:tr>
        <w:tc>
          <w:tcPr>
            <w:tcW w:w="5411" w:type="dxa"/>
          </w:tcPr>
          <w:p>
            <w:pPr>
              <w:pStyle w:val="Compact"/>
              <w:jc w:val="center"/>
            </w:pPr>
            <w:r>
              <w:rPr>
                <w:rStyle w:val="VerbatimChar"/>
              </w:rPr>
              <w:t xml:space="preserve">11_incremental_value_and_dca.R</w:t>
            </w:r>
          </w:p>
        </w:tc>
        <w:tc>
          <w:tcPr>
            <w:tcW w:w="3659" w:type="dxa"/>
          </w:tcPr>
          <w:p>
            <w:pPr>
              <w:pStyle w:val="Compact"/>
              <w:jc w:val="center"/>
            </w:pPr>
            <w:r>
              <w:t xml:space="preserve">Delta-</w:t>
            </w:r>
            <w:r>
              <w:rPr>
                <w:i/>
                <w:iCs/>
              </w:rPr>
              <w:t xml:space="preserve">C-index</w:t>
            </w:r>
            <w:r>
              <w:t xml:space="preserve"> </w:t>
            </w:r>
            <w:r>
              <w:t xml:space="preserve">e DCA (curva de decisão)</w:t>
            </w:r>
          </w:p>
        </w:tc>
      </w:tr>
      <w:tr>
        <w:tc>
          <w:tcPr>
            <w:tcW w:w="5411" w:type="dxa"/>
          </w:tcPr>
          <w:p>
            <w:pPr>
              <w:pStyle w:val="Compact"/>
              <w:jc w:val="center"/>
            </w:pPr>
            <w:r>
              <w:rPr>
                <w:rStyle w:val="VerbatimChar"/>
              </w:rPr>
              <w:t xml:space="preserve">11b_dca_corepam.R</w:t>
            </w:r>
          </w:p>
        </w:tc>
        <w:tc>
          <w:tcPr>
            <w:tcW w:w="3659" w:type="dxa"/>
          </w:tcPr>
          <w:p>
            <w:pPr>
              <w:pStyle w:val="Compact"/>
              <w:jc w:val="center"/>
            </w:pPr>
            <w:r>
              <w:t xml:space="preserve">DCA auxiliar do CorePAM</w:t>
            </w:r>
          </w:p>
        </w:tc>
      </w:tr>
      <w:tr>
        <w:tc>
          <w:tcPr>
            <w:tcW w:w="5411" w:type="dxa"/>
          </w:tcPr>
          <w:p>
            <w:pPr>
              <w:pStyle w:val="Compact"/>
              <w:jc w:val="center"/>
            </w:pPr>
            <w:r>
              <w:rPr>
                <w:rStyle w:val="VerbatimChar"/>
              </w:rPr>
              <w:t xml:space="preserve">13_qc_correlations_offdiag.R</w:t>
            </w:r>
          </w:p>
        </w:tc>
        <w:tc>
          <w:tcPr>
            <w:tcW w:w="3659" w:type="dxa"/>
          </w:tcPr>
          <w:p>
            <w:pPr>
              <w:pStyle w:val="Compact"/>
              <w:jc w:val="center"/>
            </w:pPr>
            <w:r>
              <w:t xml:space="preserve">QC — correlações inter-coortes</w:t>
            </w:r>
          </w:p>
        </w:tc>
      </w:tr>
      <w:tr>
        <w:tc>
          <w:tcPr>
            <w:tcW w:w="5411" w:type="dxa"/>
          </w:tcPr>
          <w:p>
            <w:pPr>
              <w:pStyle w:val="Compact"/>
              <w:jc w:val="center"/>
            </w:pPr>
            <w:r>
              <w:rPr>
                <w:rStyle w:val="VerbatimChar"/>
              </w:rPr>
              <w:t xml:space="preserve">14_qc_metabric_pca_forensics.R</w:t>
            </w:r>
          </w:p>
        </w:tc>
        <w:tc>
          <w:tcPr>
            <w:tcW w:w="3659" w:type="dxa"/>
          </w:tcPr>
          <w:p>
            <w:pPr>
              <w:pStyle w:val="Compact"/>
              <w:jc w:val="center"/>
            </w:pPr>
            <w:r>
              <w:t xml:space="preserve">QC — PCA forensics METABRIC</w:t>
            </w:r>
          </w:p>
        </w:tc>
      </w:tr>
      <w:tr>
        <w:tc>
          <w:tcPr>
            <w:tcW w:w="5411" w:type="dxa"/>
          </w:tcPr>
          <w:p>
            <w:pPr>
              <w:pStyle w:val="Compact"/>
              <w:jc w:val="center"/>
            </w:pPr>
            <w:r>
              <w:rPr>
                <w:rStyle w:val="VerbatimChar"/>
              </w:rPr>
              <w:t xml:space="preserve">15_qc_schema_range_checks.R</w:t>
            </w:r>
          </w:p>
        </w:tc>
        <w:tc>
          <w:tcPr>
            <w:tcW w:w="3659" w:type="dxa"/>
          </w:tcPr>
          <w:p>
            <w:pPr>
              <w:pStyle w:val="Compact"/>
              <w:jc w:val="center"/>
            </w:pPr>
            <w:r>
              <w:t xml:space="preserve">QC — consistência de</w:t>
            </w:r>
            <w:r>
              <w:t xml:space="preserve"> </w:t>
            </w:r>
            <w:r>
              <w:rPr>
                <w:i/>
                <w:iCs/>
              </w:rPr>
              <w:t xml:space="preserve">schema</w:t>
            </w:r>
            <w:r>
              <w:t xml:space="preserve"> </w:t>
            </w:r>
            <w:r>
              <w:t xml:space="preserve">e faixas</w:t>
            </w:r>
          </w:p>
        </w:tc>
      </w:tr>
      <w:tr>
        <w:tc>
          <w:tcPr>
            <w:tcW w:w="5411" w:type="dxa"/>
          </w:tcPr>
          <w:p>
            <w:pPr>
              <w:pStyle w:val="Compact"/>
              <w:jc w:val="center"/>
            </w:pPr>
            <w:r>
              <w:rPr>
                <w:rStyle w:val="VerbatimChar"/>
              </w:rPr>
              <w:t xml:space="preserve">16_qc_text_vs_results_assert.R</w:t>
            </w:r>
          </w:p>
        </w:tc>
        <w:tc>
          <w:tcPr>
            <w:tcW w:w="3659" w:type="dxa"/>
          </w:tcPr>
          <w:p>
            <w:pPr>
              <w:pStyle w:val="Compact"/>
              <w:jc w:val="center"/>
            </w:pPr>
            <w:r>
              <w:t xml:space="preserve">QC anti-hardcoding (números do texto vs saída)</w:t>
            </w:r>
          </w:p>
        </w:tc>
      </w:tr>
      <w:tr>
        <w:tc>
          <w:tcPr>
            <w:tcW w:w="5411" w:type="dxa"/>
          </w:tcPr>
          <w:p>
            <w:pPr>
              <w:pStyle w:val="Compact"/>
              <w:jc w:val="center"/>
            </w:pPr>
            <w:r>
              <w:rPr>
                <w:rStyle w:val="VerbatimChar"/>
              </w:rPr>
              <w:t xml:space="preserve">17_render_manuscript_quarto.R</w:t>
            </w:r>
          </w:p>
        </w:tc>
        <w:tc>
          <w:tcPr>
            <w:tcW w:w="3659" w:type="dxa"/>
          </w:tcPr>
          <w:p>
            <w:pPr>
              <w:pStyle w:val="Compact"/>
              <w:jc w:val="center"/>
            </w:pPr>
            <w:r>
              <w:t xml:space="preserve">Renderização do manuscrito (Quarto)</w:t>
            </w:r>
          </w:p>
        </w:tc>
      </w:tr>
      <w:tr>
        <w:tc>
          <w:tcPr>
            <w:tcW w:w="5411" w:type="dxa"/>
          </w:tcPr>
          <w:p>
            <w:pPr>
              <w:pStyle w:val="Compact"/>
              <w:jc w:val="center"/>
            </w:pPr>
            <w:r>
              <w:rPr>
                <w:rStyle w:val="VerbatimChar"/>
              </w:rPr>
              <w:t xml:space="preserve">18_make_submission_bundle.R</w:t>
            </w:r>
          </w:p>
        </w:tc>
        <w:tc>
          <w:tcPr>
            <w:tcW w:w="3659" w:type="dxa"/>
          </w:tcPr>
          <w:p>
            <w:pPr>
              <w:pStyle w:val="Compact"/>
              <w:jc w:val="center"/>
            </w:pPr>
            <w:r>
              <w:rPr>
                <w:i/>
                <w:iCs/>
              </w:rPr>
              <w:t xml:space="preserve">Bundle</w:t>
            </w:r>
            <w:r>
              <w:t xml:space="preserve"> </w:t>
            </w:r>
            <w:r>
              <w:t xml:space="preserve">de submissão (arquivos + hashes)</w:t>
            </w:r>
          </w:p>
        </w:tc>
      </w:tr>
      <w:tr>
        <w:tc>
          <w:tcPr>
            <w:tcW w:w="5411" w:type="dxa"/>
          </w:tcPr>
          <w:p>
            <w:pPr>
              <w:pStyle w:val="Compact"/>
              <w:jc w:val="center"/>
            </w:pPr>
            <w:r>
              <w:rPr>
                <w:rStyle w:val="VerbatimChar"/>
              </w:rPr>
              <w:t xml:space="preserve">19_download_pCR_raw_data.R</w:t>
            </w:r>
          </w:p>
        </w:tc>
        <w:tc>
          <w:tcPr>
            <w:tcW w:w="3659" w:type="dxa"/>
          </w:tcPr>
          <w:p>
            <w:pPr>
              <w:pStyle w:val="Compact"/>
              <w:jc w:val="center"/>
            </w:pPr>
            <w:r>
              <w:rPr>
                <w:i/>
                <w:iCs/>
              </w:rPr>
              <w:t xml:space="preserve">Download</w:t>
            </w:r>
            <w:r>
              <w:t xml:space="preserve"> </w:t>
            </w:r>
            <w:r>
              <w:t xml:space="preserve">das coortes neoadjuvantes (pCR)</w:t>
            </w:r>
          </w:p>
        </w:tc>
      </w:tr>
      <w:tr>
        <w:tc>
          <w:tcPr>
            <w:tcW w:w="5411" w:type="dxa"/>
          </w:tcPr>
          <w:p>
            <w:pPr>
              <w:pStyle w:val="Compact"/>
              <w:jc w:val="center"/>
            </w:pPr>
            <w:r>
              <w:rPr>
                <w:rStyle w:val="VerbatimChar"/>
              </w:rPr>
              <w:t xml:space="preserve">20_prepare_pCR_GSE20194.R</w:t>
            </w:r>
          </w:p>
        </w:tc>
        <w:tc>
          <w:tcPr>
            <w:tcW w:w="3659" w:type="dxa"/>
          </w:tcPr>
          <w:p>
            <w:pPr>
              <w:pStyle w:val="Compact"/>
              <w:jc w:val="center"/>
            </w:pPr>
            <w:r>
              <w:t xml:space="preserve">Preparação GSE20194</w:t>
            </w:r>
          </w:p>
        </w:tc>
      </w:tr>
      <w:tr>
        <w:tc>
          <w:tcPr>
            <w:tcW w:w="5411" w:type="dxa"/>
          </w:tcPr>
          <w:p>
            <w:pPr>
              <w:pStyle w:val="Compact"/>
              <w:jc w:val="center"/>
            </w:pPr>
            <w:r>
              <w:rPr>
                <w:rStyle w:val="VerbatimChar"/>
              </w:rPr>
              <w:t xml:space="preserve">20_prepare_pCR_GSE25066.R</w:t>
            </w:r>
          </w:p>
        </w:tc>
        <w:tc>
          <w:tcPr>
            <w:tcW w:w="3659" w:type="dxa"/>
          </w:tcPr>
          <w:p>
            <w:pPr>
              <w:pStyle w:val="Compact"/>
              <w:jc w:val="center"/>
            </w:pPr>
            <w:r>
              <w:t xml:space="preserve">Preparação GSE25066</w:t>
            </w:r>
          </w:p>
        </w:tc>
      </w:tr>
      <w:tr>
        <w:tc>
          <w:tcPr>
            <w:tcW w:w="5411" w:type="dxa"/>
          </w:tcPr>
          <w:p>
            <w:pPr>
              <w:pStyle w:val="Compact"/>
              <w:jc w:val="center"/>
            </w:pPr>
            <w:r>
              <w:rPr>
                <w:rStyle w:val="VerbatimChar"/>
              </w:rPr>
              <w:t xml:space="preserve">20_prepare_pCR_GSE32646.R</w:t>
            </w:r>
          </w:p>
        </w:tc>
        <w:tc>
          <w:tcPr>
            <w:tcW w:w="3659" w:type="dxa"/>
          </w:tcPr>
          <w:p>
            <w:pPr>
              <w:pStyle w:val="Compact"/>
              <w:jc w:val="center"/>
            </w:pPr>
            <w:r>
              <w:t xml:space="preserve">Preparação GSE32646</w:t>
            </w:r>
          </w:p>
        </w:tc>
      </w:tr>
      <w:tr>
        <w:tc>
          <w:tcPr>
            <w:tcW w:w="5411" w:type="dxa"/>
          </w:tcPr>
          <w:p>
            <w:pPr>
              <w:pStyle w:val="Compact"/>
              <w:jc w:val="center"/>
            </w:pPr>
            <w:r>
              <w:rPr>
                <w:rStyle w:val="VerbatimChar"/>
              </w:rPr>
              <w:t xml:space="preserve">20_prepare_pCR_ISPY1.R</w:t>
            </w:r>
          </w:p>
        </w:tc>
        <w:tc>
          <w:tcPr>
            <w:tcW w:w="3659" w:type="dxa"/>
          </w:tcPr>
          <w:p>
            <w:pPr>
              <w:pStyle w:val="Compact"/>
              <w:jc w:val="center"/>
            </w:pPr>
            <w:r>
              <w:t xml:space="preserve">Preparação I-SPY1</w:t>
            </w:r>
          </w:p>
        </w:tc>
      </w:tr>
      <w:tr>
        <w:tc>
          <w:tcPr>
            <w:tcW w:w="5411" w:type="dxa"/>
          </w:tcPr>
          <w:p>
            <w:pPr>
              <w:pStyle w:val="Compact"/>
              <w:jc w:val="center"/>
            </w:pPr>
            <w:r>
              <w:rPr>
                <w:rStyle w:val="VerbatimChar"/>
              </w:rPr>
              <w:t xml:space="preserve">20_prepare_pCR_ISPY2.R</w:t>
            </w:r>
          </w:p>
        </w:tc>
        <w:tc>
          <w:tcPr>
            <w:tcW w:w="3659" w:type="dxa"/>
          </w:tcPr>
          <w:p>
            <w:pPr>
              <w:pStyle w:val="Compact"/>
              <w:jc w:val="center"/>
            </w:pPr>
            <w:r>
              <w:t xml:space="preserve">Preparação I-SPY2</w:t>
            </w:r>
          </w:p>
        </w:tc>
      </w:tr>
      <w:tr>
        <w:tc>
          <w:tcPr>
            <w:tcW w:w="5411" w:type="dxa"/>
          </w:tcPr>
          <w:p>
            <w:pPr>
              <w:pStyle w:val="Compact"/>
              <w:jc w:val="center"/>
            </w:pPr>
            <w:r>
              <w:rPr>
                <w:rStyle w:val="VerbatimChar"/>
              </w:rPr>
              <w:t xml:space="preserve">20_utils_pcr_extract.R</w:t>
            </w:r>
          </w:p>
        </w:tc>
        <w:tc>
          <w:tcPr>
            <w:tcW w:w="3659" w:type="dxa"/>
          </w:tcPr>
          <w:p>
            <w:pPr>
              <w:pStyle w:val="Compact"/>
              <w:jc w:val="center"/>
            </w:pPr>
            <w:r>
              <w:t xml:space="preserve">Utilitários de extração de pCR</w:t>
            </w:r>
          </w:p>
        </w:tc>
      </w:tr>
      <w:tr>
        <w:tc>
          <w:tcPr>
            <w:tcW w:w="5411" w:type="dxa"/>
          </w:tcPr>
          <w:p>
            <w:pPr>
              <w:pStyle w:val="Compact"/>
              <w:jc w:val="center"/>
            </w:pPr>
            <w:r>
              <w:rPr>
                <w:rStyle w:val="VerbatimChar"/>
              </w:rPr>
              <w:t xml:space="preserve">21_ispy2_analysis.R</w:t>
            </w:r>
          </w:p>
        </w:tc>
        <w:tc>
          <w:tcPr>
            <w:tcW w:w="3659" w:type="dxa"/>
          </w:tcPr>
          <w:p>
            <w:pPr>
              <w:pStyle w:val="Compact"/>
              <w:jc w:val="center"/>
            </w:pPr>
            <w:r>
              <w:t xml:space="preserve">Análise exploratória I-SPY2</w:t>
            </w:r>
          </w:p>
        </w:tc>
      </w:tr>
      <w:tr>
        <w:tc>
          <w:tcPr>
            <w:tcW w:w="5411" w:type="dxa"/>
          </w:tcPr>
          <w:p>
            <w:pPr>
              <w:pStyle w:val="Compact"/>
              <w:jc w:val="center"/>
            </w:pPr>
            <w:r>
              <w:rPr>
                <w:rStyle w:val="VerbatimChar"/>
              </w:rPr>
              <w:t xml:space="preserve">21_pCR_logistic_analysis.R</w:t>
            </w:r>
          </w:p>
        </w:tc>
        <w:tc>
          <w:tcPr>
            <w:tcW w:w="3659" w:type="dxa"/>
          </w:tcPr>
          <w:p>
            <w:pPr>
              <w:pStyle w:val="Compact"/>
              <w:jc w:val="center"/>
            </w:pPr>
            <w:r>
              <w:t xml:space="preserve">Regressão logística de pCR por coorte</w:t>
            </w:r>
          </w:p>
        </w:tc>
      </w:tr>
      <w:tr>
        <w:tc>
          <w:tcPr>
            <w:tcW w:w="5411" w:type="dxa"/>
          </w:tcPr>
          <w:p>
            <w:pPr>
              <w:pStyle w:val="Compact"/>
              <w:jc w:val="center"/>
            </w:pPr>
            <w:r>
              <w:rPr>
                <w:rStyle w:val="VerbatimChar"/>
              </w:rPr>
              <w:t xml:space="preserve">21b_sensitivity_intersection.R</w:t>
            </w:r>
          </w:p>
        </w:tc>
        <w:tc>
          <w:tcPr>
            <w:tcW w:w="3659" w:type="dxa"/>
          </w:tcPr>
          <w:p>
            <w:pPr>
              <w:pStyle w:val="Compact"/>
              <w:jc w:val="center"/>
            </w:pPr>
            <w:r>
              <w:t xml:space="preserve">Sensibilidade sobre interseção de genes</w:t>
            </w:r>
          </w:p>
        </w:tc>
      </w:tr>
      <w:tr>
        <w:tc>
          <w:tcPr>
            <w:tcW w:w="5411" w:type="dxa"/>
          </w:tcPr>
          <w:p>
            <w:pPr>
              <w:pStyle w:val="Compact"/>
              <w:jc w:val="center"/>
            </w:pPr>
            <w:r>
              <w:rPr>
                <w:rStyle w:val="VerbatimChar"/>
              </w:rPr>
              <w:t xml:space="preserve">21c_pcr_er_interaction.R</w:t>
            </w:r>
          </w:p>
        </w:tc>
        <w:tc>
          <w:tcPr>
            <w:tcW w:w="3659" w:type="dxa"/>
          </w:tcPr>
          <w:p>
            <w:pPr>
              <w:pStyle w:val="Compact"/>
              <w:jc w:val="center"/>
            </w:pPr>
            <w:r>
              <w:t xml:space="preserve">Interação pCR × ER</w:t>
            </w:r>
          </w:p>
        </w:tc>
      </w:tr>
      <w:tr>
        <w:tc>
          <w:tcPr>
            <w:tcW w:w="5411" w:type="dxa"/>
          </w:tcPr>
          <w:p>
            <w:pPr>
              <w:pStyle w:val="Compact"/>
              <w:jc w:val="center"/>
            </w:pPr>
            <w:r>
              <w:rPr>
                <w:rStyle w:val="VerbatimChar"/>
              </w:rPr>
              <w:t xml:space="preserve">22_meta_pCR.R</w:t>
            </w:r>
          </w:p>
        </w:tc>
        <w:tc>
          <w:tcPr>
            <w:tcW w:w="3659" w:type="dxa"/>
          </w:tcPr>
          <w:p>
            <w:pPr>
              <w:pStyle w:val="Compact"/>
              <w:jc w:val="center"/>
            </w:pPr>
            <w:r>
              <w:t xml:space="preserve">Meta-análise de pCR (DerSimonian-Laird)</w:t>
            </w:r>
          </w:p>
        </w:tc>
      </w:tr>
      <w:tr>
        <w:tc>
          <w:tcPr>
            <w:tcW w:w="5411" w:type="dxa"/>
          </w:tcPr>
          <w:p>
            <w:pPr>
              <w:pStyle w:val="Compact"/>
              <w:jc w:val="center"/>
            </w:pPr>
            <w:r>
              <w:rPr>
                <w:rStyle w:val="VerbatimChar"/>
              </w:rPr>
              <w:t xml:space="preserve">22b_meta_pCR_with_ispy2.R</w:t>
            </w:r>
          </w:p>
        </w:tc>
        <w:tc>
          <w:tcPr>
            <w:tcW w:w="3659" w:type="dxa"/>
          </w:tcPr>
          <w:p>
            <w:pPr>
              <w:pStyle w:val="Compact"/>
              <w:jc w:val="center"/>
            </w:pPr>
            <w:r>
              <w:t xml:space="preserve">Meta-análise de pCR incluindo I-SPY2</w:t>
            </w:r>
          </w:p>
        </w:tc>
      </w:tr>
      <w:tr>
        <w:tc>
          <w:tcPr>
            <w:tcW w:w="5411" w:type="dxa"/>
          </w:tcPr>
          <w:p>
            <w:pPr>
              <w:pStyle w:val="Compact"/>
              <w:jc w:val="center"/>
            </w:pPr>
            <w:r>
              <w:rPr>
                <w:rStyle w:val="VerbatimChar"/>
              </w:rPr>
              <w:t xml:space="preserve">23_pCR_figures.R</w:t>
            </w:r>
          </w:p>
        </w:tc>
        <w:tc>
          <w:tcPr>
            <w:tcW w:w="3659" w:type="dxa"/>
          </w:tcPr>
          <w:p>
            <w:pPr>
              <w:pStyle w:val="Compact"/>
              <w:jc w:val="center"/>
            </w:pPr>
            <w:r>
              <w:t xml:space="preserve">Figuras de pCR (forest, painéis)</w:t>
            </w:r>
          </w:p>
        </w:tc>
      </w:tr>
      <w:tr>
        <w:tc>
          <w:tcPr>
            <w:tcW w:w="5411" w:type="dxa"/>
          </w:tcPr>
          <w:p>
            <w:pPr>
              <w:pStyle w:val="Compact"/>
              <w:jc w:val="center"/>
            </w:pPr>
            <w:r>
              <w:rPr>
                <w:rStyle w:val="VerbatimChar"/>
              </w:rPr>
              <w:t xml:space="preserve">23b_pCR_ispy2_figures.R</w:t>
            </w:r>
          </w:p>
        </w:tc>
        <w:tc>
          <w:tcPr>
            <w:tcW w:w="3659" w:type="dxa"/>
          </w:tcPr>
          <w:p>
            <w:pPr>
              <w:pStyle w:val="Compact"/>
              <w:jc w:val="center"/>
            </w:pPr>
            <w:r>
              <w:t xml:space="preserve">Figuras de I-SPY2</w:t>
            </w:r>
          </w:p>
        </w:tc>
      </w:tr>
      <w:tr>
        <w:tc>
          <w:tcPr>
            <w:tcW w:w="5411" w:type="dxa"/>
          </w:tcPr>
          <w:p>
            <w:pPr>
              <w:pStyle w:val="Compact"/>
              <w:jc w:val="center"/>
            </w:pPr>
            <w:r>
              <w:rPr>
                <w:rStyle w:val="VerbatimChar"/>
              </w:rPr>
              <w:t xml:space="preserve">24_integrate_GSE1456_stockholm.R</w:t>
            </w:r>
          </w:p>
        </w:tc>
        <w:tc>
          <w:tcPr>
            <w:tcW w:w="3659" w:type="dxa"/>
          </w:tcPr>
          <w:p>
            <w:pPr>
              <w:pStyle w:val="Compact"/>
              <w:jc w:val="center"/>
            </w:pPr>
            <w:r>
              <w:t xml:space="preserve">Integração da 4ª coorte (Stockholm)</w:t>
            </w:r>
          </w:p>
        </w:tc>
      </w:tr>
      <w:tr>
        <w:tc>
          <w:tcPr>
            <w:tcW w:w="5411" w:type="dxa"/>
          </w:tcPr>
          <w:p>
            <w:pPr>
              <w:pStyle w:val="Compact"/>
              <w:jc w:val="center"/>
            </w:pPr>
            <w:r>
              <w:rPr>
                <w:rStyle w:val="VerbatimChar"/>
              </w:rPr>
              <w:t xml:space="preserve">25_sensitivity_corea_expanded.R</w:t>
            </w:r>
          </w:p>
        </w:tc>
        <w:tc>
          <w:tcPr>
            <w:tcW w:w="3659" w:type="dxa"/>
          </w:tcPr>
          <w:p>
            <w:pPr>
              <w:pStyle w:val="Compact"/>
              <w:jc w:val="center"/>
            </w:pPr>
            <w:r>
              <w:t xml:space="preserve">CORE-A expandido (+ T, N, grau, HER2)</w:t>
            </w:r>
          </w:p>
        </w:tc>
      </w:tr>
      <w:tr>
        <w:tc>
          <w:tcPr>
            <w:tcW w:w="5411" w:type="dxa"/>
          </w:tcPr>
          <w:p>
            <w:pPr>
              <w:pStyle w:val="Compact"/>
              <w:jc w:val="center"/>
            </w:pPr>
            <w:r>
              <w:rPr>
                <w:rStyle w:val="VerbatimChar"/>
              </w:rPr>
              <w:t xml:space="preserve">26_sensitivity_genefu_comparison.R</w:t>
            </w:r>
          </w:p>
        </w:tc>
        <w:tc>
          <w:tcPr>
            <w:tcW w:w="3659" w:type="dxa"/>
          </w:tcPr>
          <w:p>
            <w:pPr>
              <w:pStyle w:val="Compact"/>
              <w:jc w:val="center"/>
            </w:pPr>
            <w:r>
              <w:t xml:space="preserve">Comparação com ROR-S e OncotypeDX (</w:t>
            </w:r>
            <w:r>
              <w:rPr>
                <w:i/>
                <w:iCs/>
              </w:rPr>
              <w:t xml:space="preserve">genefu</w:t>
            </w:r>
            <w:r>
              <w:t xml:space="preserve">)</w:t>
            </w:r>
          </w:p>
        </w:tc>
      </w:tr>
      <w:tr>
        <w:tc>
          <w:tcPr>
            <w:tcW w:w="5411" w:type="dxa"/>
          </w:tcPr>
          <w:p>
            <w:pPr>
              <w:pStyle w:val="Compact"/>
              <w:jc w:val="center"/>
            </w:pPr>
            <w:r>
              <w:rPr>
                <w:rStyle w:val="VerbatimChar"/>
              </w:rPr>
              <w:t xml:space="preserve">27_bootstrap_gene_stability.R</w:t>
            </w:r>
          </w:p>
        </w:tc>
        <w:tc>
          <w:tcPr>
            <w:tcW w:w="3659" w:type="dxa"/>
          </w:tcPr>
          <w:p>
            <w:pPr>
              <w:pStyle w:val="Compact"/>
              <w:jc w:val="center"/>
            </w:pPr>
            <w:r>
              <w:rPr>
                <w:i/>
                <w:iCs/>
              </w:rPr>
              <w:t xml:space="preserve">Bootstrap</w:t>
            </w:r>
            <w:r>
              <w:t xml:space="preserve"> </w:t>
            </w:r>
            <w:r>
              <w:t xml:space="preserve">B = 200 (estabilidade de seleção)</w:t>
            </w:r>
          </w:p>
        </w:tc>
      </w:tr>
      <w:tr>
        <w:tc>
          <w:tcPr>
            <w:tcW w:w="5411" w:type="dxa"/>
          </w:tcPr>
          <w:p>
            <w:pPr>
              <w:pStyle w:val="Compact"/>
              <w:jc w:val="center"/>
            </w:pPr>
            <w:r>
              <w:rPr>
                <w:rStyle w:val="VerbatimChar"/>
              </w:rPr>
              <w:t xml:space="preserve">28_dropgene_sensitivity.R</w:t>
            </w:r>
          </w:p>
        </w:tc>
        <w:tc>
          <w:tcPr>
            <w:tcW w:w="3659" w:type="dxa"/>
          </w:tcPr>
          <w:p>
            <w:pPr>
              <w:pStyle w:val="Compact"/>
              <w:jc w:val="center"/>
            </w:pPr>
            <w:r>
              <w:rPr>
                <w:i/>
                <w:iCs/>
              </w:rPr>
              <w:t xml:space="preserve">Leave-one-gene-out</w:t>
            </w:r>
            <w:r>
              <w:t xml:space="preserve"> </w:t>
            </w:r>
            <w:r>
              <w:t xml:space="preserve">(</w:t>
            </w:r>
          </w:p>
        </w:tc>
      </w:tr>
      <w:tr>
        <w:tc>
          <w:tcPr>
            <w:tcW w:w="5411" w:type="dxa"/>
          </w:tcPr>
          <w:p>
            <w:pPr>
              <w:pStyle w:val="Compact"/>
              <w:jc w:val="center"/>
            </w:pPr>
            <w:r>
              <w:rPr>
                <w:rStyle w:val="VerbatimChar"/>
              </w:rPr>
              <w:t xml:space="preserve">29_corea_sensitivity_forest.R</w:t>
            </w:r>
          </w:p>
        </w:tc>
        <w:tc>
          <w:tcPr>
            <w:tcW w:w="3659" w:type="dxa"/>
          </w:tcPr>
          <w:p>
            <w:pPr>
              <w:pStyle w:val="Compact"/>
              <w:jc w:val="center"/>
            </w:pPr>
            <w:r>
              <w:rPr>
                <w:i/>
                <w:iCs/>
              </w:rPr>
              <w:t xml:space="preserve">Forest plot</w:t>
            </w:r>
            <w:r>
              <w:t xml:space="preserve"> </w:t>
            </w:r>
            <w:r>
              <w:t xml:space="preserve">de sensibilidade CORE-A</w:t>
            </w:r>
          </w:p>
        </w:tc>
      </w:tr>
      <w:tr>
        <w:tc>
          <w:tcPr>
            <w:tcW w:w="5411" w:type="dxa"/>
          </w:tcPr>
          <w:p>
            <w:pPr>
              <w:pStyle w:val="Compact"/>
              <w:jc w:val="center"/>
            </w:pPr>
            <w:r>
              <w:rPr>
                <w:rStyle w:val="VerbatimChar"/>
              </w:rPr>
              <w:t xml:space="preserve">30_frozen_zscore_sensitivity.R</w:t>
            </w:r>
          </w:p>
        </w:tc>
        <w:tc>
          <w:tcPr>
            <w:tcW w:w="3659" w:type="dxa"/>
          </w:tcPr>
          <w:p>
            <w:pPr>
              <w:pStyle w:val="Compact"/>
              <w:jc w:val="center"/>
            </w:pPr>
            <w:r>
              <w:rPr>
                <w:i/>
                <w:iCs/>
              </w:rPr>
              <w:t xml:space="preserve">Single-sample scoring</w:t>
            </w:r>
            <w:r>
              <w:t xml:space="preserve"> </w:t>
            </w:r>
            <w:r>
              <w:t xml:space="preserve">com parâmetros congelados</w:t>
            </w:r>
          </w:p>
        </w:tc>
      </w:tr>
      <w:tr>
        <w:tc>
          <w:tcPr>
            <w:tcW w:w="5411" w:type="dxa"/>
          </w:tcPr>
          <w:p>
            <w:pPr>
              <w:pStyle w:val="Compact"/>
              <w:jc w:val="center"/>
            </w:pPr>
            <w:r>
              <w:rPr>
                <w:rStyle w:val="VerbatimChar"/>
              </w:rPr>
              <w:t xml:space="preserve">30b_add_GSE1456_frozen.R</w:t>
            </w:r>
          </w:p>
        </w:tc>
        <w:tc>
          <w:tcPr>
            <w:tcW w:w="3659" w:type="dxa"/>
          </w:tcPr>
          <w:p>
            <w:pPr>
              <w:pStyle w:val="Compact"/>
              <w:jc w:val="center"/>
            </w:pPr>
            <w:r>
              <w:t xml:space="preserve">Extensão congelada para GSE1456</w:t>
            </w:r>
          </w:p>
        </w:tc>
      </w:tr>
      <w:tr>
        <w:tc>
          <w:tcPr>
            <w:tcW w:w="5411" w:type="dxa"/>
          </w:tcPr>
          <w:p>
            <w:pPr>
              <w:pStyle w:val="Compact"/>
              <w:jc w:val="center"/>
            </w:pPr>
            <w:r>
              <w:rPr>
                <w:rStyle w:val="VerbatimChar"/>
              </w:rPr>
              <w:t xml:space="preserve">31_uno_c_and_tdauc.R</w:t>
            </w:r>
          </w:p>
        </w:tc>
        <w:tc>
          <w:tcPr>
            <w:tcW w:w="3659" w:type="dxa"/>
          </w:tcPr>
          <w:p>
            <w:pPr>
              <w:pStyle w:val="Compact"/>
              <w:jc w:val="center"/>
            </w:pPr>
            <w:r>
              <w:rPr>
                <w:i/>
                <w:iCs/>
              </w:rPr>
              <w:t xml:space="preserve">C</w:t>
            </w:r>
            <w:r>
              <w:t xml:space="preserve"> </w:t>
            </w:r>
            <w:r>
              <w:t xml:space="preserve">de Uno e AUC tempo-dependente (Blanche)</w:t>
            </w:r>
          </w:p>
        </w:tc>
      </w:tr>
      <w:tr>
        <w:tc>
          <w:tcPr>
            <w:tcW w:w="5411" w:type="dxa"/>
          </w:tcPr>
          <w:p>
            <w:pPr>
              <w:pStyle w:val="Compact"/>
              <w:jc w:val="center"/>
            </w:pPr>
            <w:r>
              <w:rPr>
                <w:rStyle w:val="VerbatimChar"/>
              </w:rPr>
              <w:t xml:space="preserve">32_calibration_formal.R</w:t>
            </w:r>
          </w:p>
        </w:tc>
        <w:tc>
          <w:tcPr>
            <w:tcW w:w="3659" w:type="dxa"/>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tcW w:w="5411" w:type="dxa"/>
          </w:tcPr>
          <w:p>
            <w:pPr>
              <w:pStyle w:val="Compact"/>
              <w:jc w:val="center"/>
            </w:pPr>
            <w:r>
              <w:rPr>
                <w:rStyle w:val="VerbatimChar"/>
              </w:rPr>
              <w:t xml:space="preserve">34_subgroup_er_stratified.R</w:t>
            </w:r>
          </w:p>
        </w:tc>
        <w:tc>
          <w:tcPr>
            <w:tcW w:w="3659" w:type="dxa"/>
          </w:tcPr>
          <w:p>
            <w:pPr>
              <w:pStyle w:val="Compact"/>
              <w:jc w:val="center"/>
            </w:pPr>
            <w:r>
              <w:t xml:space="preserve">Subgrupos estratificados por ER</w:t>
            </w:r>
          </w:p>
        </w:tc>
      </w:tr>
      <w:tr>
        <w:tc>
          <w:tcPr>
            <w:tcW w:w="5411" w:type="dxa"/>
          </w:tcPr>
          <w:p>
            <w:pPr>
              <w:pStyle w:val="Compact"/>
              <w:jc w:val="center"/>
            </w:pPr>
            <w:r>
              <w:rPr>
                <w:rStyle w:val="VerbatimChar"/>
              </w:rPr>
              <w:t xml:space="preserve">35_er_neg_bootstrap_stability.R</w:t>
            </w:r>
          </w:p>
        </w:tc>
        <w:tc>
          <w:tcPr>
            <w:tcW w:w="3659" w:type="dxa"/>
          </w:tcPr>
          <w:p>
            <w:pPr>
              <w:pStyle w:val="Compact"/>
              <w:jc w:val="center"/>
            </w:pPr>
            <w:r>
              <w:t xml:space="preserve">Estabilidade</w:t>
            </w:r>
            <w:r>
              <w:t xml:space="preserve"> </w:t>
            </w:r>
            <w:r>
              <w:rPr>
                <w:i/>
                <w:iCs/>
              </w:rPr>
              <w:t xml:space="preserve">bootstrap</w:t>
            </w:r>
            <w:r>
              <w:t xml:space="preserve"> </w:t>
            </w:r>
            <w:r>
              <w:t xml:space="preserve">em ER-negativo</w:t>
            </w:r>
          </w:p>
        </w:tc>
      </w:tr>
      <w:tr>
        <w:tc>
          <w:tcPr>
            <w:tcW w:w="5411" w:type="dxa"/>
          </w:tcPr>
          <w:p>
            <w:pPr>
              <w:pStyle w:val="Compact"/>
              <w:jc w:val="center"/>
            </w:pPr>
            <w:r>
              <w:rPr>
                <w:rStyle w:val="VerbatimChar"/>
              </w:rPr>
              <w:t xml:space="preserve">36_full_clinical_baseline.R</w:t>
            </w:r>
          </w:p>
        </w:tc>
        <w:tc>
          <w:tcPr>
            <w:tcW w:w="3659" w:type="dxa"/>
          </w:tcPr>
          <w:p>
            <w:pPr>
              <w:pStyle w:val="Compact"/>
              <w:jc w:val="center"/>
            </w:pPr>
            <w:r>
              <w:rPr>
                <w:i/>
                <w:iCs/>
              </w:rPr>
              <w:t xml:space="preserve">Baseline</w:t>
            </w:r>
            <w:r>
              <w:t xml:space="preserve"> </w:t>
            </w:r>
            <w:r>
              <w:t xml:space="preserve">clínico completo (36 variáveis)</w:t>
            </w:r>
          </w:p>
        </w:tc>
      </w:tr>
      <w:tr>
        <w:tc>
          <w:tcPr>
            <w:tcW w:w="5411" w:type="dxa"/>
          </w:tcPr>
          <w:p>
            <w:pPr>
              <w:pStyle w:val="Compact"/>
              <w:jc w:val="center"/>
            </w:pPr>
            <w:r>
              <w:rPr>
                <w:rStyle w:val="VerbatimChar"/>
              </w:rPr>
              <w:t xml:space="preserve">37_R2_km_multipanel.R</w:t>
            </w:r>
          </w:p>
        </w:tc>
        <w:tc>
          <w:tcPr>
            <w:tcW w:w="3659" w:type="dxa"/>
          </w:tcPr>
          <w:p>
            <w:pPr>
              <w:pStyle w:val="Compact"/>
              <w:jc w:val="center"/>
            </w:pPr>
            <w:r>
              <w:t xml:space="preserve">KM</w:t>
            </w:r>
            <w:r>
              <w:t xml:space="preserve"> </w:t>
            </w:r>
            <w:r>
              <w:rPr>
                <w:i/>
                <w:iCs/>
              </w:rPr>
              <w:t xml:space="preserve">multipanel</w:t>
            </w:r>
            <w:r>
              <w:t xml:space="preserve"> </w:t>
            </w:r>
            <w:r>
              <w:t xml:space="preserve">(resposta à R2)</w:t>
            </w:r>
          </w:p>
        </w:tc>
      </w:tr>
      <w:tr>
        <w:tc>
          <w:tcPr>
            <w:tcW w:w="5411" w:type="dxa"/>
          </w:tcPr>
          <w:p>
            <w:pPr>
              <w:pStyle w:val="Compact"/>
              <w:jc w:val="center"/>
            </w:pPr>
            <w:r>
              <w:rPr>
                <w:rStyle w:val="VerbatimChar"/>
              </w:rPr>
              <w:t xml:space="preserve">38_R2_headtohead_24vs50.R</w:t>
            </w:r>
          </w:p>
        </w:tc>
        <w:tc>
          <w:tcPr>
            <w:tcW w:w="3659" w:type="dxa"/>
          </w:tcPr>
          <w:p>
            <w:pPr>
              <w:pStyle w:val="Compact"/>
              <w:jc w:val="center"/>
            </w:pPr>
            <w:r>
              <w:rPr>
                <w:i/>
                <w:iCs/>
              </w:rPr>
              <w:t xml:space="preserve">Head-to-head</w:t>
            </w:r>
            <w:r>
              <w:t xml:space="preserve"> </w:t>
            </w:r>
            <w:r>
              <w:t xml:space="preserve">24 vs 50 genes (resposta à R2)</w:t>
            </w:r>
          </w:p>
        </w:tc>
      </w:tr>
    </w:tbl>
    <w:bookmarkEnd w:id="381"/>
    <w:p/>
    <w:bookmarkStart w:id="382" w:name="X61d0b877d426969a2d235b9284e16cc0e06a24d"/>
    <w:p>
      <w:pPr>
        <w:pageBreakBefore/>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r>
        <w:br w:type="page"/>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r>
        <w:br w:type="page"/>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bookmarkEnd w:id="382"/>
    <w:bookmarkEnd w:id="383"/>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60" Target="media/rId60.png" /><Relationship Type="http://schemas.openxmlformats.org/officeDocument/2006/relationships/image" Id="rId74" Target="media/rId74.png" /><Relationship Type="http://schemas.openxmlformats.org/officeDocument/2006/relationships/image" Id="rId48" Target="media/rId48.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115" Target="media/rId115.png" /><Relationship Type="http://schemas.openxmlformats.org/officeDocument/2006/relationships/image" Id="rId123" Target="media/rId123.png" /><Relationship Type="http://schemas.openxmlformats.org/officeDocument/2006/relationships/image" Id="rId119" Target="media/rId119.png" /><Relationship Type="http://schemas.openxmlformats.org/officeDocument/2006/relationships/image" Id="rId137" Target="media/rId137.png"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92" Target="media/rId192.png" /><Relationship Type="http://schemas.openxmlformats.org/officeDocument/2006/relationships/image" Id="rId188" Target="media/rId188.png" /><Relationship Type="http://schemas.openxmlformats.org/officeDocument/2006/relationships/image" Id="rId156" Target="media/rId156.png" /><Relationship Type="http://schemas.openxmlformats.org/officeDocument/2006/relationships/image" Id="rId166" Target="media/rId166.png" /><Relationship Type="http://schemas.openxmlformats.org/officeDocument/2006/relationships/image" Id="rId105" Target="media/rId105.png" /><Relationship Type="http://schemas.openxmlformats.org/officeDocument/2006/relationships/image" Id="rId204" Target="media/rId204.png" /><Relationship Type="http://schemas.openxmlformats.org/officeDocument/2006/relationships/image" Id="rId162" Target="media/rId162.png" /><Relationship Type="http://schemas.openxmlformats.org/officeDocument/2006/relationships/image" Id="rId109" Target="media/rId109.png" /><Relationship Type="http://schemas.openxmlformats.org/officeDocument/2006/relationships/image" Id="rId173" Target="media/rId173.png" /><Relationship Type="http://schemas.openxmlformats.org/officeDocument/2006/relationships/image" Id="rId198" Target="media/rId198.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2026-05-18T00:59:33Z</dcterms:created>
  <dcterms:modified xsi:type="dcterms:W3CDTF">2026-05-18T00:59:33Z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