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2.png" ContentType="image/png"/>
  <Override PartName="/word/media/rId37.png" ContentType="image/png"/>
  <Override PartName="/word/media/rId59.png" ContentType="image/png"/>
  <Override PartName="/word/media/rId73.png" ContentType="image/png"/>
  <Override PartName="/word/media/rId49.png" ContentType="image/png"/>
  <Override PartName="/word/media/rId130.png" ContentType="image/png"/>
  <Override PartName="/word/media/rId126.png" ContentType="image/png"/>
  <Override PartName="/word/media/rId114.png" ContentType="image/png"/>
  <Override PartName="/word/media/rId122.png" ContentType="image/png"/>
  <Override PartName="/word/media/rId118.png" ContentType="image/png"/>
  <Override PartName="/word/media/rId136.png" ContentType="image/png"/>
  <Override PartName="/word/media/rId146.png" ContentType="image/png"/>
  <Override PartName="/word/media/rId142.png" ContentType="image/png"/>
  <Override PartName="/word/media/rId179.png" ContentType="image/png"/>
  <Override PartName="/word/media/rId183.png" ContentType="image/png"/>
  <Override PartName="/word/media/rId191.png" ContentType="image/png"/>
  <Override PartName="/word/media/rId187.png" ContentType="image/png"/>
  <Override PartName="/word/media/rId155.png" ContentType="image/png"/>
  <Override PartName="/word/media/rId165.png" ContentType="image/png"/>
  <Override PartName="/word/media/rId104.png" ContentType="image/png"/>
  <Override PartName="/word/media/rId203.png" ContentType="image/png"/>
  <Override PartName="/word/media/rId161.png" ContentType="image/png"/>
  <Override PartName="/word/media/rId108.png" ContentType="image/png"/>
  <Override PartName="/word/media/rId172.png" ContentType="image/png"/>
  <Override PartName="/word/media/rId197.png" ContentType="image/png"/>
  <Override PartName="/word/media/rId95.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p>
      <w:r>
        <w:br w:type="page"/>
      </w:r>
    </w:p>
    <w:bookmarkStart w:id="20" w:name="termo-de-aprovação"/>
    <w:p>
      <w:pPr>
        <w:pStyle w:val="Heading1"/>
      </w:pPr>
      <w:r>
        <w:t xml:space="preserve">TERMO DE APROVAÇÃO</w:t>
      </w:r>
    </w:p>
    <w:p>
      <w:pPr>
        <w:pStyle w:val="FirstParagraph"/>
      </w:pPr>
      <w:r>
        <w:br/>
      </w:r>
    </w:p>
    <w:p>
      <w:pPr>
        <w:pStyle w:val="BodyText"/>
      </w:pPr>
      <w:r>
        <w:t xml:space="preserve">RAFAEL DE NEGREIROS BOTAN</w:t>
      </w:r>
    </w:p>
    <w:p>
      <w:pPr>
        <w:pStyle w:val="BodyText"/>
      </w:pPr>
      <w:r>
        <w:rPr>
          <w:i/>
          <w:iCs/>
        </w:rPr>
        <w:t xml:space="preserve">CorePAM: Escore prognóstico de 24 genes derivado do PAM50 com validação externa cross-plataforma para câncer de mama</w:t>
      </w:r>
    </w:p>
    <w:p>
      <w:pPr>
        <w:pStyle w:val="BodyText"/>
      </w:pPr>
      <w:r>
        <w:t xml:space="preserve">Tese apresentada ao Programa de Pós-Graduação em Ciências Médicas da Faculdade de Medicina da Universidade de Brasília como requisito parcial à obtenção do grau de Doutor em Ciências Médicas.</w:t>
      </w:r>
    </w:p>
    <w:p>
      <w:pPr>
        <w:pStyle w:val="BodyText"/>
      </w:pPr>
      <w:r>
        <w:br/>
      </w:r>
    </w:p>
    <w:p>
      <w:pPr>
        <w:pStyle w:val="BodyText"/>
      </w:pPr>
      <w:r>
        <w:t xml:space="preserve">Aprovada em</w:t>
      </w:r>
      <w:r>
        <w:t xml:space="preserve"> </w:t>
      </w:r>
      <w:r>
        <w:rPr>
          <w:rStyle w:val="PlaceholderRed"/>
          <w:b/>
          <w:bCs/>
        </w:rPr>
        <w:t xml:space="preserve">DATA DA DEFESA</w:t>
      </w:r>
    </w:p>
    <w:p>
      <w:pPr>
        <w:pStyle w:val="BodyText"/>
      </w:pPr>
      <w:r>
        <w:br/>
      </w:r>
    </w:p>
    <w:p>
      <w:pPr>
        <w:pStyle w:val="BodyText"/>
      </w:pPr>
      <w:r>
        <w:rPr>
          <w:b/>
          <w:bCs/>
        </w:rPr>
        <w:t xml:space="preserve">Banca Examinadora:</w:t>
      </w:r>
    </w:p>
    <w:p>
      <w:pPr>
        <w:pStyle w:val="BodyText"/>
      </w:pPr>
      <w:r>
        <w:br/>
      </w:r>
    </w:p>
    <w:p>
      <w:pPr>
        <w:pStyle w:val="BodyText"/>
      </w:pPr>
      <w:r>
        <w:t xml:space="preserve">Prof. Dr. João Batista de Sousa — Presidente</w:t>
      </w:r>
    </w:p>
    <w:p>
      <w:pPr>
        <w:pStyle w:val="BodyText"/>
      </w:pPr>
      <w:r>
        <w:t xml:space="preserve">Universidade de Brasília (UnB)</w:t>
      </w:r>
    </w:p>
    <w:p>
      <w:pPr>
        <w:pStyle w:val="BodyText"/>
      </w:pPr>
      <w:r>
        <w:br/>
      </w:r>
    </w:p>
    <w:p>
      <w:pPr>
        <w:pStyle w:val="BodyText"/>
      </w:pPr>
      <w:r>
        <w:rPr>
          <w:rStyle w:val="PlaceholderRed"/>
          <w:b/>
          <w:bCs/>
        </w:rPr>
        <w:t xml:space="preserve">MEMBRO 1 — TITULAÇÃO E INSTITUIÇÃO</w:t>
      </w:r>
    </w:p>
    <w:p>
      <w:pPr>
        <w:pStyle w:val="BodyText"/>
      </w:pPr>
      <w:r>
        <w:br/>
      </w:r>
    </w:p>
    <w:p>
      <w:pPr>
        <w:pStyle w:val="BodyText"/>
      </w:pPr>
      <w:r>
        <w:rPr>
          <w:rStyle w:val="PlaceholderRed"/>
          <w:b/>
          <w:bCs/>
        </w:rPr>
        <w:t xml:space="preserve">MEMBRO 2 — TITULAÇÃO E INSTITUIÇÃO</w:t>
      </w:r>
    </w:p>
    <w:p>
      <w:pPr>
        <w:pStyle w:val="BodyText"/>
      </w:pPr>
      <w:r>
        <w:br/>
      </w:r>
    </w:p>
    <w:p>
      <w:pPr>
        <w:pStyle w:val="BodyText"/>
      </w:pPr>
      <w:r>
        <w:rPr>
          <w:rStyle w:val="PlaceholderRed"/>
          <w:b/>
          <w:bCs/>
        </w:rPr>
        <w:t xml:space="preserve">MEMBRO 3 — TITULAÇÃO E INSTITUIÇÃO</w:t>
      </w:r>
    </w:p>
    <w:p>
      <w:pPr>
        <w:pStyle w:val="BodyText"/>
      </w:pPr>
      <w:r>
        <w:br/>
      </w:r>
    </w:p>
    <w:p>
      <w:pPr>
        <w:pStyle w:val="BodyText"/>
      </w:pPr>
      <w:r>
        <w:rPr>
          <w:rStyle w:val="PlaceholderRed"/>
          <w:b/>
          <w:bCs/>
        </w:rPr>
        <w:t xml:space="preserve">SUPLENTE — TITULAÇÃO E INSTITUIÇÃO</w:t>
      </w:r>
    </w:p>
    <w:p>
      <w:pPr>
        <w:pStyle w:val="BodyText"/>
      </w:pPr>
      <w:r>
        <w:br/>
      </w:r>
    </w:p>
    <w:p>
      <w:pPr>
        <w:pStyle w:val="BodyText"/>
      </w:pPr>
      <w:r>
        <w:t xml:space="preserve">Conceito:</w:t>
      </w:r>
      <w:r>
        <w:t xml:space="preserve"> </w:t>
      </w:r>
      <w:r>
        <w:rPr>
          <w:rStyle w:val="PlaceholderRed"/>
          <w:b/>
          <w:bCs/>
        </w:rPr>
        <w:t xml:space="preserve">A PREENCHER NO DIA DA DEFESA</w:t>
      </w:r>
    </w:p>
    <w:p>
      <w:r>
        <w:br w:type="page"/>
      </w:r>
    </w:p>
    <w:bookmarkEnd w:id="20"/>
    <w:bookmarkStart w:id="21" w:name="dedicatória"/>
    <w:p>
      <w:pPr>
        <w:pStyle w:val="Heading1"/>
      </w:pPr>
      <w:r>
        <w:t xml:space="preserve">DEDICATÓRIA</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que acreditam — mesmo quando a evidência ainda é pouca — que a ciência existe para mudar o mundo, e não apenas para descrevê-lo.</w:t>
      </w:r>
    </w:p>
    <w:p>
      <w:pPr>
        <w:pStyle w:val="Dedicatoria"/>
      </w:pPr>
      <w:r>
        <w:rPr>
          <w:i/>
          <w:iCs/>
        </w:rPr>
        <w:t xml:space="preserve">Uma tese não é um monumento. É um ciclo: nasce novo, amadurece e um dia morre, dando lugar a algo mais evoluído.</w:t>
      </w:r>
    </w:p>
    <w:p>
      <w:pPr>
        <w:pStyle w:val="Dedicatoria"/>
      </w:pPr>
      <w:r>
        <w:rPr>
          <w:i/>
          <w:iCs/>
        </w:rPr>
        <w:t xml:space="preserve">Aos pesquisadores anônimos, conhecidos ou não, cujos nomes nem sempre guardei, mas cujo trabalho silencioso sustenta cada linha do que escrevi. A eles, minha gratidão; a eles, esta tese também pertence.</w:t>
      </w:r>
    </w:p>
    <w:p>
      <w:pPr>
        <w:pStyle w:val="Dedicatoria"/>
      </w:pPr>
      <w:r>
        <w:rPr>
          <w:i/>
          <w:iCs/>
        </w:rPr>
        <w:t xml:space="preserve">Mas, mais do que a qualquer outra coisa, dedico este trabalho aos que vierem depois — aos alunos, aos clínicos, aos pesquisadores que um dia abrirem estas páginas procurando não uma resposta, mas um ponto de apoio para erguer um novo ciclo.</w:t>
      </w:r>
    </w:p>
    <w:p>
      <w:pPr>
        <w:pStyle w:val="Dedicatoria"/>
      </w:pPr>
      <w:r>
        <w:rPr>
          <w:i/>
          <w:iCs/>
        </w:rPr>
        <w:t xml:space="preserve">Melhorem esta tese; rasguem-na, se for preciso. Enxerguem mais longe do que eu consegui. Corrijam o que estiver errado, superem o que estiver incompleto e, se necessário, esqueçam o que não serviu — desde que aquilo que levarem adiante sirva para alguém fazer o mesmo. A cada volta, chegamos mais perto do perfeito, sem nunca alcançá-lo.</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inspirar e despertar em outros a paixão que um dia despertaram em mim.</w:t>
      </w:r>
    </w:p>
    <w:p>
      <w:r>
        <w:br w:type="page"/>
      </w:r>
    </w:p>
    <w:bookmarkEnd w:id="21"/>
    <w:bookmarkStart w:id="22" w:name="agradecimentos"/>
    <w:p>
      <w:pPr>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Aos</w:t>
      </w:r>
      <w:r>
        <w:t xml:space="preserve"> </w:t>
      </w:r>
      <w:r>
        <w:rPr>
          <w:b/>
          <w:bCs/>
        </w:rPr>
        <w:t xml:space="preserve">colegas de pesquisa e co-autores</w:t>
      </w:r>
      <w:r>
        <w:t xml:space="preserve">, pelas discussões metodológicas, pelas dúvidas compartilhadas e pelas horas de código depurado em conjunto.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p>
      <w:pPr>
        <w:pStyle w:val="BodyText"/>
      </w:pPr>
      <w:r>
        <w:br/>
      </w:r>
    </w:p>
    <w:p>
      <w:pPr>
        <w:pStyle w:val="BodyText"/>
      </w:pPr>
      <w:r>
        <w:rPr>
          <w:b/>
          <w:bCs/>
        </w:rPr>
        <w:t xml:space="preserve">Nota sobre assistência de inteligência artificial.</w:t>
      </w:r>
      <w:r>
        <w:t xml:space="preserve"> </w:t>
      </w:r>
      <w:r>
        <w:t xml:space="preserve">A elaboração desta tese contou com o apoio do</w:t>
      </w:r>
      <w:r>
        <w:t xml:space="preserve"> </w:t>
      </w:r>
      <w:r>
        <w:rPr>
          <w:b/>
          <w:bCs/>
        </w:rPr>
        <w:t xml:space="preserve">Claude</w:t>
      </w:r>
      <w:r>
        <w:t xml:space="preserve"> </w:t>
      </w:r>
      <w:r>
        <w:t xml:space="preserve">(Anthropic), utilizado como assistente para tarefas específicas: revisão ortográfica e de estilo, verificação cruzada de referências bibliográficas com DOIs, pareamento entre código e texto, geração de figuras didáticas e apoio na formatação ABNT do documento. Todas as análises estatísticas, decisões metodológicas, interpretações dos resultados e conclusões científicas são de inteira responsabilidade do autor.</w:t>
      </w:r>
    </w:p>
    <w:p>
      <w:r>
        <w:br w:type="page"/>
      </w:r>
    </w:p>
    <w:bookmarkEnd w:id="22"/>
    <w:bookmarkStart w:id="23"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p>
      <w:r>
        <w:br w:type="page"/>
      </w:r>
    </w:p>
    <w:bookmarkEnd w:id="23"/>
    <w:bookmarkStart w:id="24" w:name="resumo"/>
    <w:p>
      <w:pPr>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 cross-plataforma.</w:t>
      </w:r>
    </w:p>
    <w:p>
      <w:r>
        <w:br w:type="page"/>
      </w:r>
    </w:p>
    <w:bookmarkEnd w:id="24"/>
    <w:bookmarkStart w:id="25" w:name="abstract"/>
    <w:p>
      <w:pPr>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 score 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p>
      <w:r>
        <w:br w:type="page"/>
      </w:r>
    </w:p>
    <w:bookmarkEnd w:id="25"/>
    <w:bookmarkStart w:id="26" w:name="lista-de-figuras"/>
    <w:p>
      <w:pPr>
        <w:pStyle w:val="Heading1"/>
      </w:pPr>
      <w:r>
        <w:t xml:space="preserve">LISTA DE FIGURAS</w:t>
      </w:r>
    </w:p>
    <w:p>
      <w:pPr>
        <w:tabs>
          <w:tab w:val="right" w:leader="dot" w:pos="8640"/>
        </w:tabs>
        <w:spacing w:after="0" w:line="360" w:lineRule="auto"/>
        <w:ind w:left="0" w:right="0"/>
      </w:pPr>
      <w:r>
        <w:t xml:space="preserve">Figura 1 – Subtipos moleculares intrínsecos do câncer de mama. Esquema didático sintetizando os cinco subtipos descritos por Perou e Sørlie — Luminal A, Luminal B, HER2-enriched, Basal-like e Normal-like — com seus marcadores característicos, prevalência aproximada e comportamento prognóstico típico.</w:t>
      </w:r>
      <w:r>
        <w:tab/>
        <w:t xml:space="preserve">18</w:t>
      </w:r>
    </w:p>
    <w:p>
      <w:pPr>
        <w:tabs>
          <w:tab w:val="right" w:leader="dot" w:pos="8640"/>
        </w:tabs>
        <w:spacing w:after="0" w:line="360" w:lineRule="auto"/>
        <w:ind w:left="0" w:right="0"/>
      </w:pPr>
      <w:r>
        <w:t xml:space="preserve">Figura 2 – Linha do tempo das principais assinaturas gênicas em câncer de mama. Panorama histórico das assinaturas com validação clínica (OncotypeDX, MammaPrint, PAM50/Prosigna, EndoPredict, Breast Cancer Index) e seus estudos pivô correspondentes, ilustrando a evolução do campo desde os perfis transcricionais seminais até os ensaios prospectivos que consolidaram a utilidade clínica.</w:t>
      </w:r>
      <w:r>
        <w:tab/>
        <w:t xml:space="preserve">19</w:t>
      </w:r>
    </w:p>
    <w:p>
      <w:pPr>
        <w:tabs>
          <w:tab w:val="right" w:leader="dot" w:pos="8640"/>
        </w:tabs>
        <w:spacing w:after="0" w:line="360" w:lineRule="auto"/>
        <w:ind w:left="0" w:right="0"/>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r>
        <w:tab/>
        <w:t xml:space="preserve">25</w:t>
      </w:r>
    </w:p>
    <w:p>
      <w:pPr>
        <w:tabs>
          <w:tab w:val="right" w:leader="dot" w:pos="8640"/>
        </w:tabs>
        <w:spacing w:after="0" w:line="360" w:lineRule="auto"/>
        <w:ind w:left="0" w:right="0"/>
      </w:pPr>
      <w:r>
        <w:t xml:space="preserve">Figura 4 – Fluxograma das coortes do estudo. Representação esquemática das nove coortes utilizadas, organizadas por bloco analítico (sobrevida versus pCR), papel (derivação versus validação), plataforma de medida (RNA-seq versus microarray) e tamanho amostral, evidenciando a heterogeneidade deliberada do desenho.</w:t>
      </w:r>
      <w:r>
        <w:tab/>
        <w:t xml:space="preserve">28</w:t>
      </w:r>
    </w:p>
    <w:p>
      <w:pPr>
        <w:tabs>
          <w:tab w:val="right" w:leader="dot" w:pos="8640"/>
        </w:tabs>
        <w:spacing w:after="0" w:line="360" w:lineRule="auto"/>
        <w:ind w:left="0" w:right="0"/>
      </w:pPr>
      <w:r>
        <w:t xml:space="preserve">Figura 5 – Esquema de derivação do CorePAM. Visão geral do procedimento: partindo dos 50 genes do PAM50 candidatos na coorte SCAN-B, a regressão de Cox elastic-net com validação cruzada out-of-fold e critério pré-especificado de não inferioridade (Delta-C-index ≤ 0,010) seleciona o submodelo de 24 genes — o CorePAM —, subsequentemente avaliado em quatro coortes externas de validação.</w:t>
      </w:r>
      <w:r>
        <w:tab/>
        <w:t xml:space="preserve">31</w:t>
      </w:r>
    </w:p>
    <w:p>
      <w:pPr>
        <w:tabs>
          <w:tab w:val="right" w:leader="dot" w:pos="8640"/>
        </w:tabs>
        <w:spacing w:after="0" w:line="360" w:lineRule="auto"/>
        <w:ind w:left="0" w:right="0"/>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r>
        <w:tab/>
        <w:t xml:space="preserve">37</w:t>
      </w:r>
    </w:p>
    <w:p>
      <w:pPr>
        <w:tabs>
          <w:tab w:val="right" w:leader="dot" w:pos="8640"/>
        </w:tabs>
        <w:spacing w:after="0" w:line="360" w:lineRule="auto"/>
        <w:ind w:left="0" w:right="0"/>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r>
        <w:tab/>
        <w:t xml:space="preserve">40</w:t>
      </w:r>
    </w:p>
    <w:p>
      <w:pPr>
        <w:tabs>
          <w:tab w:val="right" w:leader="dot" w:pos="8640"/>
        </w:tabs>
        <w:spacing w:after="0" w:line="360" w:lineRule="auto"/>
        <w:ind w:left="0" w:right="0"/>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r>
        <w:tab/>
        <w:t xml:space="preserve">42</w:t>
      </w:r>
    </w:p>
    <w:p>
      <w:pPr>
        <w:tabs>
          <w:tab w:val="right" w:leader="dot" w:pos="8640"/>
        </w:tabs>
        <w:spacing w:after="0" w:line="360" w:lineRule="auto"/>
        <w:ind w:left="0" w:right="0"/>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r>
        <w:tab/>
        <w:t xml:space="preserve">43</w:t>
      </w:r>
    </w:p>
    <w:p>
      <w:pPr>
        <w:tabs>
          <w:tab w:val="right" w:leader="dot" w:pos="8640"/>
        </w:tabs>
        <w:spacing w:after="0" w:line="360" w:lineRule="auto"/>
        <w:ind w:left="0" w:right="0"/>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r>
        <w:tab/>
        <w:t xml:space="preserve">45</w:t>
      </w:r>
    </w:p>
    <w:p>
      <w:pPr>
        <w:tabs>
          <w:tab w:val="right" w:leader="dot" w:pos="8640"/>
        </w:tabs>
        <w:spacing w:after="0" w:line="360" w:lineRule="auto"/>
        <w:ind w:left="0" w:right="0"/>
      </w:pPr>
      <w:r>
        <w:t xml:space="preserve">Figura 11 – Curva de Kaplan-Meier na coorte de treinamento SCAN-B (N = 3 069; sobrevida global). Dicotomização na mediana do escore CorePAM. HR = 3,56 (IC 95% 2,77-4,58; p &lt; 0,001).</w:t>
      </w:r>
      <w:r>
        <w:tab/>
        <w:t xml:space="preserve">46</w:t>
      </w:r>
    </w:p>
    <w:p>
      <w:pPr>
        <w:tabs>
          <w:tab w:val="right" w:leader="dot" w:pos="8640"/>
        </w:tabs>
        <w:spacing w:after="0" w:line="360" w:lineRule="auto"/>
        <w:ind w:left="0" w:right="0"/>
      </w:pPr>
      <w:r>
        <w:t xml:space="preserve">Figura 12 – Curva de Kaplan-Meier na coorte TCGA-BRCA (N = 1 072; RNA-seq; sobrevida global). Dicotomização na mediana do escore CorePAM.</w:t>
      </w:r>
      <w:r>
        <w:tab/>
        <w:t xml:space="preserve">47</w:t>
      </w:r>
    </w:p>
    <w:p>
      <w:pPr>
        <w:tabs>
          <w:tab w:val="right" w:leader="dot" w:pos="8640"/>
        </w:tabs>
        <w:spacing w:after="0" w:line="360" w:lineRule="auto"/>
        <w:ind w:left="0" w:right="0"/>
      </w:pPr>
      <w:r>
        <w:t xml:space="preserve">Figura 13 – Curva de Kaplan-Meier na coorte METABRIC (N = 1 978; microarray Illumina; sobrevida doença-específica). Separação ampla mantida ao longo de mais de 200 meses de seguimento.</w:t>
      </w:r>
      <w:r>
        <w:tab/>
        <w:t xml:space="preserve">48</w:t>
      </w:r>
    </w:p>
    <w:p>
      <w:pPr>
        <w:tabs>
          <w:tab w:val="right" w:leader="dot" w:pos="8640"/>
        </w:tabs>
        <w:spacing w:after="0" w:line="360" w:lineRule="auto"/>
        <w:ind w:left="0" w:right="0"/>
      </w:pPr>
      <w:r>
        <w:t xml:space="preserve">Figura 14 – Curva de Kaplan-Meier na coorte GSE20685 (N = 327; microarray Affymetrix; sobrevida global). População asiática (Taiwan), testando generalizabilidade populacional e transportabilidade para plataforma Affymetrix.</w:t>
      </w:r>
      <w:r>
        <w:tab/>
        <w:t xml:space="preserve">49</w:t>
      </w:r>
    </w:p>
    <w:p>
      <w:pPr>
        <w:tabs>
          <w:tab w:val="right" w:leader="dot" w:pos="8640"/>
        </w:tabs>
        <w:spacing w:after="0" w:line="360" w:lineRule="auto"/>
        <w:ind w:left="0" w:right="0"/>
      </w:pPr>
      <w:r>
        <w:t xml:space="preserve">Figura 15 – Forest plot da meta-análise de sobrevida (HR por 1-DP, K = 4 coortes de validação). Modelo de efeitos aleatórios (REML). Diamante: estimativa agrupada (HR = 1,37; IC 95% 1,24-1,52; p = 1,6 x 10^-9). I-quadrado = 38,2%.</w:t>
      </w:r>
      <w:r>
        <w:tab/>
        <w:t xml:space="preserve">50</w:t>
      </w:r>
    </w:p>
    <w:p>
      <w:pPr>
        <w:tabs>
          <w:tab w:val="right" w:leader="dot" w:pos="8640"/>
        </w:tabs>
        <w:spacing w:after="0" w:line="360" w:lineRule="auto"/>
        <w:ind w:left="0" w:right="0"/>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r>
        <w:tab/>
        <w:t xml:space="preserve">52</w:t>
      </w:r>
    </w:p>
    <w:p>
      <w:pPr>
        <w:tabs>
          <w:tab w:val="right" w:leader="dot" w:pos="8640"/>
        </w:tabs>
        <w:spacing w:after="0" w:line="360" w:lineRule="auto"/>
        <w:ind w:left="0" w:right="0"/>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r>
        <w:tab/>
        <w:t xml:space="preserve">53</w:t>
      </w:r>
    </w:p>
    <w:p>
      <w:pPr>
        <w:tabs>
          <w:tab w:val="right" w:leader="dot" w:pos="8640"/>
        </w:tabs>
        <w:spacing w:after="0" w:line="360" w:lineRule="auto"/>
        <w:ind w:left="0" w:right="0"/>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r>
        <w:tab/>
        <w:t xml:space="preserve">55</w:t>
      </w:r>
    </w:p>
    <w:p>
      <w:pPr>
        <w:tabs>
          <w:tab w:val="right" w:leader="dot" w:pos="8640"/>
        </w:tabs>
        <w:spacing w:after="0" w:line="360" w:lineRule="auto"/>
        <w:ind w:left="0" w:right="0"/>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r>
        <w:tab/>
        <w:t xml:space="preserve">58</w:t>
      </w:r>
    </w:p>
    <w:p>
      <w:pPr>
        <w:tabs>
          <w:tab w:val="right" w:leader="dot" w:pos="8640"/>
        </w:tabs>
        <w:spacing w:after="0" w:line="360" w:lineRule="auto"/>
        <w:ind w:left="0" w:right="0"/>
      </w:pPr>
      <w:r>
        <w:t xml:space="preserve">Figura 20 – PCA forense da matriz de expressão METABRIC. Componentes principais coloridos por status de RE. PC1 captura a principal dicotomia biológica (ER+/ER-), sem evidência de efeitos de batch dominantes, confirmando integridade dos dados.</w:t>
      </w:r>
      <w:r>
        <w:tab/>
        <w:t xml:space="preserve">59</w:t>
      </w:r>
    </w:p>
    <w:p>
      <w:pPr>
        <w:tabs>
          <w:tab w:val="right" w:leader="dot" w:pos="8640"/>
        </w:tabs>
        <w:spacing w:after="0" w:line="360" w:lineRule="auto"/>
        <w:ind w:left="0" w:right="0"/>
      </w:pPr>
      <w:r>
        <w:t xml:space="preserve">Figura 21 – Forest plot de subgrupos por status de receptor de estrogeno (ER-positivo e ER-negativo). No METABRIC (análise com maior poder), o sinal prognóstico está fortemente concentrado em RE+ (HR = 1,59) com ausência de sinal em RE- (HR = 0,97).</w:t>
      </w:r>
      <w:r>
        <w:tab/>
        <w:t xml:space="preserve">61</w:t>
      </w:r>
    </w:p>
    <w:p>
      <w:pPr>
        <w:tabs>
          <w:tab w:val="right" w:leader="dot" w:pos="8640"/>
        </w:tabs>
        <w:spacing w:after="0" w:line="360" w:lineRule="auto"/>
        <w:ind w:left="0" w:right="0"/>
      </w:pPr>
      <w:r>
        <w:t xml:space="preserve">Figura 22 – Forest plot de pCR (OR por 1-DP, K = 4 coortes primárias + I-SPY2 exploratória). Modelo de efeitos aleatórios. OR agrupado = 1,69 (IC 95% 1,39-2,05; p = 1,9 x 10^-7). I-quadrado = 0%, indicando consistência notável entre coortes de diferentes plataformas.</w:t>
      </w:r>
      <w:r>
        <w:tab/>
        <w:t xml:space="preserve">63</w:t>
      </w:r>
    </w:p>
    <w:p>
      <w:pPr>
        <w:tabs>
          <w:tab w:val="right" w:leader="dot" w:pos="8640"/>
        </w:tabs>
        <w:spacing w:after="0" w:line="360" w:lineRule="auto"/>
        <w:ind w:left="0" w:right="0"/>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r>
        <w:tab/>
        <w:t xml:space="preserve">64</w:t>
      </w:r>
    </w:p>
    <w:p>
      <w:pPr>
        <w:tabs>
          <w:tab w:val="right" w:leader="dot" w:pos="8640"/>
        </w:tabs>
        <w:spacing w:after="0" w:line="360" w:lineRule="auto"/>
        <w:ind w:left="0" w:right="0"/>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r>
        <w:tab/>
        <w:t xml:space="preserve">65</w:t>
      </w:r>
    </w:p>
    <w:p>
      <w:pPr>
        <w:tabs>
          <w:tab w:val="right" w:leader="dot" w:pos="8640"/>
        </w:tabs>
        <w:spacing w:after="0" w:line="360" w:lineRule="auto"/>
        <w:ind w:left="0" w:right="0"/>
      </w:pPr>
      <w:r>
        <w:t xml:space="preserve">Figura 25 – Taxa de pCR por quartil do escore CorePAM em cada coorte neoadjuvante. Gradiente dose-resposta consistente: quartis mais altos associados a maiores taxas de pCR.</w:t>
      </w:r>
      <w:r>
        <w:tab/>
        <w:t xml:space="preserve">66</w:t>
      </w:r>
    </w:p>
    <w:p>
      <w:pPr>
        <w:tabs>
          <w:tab w:val="right" w:leader="dot" w:pos="8640"/>
        </w:tabs>
        <w:spacing w:after="0" w:line="360" w:lineRule="auto"/>
        <w:ind w:left="0" w:right="0"/>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r>
        <w:tab/>
        <w:t xml:space="preserve">68</w:t>
      </w:r>
    </w:p>
    <w:p>
      <w:pPr>
        <w:tabs>
          <w:tab w:val="right" w:leader="dot" w:pos="8640"/>
        </w:tabs>
        <w:spacing w:after="0" w:line="360" w:lineRule="auto"/>
        <w:ind w:left="0" w:right="0"/>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r>
        <w:tab/>
        <w:t xml:space="preserve">70</w:t>
      </w:r>
    </w:p>
    <w:p>
      <w:r>
        <w:br w:type="page"/>
      </w:r>
    </w:p>
    <w:bookmarkEnd w:id="26"/>
    <w:bookmarkStart w:id="27" w:name="lista-de-tabelas"/>
    <w:p>
      <w:pPr>
        <w:pStyle w:val="Heading1"/>
      </w:pPr>
      <w:r>
        <w:t xml:space="preserve">LISTA DE TABELAS</w:t>
      </w:r>
    </w:p>
    <w:p>
      <w:pPr>
        <w:tabs>
          <w:tab w:val="right" w:leader="dot" w:pos="8640"/>
        </w:tabs>
        <w:spacing w:after="0" w:line="360" w:lineRule="auto"/>
        <w:ind w:left="0" w:right="0"/>
      </w:pPr>
      <w:r>
        <w:t xml:space="preserve">Tabela 1 – Características das coortes de sobrevida</w:t>
      </w:r>
      <w:r>
        <w:tab/>
        <w:t xml:space="preserve">26</w:t>
      </w:r>
    </w:p>
    <w:p>
      <w:pPr>
        <w:tabs>
          <w:tab w:val="right" w:leader="dot" w:pos="8640"/>
        </w:tabs>
        <w:spacing w:after="0" w:line="360" w:lineRule="auto"/>
        <w:ind w:left="0" w:right="0"/>
      </w:pPr>
      <w:r>
        <w:t xml:space="preserve">Tabela 2 – Características das coortes neoadjuvantes (pCR)</w:t>
      </w:r>
      <w:r>
        <w:tab/>
        <w:t xml:space="preserve">27</w:t>
      </w:r>
    </w:p>
    <w:p>
      <w:pPr>
        <w:tabs>
          <w:tab w:val="right" w:leader="dot" w:pos="8640"/>
        </w:tabs>
        <w:spacing w:after="0" w:line="360" w:lineRule="auto"/>
        <w:ind w:left="0" w:right="0"/>
      </w:pPr>
      <w:r>
        <w:t xml:space="preserve">Tabela 3 – Parâmetros analíticos congelados antes da análise</w:t>
      </w:r>
      <w:r>
        <w:tab/>
        <w:t xml:space="preserve">28</w:t>
      </w:r>
    </w:p>
    <w:p>
      <w:pPr>
        <w:tabs>
          <w:tab w:val="right" w:leader="dot" w:pos="8640"/>
        </w:tabs>
        <w:spacing w:after="0" w:line="360" w:lineRule="auto"/>
        <w:ind w:left="0" w:right="0"/>
      </w:pPr>
      <w:r>
        <w:t xml:space="preserve">Tabela 4 – Cobertura de genes CorePAM por coorte de validação</w:t>
      </w:r>
      <w:r>
        <w:tab/>
        <w:t xml:space="preserve">30</w:t>
      </w:r>
    </w:p>
    <w:p>
      <w:pPr>
        <w:tabs>
          <w:tab w:val="right" w:leader="dot" w:pos="8640"/>
        </w:tabs>
        <w:spacing w:after="0" w:line="360" w:lineRule="auto"/>
        <w:ind w:left="0" w:right="0"/>
      </w:pPr>
      <w:r>
        <w:t xml:space="preserve">Tabela 5 – Lista completa dos 24 genes CorePAM com pesos elastic-net</w:t>
      </w:r>
      <w:r>
        <w:tab/>
        <w:t xml:space="preserve">39</w:t>
      </w:r>
    </w:p>
    <w:p>
      <w:pPr>
        <w:tabs>
          <w:tab w:val="right" w:leader="dot" w:pos="8640"/>
        </w:tabs>
        <w:spacing w:after="0" w:line="360" w:lineRule="auto"/>
        <w:ind w:left="0" w:right="0"/>
      </w:pPr>
      <w:r>
        <w:t xml:space="preserve">Tabela 6 – Desempenho prognóstico do CorePAM por coorte. Linha SCAN-B é a coorte de treinamento. C-index OOF = 0,670. GSE1456: covariáveis clínicas indisponíveis.</w:t>
      </w:r>
      <w:r>
        <w:tab/>
        <w:t xml:space="preserve">44</w:t>
      </w:r>
    </w:p>
    <w:p>
      <w:pPr>
        <w:tabs>
          <w:tab w:val="right" w:leader="dot" w:pos="8640"/>
        </w:tabs>
        <w:spacing w:after="0" w:line="360" w:lineRule="auto"/>
        <w:ind w:left="0" w:right="0"/>
      </w:pPr>
      <w:r>
        <w:t xml:space="preserve">Tabela 7 – Meta-análise de efeitos aleatórios — sobrevida (K = 4)</w:t>
      </w:r>
      <w:r>
        <w:tab/>
        <w:t xml:space="preserve">50</w:t>
      </w:r>
    </w:p>
    <w:p>
      <w:pPr>
        <w:tabs>
          <w:tab w:val="right" w:leader="dot" w:pos="8640"/>
        </w:tabs>
        <w:spacing w:after="0" w:line="360" w:lineRule="auto"/>
        <w:ind w:left="0" w:right="0"/>
      </w:pPr>
      <w:r>
        <w:t xml:space="preserve">Tabela 8 – C-index incremental do CorePAM sobre o modelo CORE-A</w:t>
      </w:r>
      <w:r>
        <w:tab/>
        <w:t xml:space="preserve">51</w:t>
      </w:r>
    </w:p>
    <w:p>
      <w:pPr>
        <w:tabs>
          <w:tab w:val="right" w:leader="dot" w:pos="8640"/>
        </w:tabs>
        <w:spacing w:after="0" w:line="360" w:lineRule="auto"/>
        <w:ind w:left="0" w:right="0"/>
      </w:pPr>
      <w:r>
        <w:t xml:space="preserve">Tabela 9 – Modelo clínico expandido com estadiamento anatômico</w:t>
      </w:r>
      <w:r>
        <w:tab/>
        <w:t xml:space="preserve">54</w:t>
      </w:r>
    </w:p>
    <w:p>
      <w:pPr>
        <w:tabs>
          <w:tab w:val="right" w:leader="dot" w:pos="8640"/>
        </w:tabs>
        <w:spacing w:after="0" w:line="360" w:lineRule="auto"/>
        <w:ind w:left="0" w:right="0"/>
      </w:pPr>
      <w:r>
        <w:t xml:space="preserve">Tabela 10 – Modelo clínico completo (6 variáveis) com e sem CorePAM</w:t>
      </w:r>
      <w:r>
        <w:tab/>
        <w:t xml:space="preserve">54</w:t>
      </w:r>
    </w:p>
    <w:p>
      <w:pPr>
        <w:tabs>
          <w:tab w:val="right" w:leader="dot" w:pos="8640"/>
        </w:tabs>
        <w:spacing w:after="0" w:line="360" w:lineRule="auto"/>
        <w:ind w:left="0" w:right="0"/>
      </w:pPr>
      <w:r>
        <w:t xml:space="preserve">Tabela 11 – Análise de sensibilidade do z-score congelado</w:t>
      </w:r>
      <w:r>
        <w:tab/>
        <w:t xml:space="preserve">54</w:t>
      </w:r>
    </w:p>
    <w:p>
      <w:pPr>
        <w:tabs>
          <w:tab w:val="right" w:leader="dot" w:pos="8640"/>
        </w:tabs>
        <w:spacing w:after="0" w:line="360" w:lineRule="auto"/>
        <w:ind w:left="0" w:right="0"/>
      </w:pPr>
      <w:r>
        <w:t xml:space="preserve">Tabela 12 – Estatística C de Uno e AUC tempo-dependente</w:t>
      </w:r>
      <w:r>
        <w:tab/>
        <w:t xml:space="preserve">57</w:t>
      </w:r>
    </w:p>
    <w:p>
      <w:pPr>
        <w:tabs>
          <w:tab w:val="right" w:leader="dot" w:pos="8640"/>
        </w:tabs>
        <w:spacing w:after="0" w:line="360" w:lineRule="auto"/>
        <w:ind w:left="0" w:right="0"/>
      </w:pPr>
      <w:r>
        <w:t xml:space="preserve">Tabela 13 – Calibração formal por coorte</w:t>
      </w:r>
      <w:r>
        <w:tab/>
        <w:t xml:space="preserve">57</w:t>
      </w:r>
    </w:p>
    <w:p>
      <w:pPr>
        <w:tabs>
          <w:tab w:val="right" w:leader="dot" w:pos="8640"/>
        </w:tabs>
        <w:spacing w:after="0" w:line="360" w:lineRule="auto"/>
        <w:ind w:left="0" w:right="0"/>
      </w:pPr>
      <w:r>
        <w:t xml:space="preserve">Tabela 14 – Análise de subgrupo por status de RE</w:t>
      </w:r>
      <w:r>
        <w:tab/>
        <w:t xml:space="preserve">60</w:t>
      </w:r>
    </w:p>
    <w:p>
      <w:pPr>
        <w:tabs>
          <w:tab w:val="right" w:leader="dot" w:pos="8640"/>
        </w:tabs>
        <w:spacing w:after="0" w:line="360" w:lineRule="auto"/>
        <w:ind w:left="0" w:right="0"/>
      </w:pPr>
      <w:r>
        <w:t xml:space="preserve">Tabela 15 – Predição de pCR por coorte neoadjuvante. I-quadrado = 0%.</w:t>
      </w:r>
      <w:r>
        <w:tab/>
        <w:t xml:space="preserve">62</w:t>
      </w:r>
    </w:p>
    <w:p>
      <w:pPr>
        <w:tabs>
          <w:tab w:val="right" w:leader="dot" w:pos="8640"/>
        </w:tabs>
        <w:spacing w:after="0" w:line="360" w:lineRule="auto"/>
        <w:ind w:left="0" w:right="0"/>
      </w:pPr>
      <w:r>
        <w:t xml:space="preserve">Tabela 16 – Comparação head-to-head: CorePAM (24 genes) vs PAM50-full elastic-net (49 genes)</w:t>
      </w:r>
      <w:r>
        <w:tab/>
        <w:t xml:space="preserve">67</w:t>
      </w:r>
    </w:p>
    <w:p>
      <w:pPr>
        <w:tabs>
          <w:tab w:val="right" w:leader="dot" w:pos="8640"/>
        </w:tabs>
        <w:spacing w:after="0" w:line="360" w:lineRule="auto"/>
        <w:ind w:left="0" w:right="0"/>
      </w:pPr>
      <w:r>
        <w:t xml:space="preserve">Tabela 17 – Comparação com ROR-S e OncotypeDX-RS (implementações genefu)</w:t>
      </w:r>
      <w:r>
        <w:tab/>
        <w:t xml:space="preserve">69</w:t>
      </w:r>
    </w:p>
    <w:p>
      <w:pPr>
        <w:tabs>
          <w:tab w:val="right" w:leader="dot" w:pos="8640"/>
        </w:tabs>
        <w:spacing w:after="0" w:line="360" w:lineRule="auto"/>
        <w:ind w:left="0" w:right="0"/>
      </w:pPr>
      <w:r>
        <w:t xml:space="preserve">Tabela 18 – Organização do pipeline computacional</w:t>
      </w:r>
      <w:r>
        <w:tab/>
        <w:t xml:space="preserve">92</w:t>
      </w:r>
    </w:p>
    <w:p>
      <w:r>
        <w:br w:type="page"/>
      </w:r>
    </w:p>
    <w:bookmarkEnd w:id="27"/>
    <w:bookmarkStart w:id="28" w:name="lista-de-abreviaturas-e-siglas"/>
    <w:p>
      <w:pPr>
        <w:pStyle w:val="Heading1"/>
      </w:pPr>
      <w:r>
        <w:t xml:space="preserve">LISTA DE ABREVIATURAS E SIGLAS</w:t>
      </w:r>
    </w:p>
    <w:p>
      <w:pPr>
        <w:pStyle w:val="AbrevList"/>
      </w:pPr>
      <w:r>
        <w:rPr>
          <w:b/>
          <w:bCs/>
        </w:rPr>
        <w:t xml:space="preserve">AUC</w:t>
      </w:r>
      <w:r>
        <w:t xml:space="preserve"> </w:t>
      </w:r>
      <w:r>
        <w:t xml:space="preserve">— área sob a curva ROC ·</w:t>
      </w:r>
      <w:r>
        <w:t xml:space="preserve"> </w:t>
      </w:r>
      <w:r>
        <w:rPr>
          <w:b/>
          <w:bCs/>
        </w:rPr>
        <w:t xml:space="preserve">DCA</w:t>
      </w:r>
      <w:r>
        <w:t xml:space="preserve"> </w:t>
      </w:r>
      <w:r>
        <w:t xml:space="preserve">— análise de decisão clínica ·</w:t>
      </w:r>
      <w:r>
        <w:t xml:space="preserve"> </w:t>
      </w:r>
      <w:r>
        <w:rPr>
          <w:b/>
          <w:bCs/>
        </w:rPr>
        <w:t xml:space="preserve">DSS</w:t>
      </w:r>
      <w:r>
        <w:t xml:space="preserve"> </w:t>
      </w:r>
      <w:r>
        <w:t xml:space="preserve">— sobrevida doença-específica ·</w:t>
      </w:r>
      <w:r>
        <w:t xml:space="preserve"> </w:t>
      </w:r>
      <w:r>
        <w:rPr>
          <w:b/>
          <w:bCs/>
        </w:rPr>
        <w:t xml:space="preserve">ER/RE</w:t>
      </w:r>
      <w:r>
        <w:t xml:space="preserve"> </w:t>
      </w:r>
      <w:r>
        <w:t xml:space="preserve">— receptor de estrogênio ·</w:t>
      </w:r>
      <w:r>
        <w:t xml:space="preserve"> </w:t>
      </w:r>
      <w:r>
        <w:rPr>
          <w:b/>
          <w:bCs/>
        </w:rPr>
        <w:t xml:space="preserve">FFPE</w:t>
      </w:r>
      <w:r>
        <w:t xml:space="preserve"> </w:t>
      </w:r>
      <w:r>
        <w:t xml:space="preserve">— tecido fixado em formalina e embebido em parafina ·</w:t>
      </w:r>
      <w:r>
        <w:t xml:space="preserve"> </w:t>
      </w:r>
      <w:r>
        <w:rPr>
          <w:b/>
          <w:bCs/>
        </w:rPr>
        <w:t xml:space="preserve">GEO</w:t>
      </w:r>
      <w:r>
        <w:t xml:space="preserve"> </w:t>
      </w:r>
      <w:r>
        <w:t xml:space="preserve">—</w:t>
      </w:r>
      <w:r>
        <w:t xml:space="preserve"> </w:t>
      </w:r>
      <w:r>
        <w:rPr>
          <w:i/>
          <w:iCs/>
        </w:rPr>
        <w:t xml:space="preserve">Gene Expression Omnibus</w:t>
      </w:r>
      <w:r>
        <w:t xml:space="preserve"> </w:t>
      </w:r>
      <w:r>
        <w:t xml:space="preserve">·</w:t>
      </w:r>
      <w:r>
        <w:t xml:space="preserve"> </w:t>
      </w:r>
      <w:r>
        <w:rPr>
          <w:b/>
          <w:bCs/>
        </w:rPr>
        <w:t xml:space="preserve">HER2</w:t>
      </w:r>
      <w:r>
        <w:t xml:space="preserve"> </w:t>
      </w:r>
      <w:r>
        <w:t xml:space="preserve">— receptor 2 do fator de crescimento epidérmico humano ·</w:t>
      </w:r>
      <w:r>
        <w:t xml:space="preserve"> </w:t>
      </w:r>
      <w:r>
        <w:rPr>
          <w:b/>
          <w:bCs/>
        </w:rPr>
        <w:t xml:space="preserve">HR</w:t>
      </w:r>
      <w:r>
        <w:t xml:space="preserve"> </w:t>
      </w:r>
      <w:r>
        <w:t xml:space="preserve">—</w:t>
      </w:r>
      <w:r>
        <w:t xml:space="preserve"> </w:t>
      </w:r>
      <w:r>
        <w:rPr>
          <w:i/>
          <w:iCs/>
        </w:rPr>
        <w:t xml:space="preserve">hazard ratio</w:t>
      </w:r>
      <w:r>
        <w:t xml:space="preserve"> </w:t>
      </w:r>
      <w:r>
        <w:t xml:space="preserve">·</w:t>
      </w:r>
      <w:r>
        <w:t xml:space="preserve"> </w:t>
      </w:r>
      <w:r>
        <w:rPr>
          <w:b/>
          <w:bCs/>
        </w:rPr>
        <w:t xml:space="preserve">IC 95%</w:t>
      </w:r>
      <w:r>
        <w:t xml:space="preserve"> </w:t>
      </w:r>
      <w:r>
        <w:t xml:space="preserve">— intervalo de confiança de 95% ·</w:t>
      </w:r>
      <w:r>
        <w:t xml:space="preserve"> </w:t>
      </w:r>
      <w:r>
        <w:rPr>
          <w:b/>
          <w:bCs/>
        </w:rPr>
        <w:t xml:space="preserve">INCA</w:t>
      </w:r>
      <w:r>
        <w:t xml:space="preserve"> </w:t>
      </w:r>
      <w:r>
        <w:t xml:space="preserve">— Instituto Nacional de Câncer ·</w:t>
      </w:r>
      <w:r>
        <w:t xml:space="preserve"> </w:t>
      </w:r>
      <w:r>
        <w:rPr>
          <w:b/>
          <w:bCs/>
        </w:rPr>
        <w:t xml:space="preserve">KM</w:t>
      </w:r>
      <w:r>
        <w:t xml:space="preserve"> </w:t>
      </w:r>
      <w:r>
        <w:t xml:space="preserve">— Kaplan–Meier ·</w:t>
      </w:r>
      <w:r>
        <w:t xml:space="preserve"> </w:t>
      </w:r>
      <w:r>
        <w:rPr>
          <w:b/>
          <w:bCs/>
        </w:rPr>
        <w:t xml:space="preserve">METABRIC</w:t>
      </w:r>
      <w:r>
        <w:t xml:space="preserve"> </w:t>
      </w:r>
      <w:r>
        <w:t xml:space="preserve">—</w:t>
      </w:r>
      <w:r>
        <w:t xml:space="preserve"> </w:t>
      </w:r>
      <w:r>
        <w:rPr>
          <w:i/>
          <w:iCs/>
        </w:rPr>
        <w:t xml:space="preserve">Molecular Taxonomy of Breast Cancer International Consortium</w:t>
      </w:r>
      <w:r>
        <w:t xml:space="preserve"> </w:t>
      </w:r>
      <w:r>
        <w:t xml:space="preserve">·</w:t>
      </w:r>
      <w:r>
        <w:t xml:space="preserve"> </w:t>
      </w:r>
      <w:r>
        <w:rPr>
          <w:b/>
          <w:bCs/>
        </w:rPr>
        <w:t xml:space="preserve">OR</w:t>
      </w:r>
      <w:r>
        <w:t xml:space="preserve"> </w:t>
      </w:r>
      <w:r>
        <w:t xml:space="preserve">—</w:t>
      </w:r>
      <w:r>
        <w:t xml:space="preserve"> </w:t>
      </w:r>
      <w:r>
        <w:rPr>
          <w:i/>
          <w:iCs/>
        </w:rPr>
        <w:t xml:space="preserve">odds ratio</w:t>
      </w:r>
      <w:r>
        <w:t xml:space="preserve"> </w:t>
      </w:r>
      <w:r>
        <w:t xml:space="preserve">·</w:t>
      </w:r>
      <w:r>
        <w:t xml:space="preserve"> </w:t>
      </w:r>
      <w:r>
        <w:rPr>
          <w:b/>
          <w:bCs/>
        </w:rPr>
        <w:t xml:space="preserve">OS</w:t>
      </w:r>
      <w:r>
        <w:t xml:space="preserve"> </w:t>
      </w:r>
      <w:r>
        <w:t xml:space="preserve">— sobrevida global ·</w:t>
      </w:r>
      <w:r>
        <w:t xml:space="preserve"> </w:t>
      </w:r>
      <w:r>
        <w:rPr>
          <w:b/>
          <w:bCs/>
        </w:rPr>
        <w:t xml:space="preserve">PAM50</w:t>
      </w:r>
      <w:r>
        <w:t xml:space="preserve"> </w:t>
      </w:r>
      <w:r>
        <w:t xml:space="preserve">—</w:t>
      </w:r>
      <w:r>
        <w:t xml:space="preserve"> </w:t>
      </w:r>
      <w:r>
        <w:rPr>
          <w:i/>
          <w:iCs/>
        </w:rPr>
        <w:t xml:space="preserve">Prediction Analysis of Microarray 50</w:t>
      </w:r>
      <w:r>
        <w:t xml:space="preserve"> </w:t>
      </w:r>
      <w:r>
        <w:t xml:space="preserve">·</w:t>
      </w:r>
      <w:r>
        <w:t xml:space="preserve"> </w:t>
      </w:r>
      <w:r>
        <w:rPr>
          <w:b/>
          <w:bCs/>
        </w:rPr>
        <w:t xml:space="preserve">pCR</w:t>
      </w:r>
      <w:r>
        <w:t xml:space="preserve"> </w:t>
      </w:r>
      <w:r>
        <w:t xml:space="preserve">— resposta patológica completa ·</w:t>
      </w:r>
      <w:r>
        <w:t xml:space="preserve"> </w:t>
      </w:r>
      <w:r>
        <w:rPr>
          <w:b/>
          <w:bCs/>
        </w:rPr>
        <w:t xml:space="preserve">RNA-seq</w:t>
      </w:r>
      <w:r>
        <w:t xml:space="preserve"> </w:t>
      </w:r>
      <w:r>
        <w:t xml:space="preserve">— sequenciamento de RNA ·</w:t>
      </w:r>
      <w:r>
        <w:t xml:space="preserve"> </w:t>
      </w:r>
      <w:r>
        <w:rPr>
          <w:b/>
          <w:bCs/>
        </w:rPr>
        <w:t xml:space="preserve">ROR</w:t>
      </w:r>
      <w:r>
        <w:t xml:space="preserve"> </w:t>
      </w:r>
      <w:r>
        <w:t xml:space="preserve">—</w:t>
      </w:r>
      <w:r>
        <w:t xml:space="preserve"> </w:t>
      </w:r>
      <w:r>
        <w:rPr>
          <w:i/>
          <w:iCs/>
        </w:rPr>
        <w:t xml:space="preserve">Risk of Recurrence score</w:t>
      </w:r>
      <w:r>
        <w:t xml:space="preserve"> </w:t>
      </w:r>
      <w:r>
        <w:t xml:space="preserve">·</w:t>
      </w:r>
      <w:r>
        <w:t xml:space="preserve"> </w:t>
      </w:r>
      <w:r>
        <w:rPr>
          <w:b/>
          <w:bCs/>
        </w:rPr>
        <w:t xml:space="preserve">SCAN-B</w:t>
      </w:r>
      <w:r>
        <w:t xml:space="preserve"> </w:t>
      </w:r>
      <w:r>
        <w:t xml:space="preserve">—</w:t>
      </w:r>
      <w:r>
        <w:t xml:space="preserve"> </w:t>
      </w:r>
      <w:r>
        <w:rPr>
          <w:i/>
          <w:iCs/>
        </w:rPr>
        <w:t xml:space="preserve">Sweden Cancerome Analysis Network — Breast</w:t>
      </w:r>
      <w:r>
        <w:t xml:space="preserve"> </w:t>
      </w:r>
      <w:r>
        <w:t xml:space="preserve">·</w:t>
      </w:r>
      <w:r>
        <w:t xml:space="preserve"> </w:t>
      </w:r>
      <w:r>
        <w:rPr>
          <w:b/>
          <w:bCs/>
        </w:rPr>
        <w:t xml:space="preserve">SUS</w:t>
      </w:r>
      <w:r>
        <w:t xml:space="preserve"> </w:t>
      </w:r>
      <w:r>
        <w:t xml:space="preserve">— Sistema Único de Saúde ·</w:t>
      </w:r>
      <w:r>
        <w:t xml:space="preserve"> </w:t>
      </w:r>
      <w:r>
        <w:rPr>
          <w:b/>
          <w:bCs/>
        </w:rPr>
        <w:t xml:space="preserve">TCGA</w:t>
      </w:r>
      <w:r>
        <w:t xml:space="preserve"> </w:t>
      </w:r>
      <w:r>
        <w:t xml:space="preserve">—</w:t>
      </w:r>
      <w:r>
        <w:t xml:space="preserve"> </w:t>
      </w:r>
      <w:r>
        <w:rPr>
          <w:i/>
          <w:iCs/>
        </w:rPr>
        <w:t xml:space="preserve">The Cancer Genome Atlas</w:t>
      </w:r>
      <w:r>
        <w:t xml:space="preserve"> </w:t>
      </w:r>
      <w:r>
        <w:t xml:space="preserve">·</w:t>
      </w:r>
      <w:r>
        <w:t xml:space="preserve"> </w:t>
      </w:r>
      <w:r>
        <w:rPr>
          <w:b/>
          <w:bCs/>
        </w:rPr>
        <w:t xml:space="preserve">TRIPOD</w:t>
      </w:r>
      <w:r>
        <w:t xml:space="preserve"> </w:t>
      </w:r>
      <w:r>
        <w:t xml:space="preserve">—</w:t>
      </w:r>
      <w:r>
        <w:t xml:space="preserve"> </w:t>
      </w:r>
      <w:r>
        <w:rPr>
          <w:i/>
          <w:iCs/>
        </w:rPr>
        <w:t xml:space="preserve">Transparent Reporting of Individual Prognosis or Diagnosis</w:t>
      </w:r>
      <w:r>
        <w:t xml:space="preserve">.</w:t>
      </w:r>
    </w:p>
    <w:p>
      <w:r>
        <w:br w:type="page"/>
      </w:r>
    </w:p>
    <w:bookmarkEnd w:id="28"/>
    <w:bookmarkStart w:id="29" w:name="sumário"/>
    <w:p>
      <w:pPr>
        <w:pStyle w:val="Heading1"/>
      </w:pPr>
      <w:r>
        <w:t xml:space="preserve">SUMÁRIO</w:t>
      </w:r>
    </w:p>
    <w:p>
      <w:pPr>
        <w:tabs>
          <w:tab w:val="right" w:leader="dot" w:pos="8640"/>
        </w:tabs>
        <w:spacing w:after="0" w:line="360" w:lineRule="auto"/>
        <w:ind w:left="0" w:right="0"/>
      </w:pPr>
      <w:r>
        <w:t xml:space="preserve">1. INTRODUÇÃO</w:t>
      </w:r>
      <w:r>
        <w:tab/>
        <w:t xml:space="preserve">16</w:t>
      </w:r>
    </w:p>
    <w:p>
      <w:pPr>
        <w:tabs>
          <w:tab w:val="right" w:leader="dot" w:pos="8640"/>
        </w:tabs>
        <w:spacing w:after="0" w:line="360" w:lineRule="auto"/>
        <w:ind w:left="360" w:right="0"/>
      </w:pPr>
      <w:r>
        <w:t xml:space="preserve">1.1 Epidemiologia e carga global da doença</w:t>
      </w:r>
      <w:r>
        <w:tab/>
        <w:t xml:space="preserve">16</w:t>
      </w:r>
    </w:p>
    <w:p>
      <w:pPr>
        <w:tabs>
          <w:tab w:val="right" w:leader="dot" w:pos="8640"/>
        </w:tabs>
        <w:spacing w:after="0" w:line="360" w:lineRule="auto"/>
        <w:ind w:left="360" w:right="0"/>
      </w:pPr>
      <w:r>
        <w:t xml:space="preserve">1.2 Heterogeneidade tumoral e justificativa da estratificação molecular</w:t>
      </w:r>
      <w:r>
        <w:tab/>
        <w:t xml:space="preserve">16</w:t>
      </w:r>
    </w:p>
    <w:p>
      <w:pPr>
        <w:tabs>
          <w:tab w:val="right" w:leader="dot" w:pos="8640"/>
        </w:tabs>
        <w:spacing w:after="0" w:line="360" w:lineRule="auto"/>
        <w:ind w:left="360" w:right="0"/>
      </w:pPr>
      <w:r>
        <w:t xml:space="preserve">1.3 Subtipos moleculares intrínsecos e o PAM50</w:t>
      </w:r>
      <w:r>
        <w:tab/>
        <w:t xml:space="preserve">17</w:t>
      </w:r>
    </w:p>
    <w:p>
      <w:pPr>
        <w:tabs>
          <w:tab w:val="right" w:leader="dot" w:pos="8640"/>
        </w:tabs>
        <w:spacing w:after="0" w:line="360" w:lineRule="auto"/>
        <w:ind w:left="360" w:right="0"/>
      </w:pPr>
      <w:r>
        <w:t xml:space="preserve">1.4 Assinaturas gênicas: panorama atual e evidência clínica</w:t>
      </w:r>
      <w:r>
        <w:tab/>
        <w:t xml:space="preserve">18</w:t>
      </w:r>
    </w:p>
    <w:p>
      <w:pPr>
        <w:tabs>
          <w:tab w:val="right" w:leader="dot" w:pos="8640"/>
        </w:tabs>
        <w:spacing w:after="0" w:line="360" w:lineRule="auto"/>
        <w:ind w:left="360" w:right="0"/>
      </w:pPr>
      <w:r>
        <w:t xml:space="preserve">1.5 Plataformas de expressão gênica e o desafio da transportabilidade</w:t>
      </w:r>
      <w:r>
        <w:tab/>
        <w:t xml:space="preserve">20</w:t>
      </w:r>
    </w:p>
    <w:p>
      <w:pPr>
        <w:tabs>
          <w:tab w:val="right" w:leader="dot" w:pos="8640"/>
        </w:tabs>
        <w:spacing w:after="0" w:line="360" w:lineRule="auto"/>
        <w:ind w:left="360" w:right="0"/>
      </w:pPr>
      <w:r>
        <w:t xml:space="preserve">1.6 Coortes públicas de câncer de mama</w:t>
      </w:r>
      <w:r>
        <w:tab/>
        <w:t xml:space="preserve">20</w:t>
      </w:r>
    </w:p>
    <w:p>
      <w:pPr>
        <w:tabs>
          <w:tab w:val="right" w:leader="dot" w:pos="8640"/>
        </w:tabs>
        <w:spacing w:after="0" w:line="360" w:lineRule="auto"/>
        <w:ind w:left="360" w:right="0"/>
      </w:pPr>
      <w:r>
        <w:t xml:space="preserve">1.7 A pergunta central</w:t>
      </w:r>
      <w:r>
        <w:tab/>
        <w:t xml:space="preserve">21</w:t>
      </w:r>
    </w:p>
    <w:p>
      <w:pPr>
        <w:tabs>
          <w:tab w:val="right" w:leader="dot" w:pos="8640"/>
        </w:tabs>
        <w:spacing w:after="0" w:line="360" w:lineRule="auto"/>
        <w:ind w:left="0" w:right="0"/>
      </w:pPr>
      <w:r>
        <w:t xml:space="preserve">2. OBJETIVOS</w:t>
      </w:r>
      <w:r>
        <w:tab/>
        <w:t xml:space="preserve">23</w:t>
      </w:r>
    </w:p>
    <w:p>
      <w:pPr>
        <w:tabs>
          <w:tab w:val="right" w:leader="dot" w:pos="8640"/>
        </w:tabs>
        <w:spacing w:after="0" w:line="360" w:lineRule="auto"/>
        <w:ind w:left="360" w:right="0"/>
      </w:pPr>
      <w:r>
        <w:t xml:space="preserve">2.1 Objetivo geral</w:t>
      </w:r>
      <w:r>
        <w:tab/>
        <w:t xml:space="preserve">23</w:t>
      </w:r>
    </w:p>
    <w:p>
      <w:pPr>
        <w:tabs>
          <w:tab w:val="right" w:leader="dot" w:pos="8640"/>
        </w:tabs>
        <w:spacing w:after="0" w:line="360" w:lineRule="auto"/>
        <w:ind w:left="360" w:right="0"/>
      </w:pPr>
      <w:r>
        <w:t xml:space="preserve">2.2 Objetivos específicos</w:t>
      </w:r>
      <w:r>
        <w:tab/>
        <w:t xml:space="preserve">23</w:t>
      </w:r>
    </w:p>
    <w:p>
      <w:pPr>
        <w:tabs>
          <w:tab w:val="right" w:leader="dot" w:pos="8640"/>
        </w:tabs>
        <w:spacing w:after="0" w:line="360" w:lineRule="auto"/>
        <w:ind w:left="0" w:right="0"/>
      </w:pPr>
      <w:r>
        <w:t xml:space="preserve">3. MÉTODO</w:t>
      </w:r>
      <w:r>
        <w:tab/>
        <w:t xml:space="preserve">24</w:t>
      </w:r>
    </w:p>
    <w:p>
      <w:pPr>
        <w:tabs>
          <w:tab w:val="right" w:leader="dot" w:pos="8640"/>
        </w:tabs>
        <w:spacing w:after="0" w:line="360" w:lineRule="auto"/>
        <w:ind w:left="360" w:right="0"/>
      </w:pPr>
      <w:r>
        <w:t xml:space="preserve">3.1 Delineamento do estudo e aspectos éticos</w:t>
      </w:r>
      <w:r>
        <w:tab/>
        <w:t xml:space="preserve">24</w:t>
      </w:r>
    </w:p>
    <w:p>
      <w:pPr>
        <w:tabs>
          <w:tab w:val="right" w:leader="dot" w:pos="8640"/>
        </w:tabs>
        <w:spacing w:after="0" w:line="360" w:lineRule="auto"/>
        <w:ind w:left="720" w:right="0"/>
      </w:pPr>
      <w:r>
        <w:t xml:space="preserve">3.1.1 Tipo de estudo</w:t>
      </w:r>
      <w:r>
        <w:tab/>
        <w:t xml:space="preserve">24</w:t>
      </w:r>
    </w:p>
    <w:p>
      <w:pPr>
        <w:tabs>
          <w:tab w:val="right" w:leader="dot" w:pos="8640"/>
        </w:tabs>
        <w:spacing w:after="0" w:line="360" w:lineRule="auto"/>
        <w:ind w:left="720" w:right="0"/>
      </w:pPr>
      <w:r>
        <w:t xml:space="preserve">3.1.2 Aspectos éticos</w:t>
      </w:r>
      <w:r>
        <w:tab/>
        <w:t xml:space="preserve">25</w:t>
      </w:r>
    </w:p>
    <w:p>
      <w:pPr>
        <w:tabs>
          <w:tab w:val="right" w:leader="dot" w:pos="8640"/>
        </w:tabs>
        <w:spacing w:after="0" w:line="360" w:lineRule="auto"/>
        <w:ind w:left="720" w:right="0"/>
      </w:pPr>
      <w:r>
        <w:t xml:space="preserve">3.1.3 Princípios de validação externa</w:t>
      </w:r>
      <w:r>
        <w:tab/>
        <w:t xml:space="preserve">25</w:t>
      </w:r>
    </w:p>
    <w:p>
      <w:pPr>
        <w:tabs>
          <w:tab w:val="right" w:leader="dot" w:pos="8640"/>
        </w:tabs>
        <w:spacing w:after="0" w:line="360" w:lineRule="auto"/>
        <w:ind w:left="360" w:right="0"/>
      </w:pPr>
      <w:r>
        <w:t xml:space="preserve">3.2 Coortes do estudo</w:t>
      </w:r>
      <w:r>
        <w:tab/>
        <w:t xml:space="preserve">26</w:t>
      </w:r>
    </w:p>
    <w:p>
      <w:pPr>
        <w:tabs>
          <w:tab w:val="right" w:leader="dot" w:pos="8640"/>
        </w:tabs>
        <w:spacing w:after="0" w:line="360" w:lineRule="auto"/>
        <w:ind w:left="360" w:right="0"/>
      </w:pPr>
      <w:r>
        <w:t xml:space="preserve">3.3 Congelamento analítico (analytical freeze)</w:t>
      </w:r>
      <w:r>
        <w:tab/>
        <w:t xml:space="preserve">28</w:t>
      </w:r>
    </w:p>
    <w:p>
      <w:pPr>
        <w:tabs>
          <w:tab w:val="right" w:leader="dot" w:pos="8640"/>
        </w:tabs>
        <w:spacing w:after="0" w:line="360" w:lineRule="auto"/>
        <w:ind w:left="720" w:right="0"/>
      </w:pPr>
      <w:r>
        <w:t xml:space="preserve">3.3.1 Margem de não inferioridade (Delta-C-index = 0,010)</w:t>
      </w:r>
      <w:r>
        <w:tab/>
        <w:t xml:space="preserve">28</w:t>
      </w:r>
    </w:p>
    <w:p>
      <w:pPr>
        <w:tabs>
          <w:tab w:val="right" w:leader="dot" w:pos="8640"/>
        </w:tabs>
        <w:spacing w:after="0" w:line="360" w:lineRule="auto"/>
        <w:ind w:left="720" w:right="0"/>
      </w:pPr>
      <w:r>
        <w:t xml:space="preserve">3.3.2 Atribuição determinística de folds (SHA-256)</w:t>
      </w:r>
      <w:r>
        <w:tab/>
        <w:t xml:space="preserve">29</w:t>
      </w:r>
    </w:p>
    <w:p>
      <w:pPr>
        <w:tabs>
          <w:tab w:val="right" w:leader="dot" w:pos="8640"/>
        </w:tabs>
        <w:spacing w:after="0" w:line="360" w:lineRule="auto"/>
        <w:ind w:left="720" w:right="0"/>
      </w:pPr>
      <w:r>
        <w:t xml:space="preserve">3.3.3 Estratificação por evento</w:t>
      </w:r>
      <w:r>
        <w:tab/>
        <w:t xml:space="preserve">29</w:t>
      </w:r>
    </w:p>
    <w:p>
      <w:pPr>
        <w:tabs>
          <w:tab w:val="right" w:leader="dot" w:pos="8640"/>
        </w:tabs>
        <w:spacing w:after="0" w:line="360" w:lineRule="auto"/>
        <w:ind w:left="360" w:right="0"/>
      </w:pPr>
      <w:r>
        <w:t xml:space="preserve">3.4 Pré-processamento de expressão gênica</w:t>
      </w:r>
      <w:r>
        <w:tab/>
        <w:t xml:space="preserve">29</w:t>
      </w:r>
    </w:p>
    <w:p>
      <w:pPr>
        <w:tabs>
          <w:tab w:val="right" w:leader="dot" w:pos="8640"/>
        </w:tabs>
        <w:spacing w:after="0" w:line="360" w:lineRule="auto"/>
        <w:ind w:left="720" w:right="0"/>
      </w:pPr>
      <w:r>
        <w:t xml:space="preserve">3.4.1 Coortes RNA-seq (SCAN-B, TCGA-BRCA)</w:t>
      </w:r>
      <w:r>
        <w:tab/>
        <w:t xml:space="preserve">30</w:t>
      </w:r>
    </w:p>
    <w:p>
      <w:pPr>
        <w:tabs>
          <w:tab w:val="right" w:leader="dot" w:pos="8640"/>
        </w:tabs>
        <w:spacing w:after="0" w:line="360" w:lineRule="auto"/>
        <w:ind w:left="720" w:right="0"/>
      </w:pPr>
      <w:r>
        <w:t xml:space="preserve">3.4.2 Coortes microarray (METABRIC, GSE20685, GSE1456, GSE25066, GSE20194, GSE32646, I-SPY1)</w:t>
      </w:r>
      <w:r>
        <w:tab/>
        <w:t xml:space="preserve">30</w:t>
      </w:r>
    </w:p>
    <w:p>
      <w:pPr>
        <w:tabs>
          <w:tab w:val="right" w:leader="dot" w:pos="8640"/>
        </w:tabs>
        <w:spacing w:after="0" w:line="360" w:lineRule="auto"/>
        <w:ind w:left="360" w:right="0"/>
      </w:pPr>
      <w:r>
        <w:t xml:space="preserve">3.5 Derivação do CorePAM</w:t>
      </w:r>
      <w:r>
        <w:tab/>
        <w:t xml:space="preserve">31</w:t>
      </w:r>
    </w:p>
    <w:p>
      <w:pPr>
        <w:tabs>
          <w:tab w:val="right" w:leader="dot" w:pos="8640"/>
        </w:tabs>
        <w:spacing w:after="0" w:line="360" w:lineRule="auto"/>
        <w:ind w:left="720" w:right="0"/>
      </w:pPr>
      <w:r>
        <w:t xml:space="preserve">3.5.1 Regressão de Cox elastic-net: justificativa e parâmetros</w:t>
      </w:r>
      <w:r>
        <w:tab/>
        <w:t xml:space="preserve">31</w:t>
      </w:r>
    </w:p>
    <w:p>
      <w:pPr>
        <w:tabs>
          <w:tab w:val="right" w:leader="dot" w:pos="8640"/>
        </w:tabs>
        <w:spacing w:after="0" w:line="360" w:lineRule="auto"/>
        <w:ind w:left="720" w:right="0"/>
      </w:pPr>
      <w:r>
        <w:t xml:space="preserve">3.5.2 Validação cruzada out-of-fold</w:t>
      </w:r>
      <w:r>
        <w:tab/>
        <w:t xml:space="preserve">32</w:t>
      </w:r>
    </w:p>
    <w:p>
      <w:pPr>
        <w:tabs>
          <w:tab w:val="right" w:leader="dot" w:pos="8640"/>
        </w:tabs>
        <w:spacing w:after="0" w:line="360" w:lineRule="auto"/>
        <w:ind w:left="720" w:right="0"/>
      </w:pPr>
      <w:r>
        <w:t xml:space="preserve">3.5.3 Critério de seleção: não inferioridade e fronteira de Pareto</w:t>
      </w:r>
      <w:r>
        <w:tab/>
        <w:t xml:space="preserve">32</w:t>
      </w:r>
    </w:p>
    <w:p>
      <w:pPr>
        <w:tabs>
          <w:tab w:val="right" w:leader="dot" w:pos="8640"/>
        </w:tabs>
        <w:spacing w:after="0" w:line="360" w:lineRule="auto"/>
        <w:ind w:left="720" w:right="0"/>
      </w:pPr>
      <w:r>
        <w:t xml:space="preserve">3.5.4 Análises de estabilidade da seleção</w:t>
      </w:r>
      <w:r>
        <w:tab/>
        <w:t xml:space="preserve">33</w:t>
      </w:r>
    </w:p>
    <w:p>
      <w:pPr>
        <w:tabs>
          <w:tab w:val="right" w:leader="dot" w:pos="8640"/>
        </w:tabs>
        <w:spacing w:after="0" w:line="360" w:lineRule="auto"/>
        <w:ind w:left="360" w:right="0"/>
      </w:pPr>
      <w:r>
        <w:t xml:space="preserve">3.6 Cálculo do escore</w:t>
      </w:r>
      <w:r>
        <w:tab/>
        <w:t xml:space="preserve">33</w:t>
      </w:r>
    </w:p>
    <w:p>
      <w:pPr>
        <w:tabs>
          <w:tab w:val="right" w:leader="dot" w:pos="8640"/>
        </w:tabs>
        <w:spacing w:after="0" w:line="360" w:lineRule="auto"/>
        <w:ind w:left="720" w:right="0"/>
      </w:pPr>
      <w:r>
        <w:t xml:space="preserve">3.6.1 Pontuação congelada (single-sample scoring)</w:t>
      </w:r>
      <w:r>
        <w:tab/>
        <w:t xml:space="preserve">34</w:t>
      </w:r>
    </w:p>
    <w:p>
      <w:pPr>
        <w:tabs>
          <w:tab w:val="right" w:leader="dot" w:pos="8640"/>
        </w:tabs>
        <w:spacing w:after="0" w:line="360" w:lineRule="auto"/>
        <w:ind w:left="360" w:right="0"/>
      </w:pPr>
      <w:r>
        <w:t xml:space="preserve">3.7 Análise de sobrevida</w:t>
      </w:r>
      <w:r>
        <w:tab/>
        <w:t xml:space="preserve">34</w:t>
      </w:r>
    </w:p>
    <w:p>
      <w:pPr>
        <w:tabs>
          <w:tab w:val="right" w:leader="dot" w:pos="8640"/>
        </w:tabs>
        <w:spacing w:after="0" w:line="360" w:lineRule="auto"/>
        <w:ind w:left="720" w:right="0"/>
      </w:pPr>
      <w:r>
        <w:t xml:space="preserve">3.7.1 Modelos de Cox</w:t>
      </w:r>
      <w:r>
        <w:tab/>
        <w:t xml:space="preserve">34</w:t>
      </w:r>
    </w:p>
    <w:p>
      <w:pPr>
        <w:tabs>
          <w:tab w:val="right" w:leader="dot" w:pos="8640"/>
        </w:tabs>
        <w:spacing w:after="0" w:line="360" w:lineRule="auto"/>
        <w:ind w:left="720" w:right="0"/>
      </w:pPr>
      <w:r>
        <w:t xml:space="preserve">3.7.2 Métricas de discriminação</w:t>
      </w:r>
      <w:r>
        <w:tab/>
        <w:t xml:space="preserve">34</w:t>
      </w:r>
    </w:p>
    <w:p>
      <w:pPr>
        <w:tabs>
          <w:tab w:val="right" w:leader="dot" w:pos="8640"/>
        </w:tabs>
        <w:spacing w:after="0" w:line="360" w:lineRule="auto"/>
        <w:ind w:left="720" w:right="0"/>
      </w:pPr>
      <w:r>
        <w:t xml:space="preserve">3.7.3 Curvas de Kaplan-Meier</w:t>
      </w:r>
      <w:r>
        <w:tab/>
        <w:t xml:space="preserve">34</w:t>
      </w:r>
    </w:p>
    <w:p>
      <w:pPr>
        <w:tabs>
          <w:tab w:val="right" w:leader="dot" w:pos="8640"/>
        </w:tabs>
        <w:spacing w:after="0" w:line="360" w:lineRule="auto"/>
        <w:ind w:left="720" w:right="0"/>
      </w:pPr>
      <w:r>
        <w:t xml:space="preserve">3.7.4 Valor incremental: Delta-C-index</w:t>
      </w:r>
      <w:r>
        <w:tab/>
        <w:t xml:space="preserve">35</w:t>
      </w:r>
    </w:p>
    <w:p>
      <w:pPr>
        <w:tabs>
          <w:tab w:val="right" w:leader="dot" w:pos="8640"/>
        </w:tabs>
        <w:spacing w:after="0" w:line="360" w:lineRule="auto"/>
        <w:ind w:left="720" w:right="0"/>
      </w:pPr>
      <w:r>
        <w:t xml:space="preserve">3.7.5 Calibração</w:t>
      </w:r>
      <w:r>
        <w:tab/>
        <w:t xml:space="preserve">35</w:t>
      </w:r>
    </w:p>
    <w:p>
      <w:pPr>
        <w:tabs>
          <w:tab w:val="right" w:leader="dot" w:pos="8640"/>
        </w:tabs>
        <w:spacing w:after="0" w:line="360" w:lineRule="auto"/>
        <w:ind w:left="720" w:right="0"/>
      </w:pPr>
      <w:r>
        <w:t xml:space="preserve">3.7.6 Análise de curva de decisão (DCA)</w:t>
      </w:r>
      <w:r>
        <w:tab/>
        <w:t xml:space="preserve">35</w:t>
      </w:r>
    </w:p>
    <w:p>
      <w:pPr>
        <w:tabs>
          <w:tab w:val="right" w:leader="dot" w:pos="8640"/>
        </w:tabs>
        <w:spacing w:after="0" w:line="360" w:lineRule="auto"/>
        <w:ind w:left="720" w:right="0"/>
      </w:pPr>
      <w:r>
        <w:t xml:space="preserve">3.7.7 Modelos expandidos com estadiamento</w:t>
      </w:r>
      <w:r>
        <w:tab/>
        <w:t xml:space="preserve">35</w:t>
      </w:r>
    </w:p>
    <w:p>
      <w:pPr>
        <w:tabs>
          <w:tab w:val="right" w:leader="dot" w:pos="8640"/>
        </w:tabs>
        <w:spacing w:after="0" w:line="360" w:lineRule="auto"/>
        <w:ind w:left="360" w:right="0"/>
      </w:pPr>
      <w:r>
        <w:t xml:space="preserve">3.8 Meta-análise</w:t>
      </w:r>
      <w:r>
        <w:tab/>
        <w:t xml:space="preserve">35</w:t>
      </w:r>
    </w:p>
    <w:p>
      <w:pPr>
        <w:tabs>
          <w:tab w:val="right" w:leader="dot" w:pos="8640"/>
        </w:tabs>
        <w:spacing w:after="0" w:line="360" w:lineRule="auto"/>
        <w:ind w:left="360" w:right="0"/>
      </w:pPr>
      <w:r>
        <w:t xml:space="preserve">3.9 Comparações head-to-head</w:t>
      </w:r>
      <w:r>
        <w:tab/>
        <w:t xml:space="preserve">36</w:t>
      </w:r>
    </w:p>
    <w:p>
      <w:pPr>
        <w:tabs>
          <w:tab w:val="right" w:leader="dot" w:pos="8640"/>
        </w:tabs>
        <w:spacing w:after="0" w:line="360" w:lineRule="auto"/>
        <w:ind w:left="0" w:right="0"/>
      </w:pPr>
      <w:r>
        <w:t xml:space="preserve">4. RESULTADOS</w:t>
      </w:r>
      <w:r>
        <w:tab/>
        <w:t xml:space="preserve">37</w:t>
      </w:r>
    </w:p>
    <w:p>
      <w:pPr>
        <w:tabs>
          <w:tab w:val="right" w:leader="dot" w:pos="8640"/>
        </w:tabs>
        <w:spacing w:after="0" w:line="360" w:lineRule="auto"/>
        <w:ind w:left="360" w:right="0"/>
      </w:pPr>
      <w:r>
        <w:t xml:space="preserve">4.1 Derivação do CorePAM: os 24 genes</w:t>
      </w:r>
      <w:r>
        <w:tab/>
        <w:t xml:space="preserve">37</w:t>
      </w:r>
    </w:p>
    <w:p>
      <w:pPr>
        <w:tabs>
          <w:tab w:val="right" w:leader="dot" w:pos="8640"/>
        </w:tabs>
        <w:spacing w:after="0" w:line="360" w:lineRule="auto"/>
        <w:ind w:left="360" w:right="0"/>
      </w:pPr>
      <w:r>
        <w:t xml:space="preserve">4.2 Validação prognóstica externa</w:t>
      </w:r>
      <w:r>
        <w:tab/>
        <w:t xml:space="preserve">44</w:t>
      </w:r>
    </w:p>
    <w:p>
      <w:pPr>
        <w:tabs>
          <w:tab w:val="right" w:leader="dot" w:pos="8640"/>
        </w:tabs>
        <w:spacing w:after="0" w:line="360" w:lineRule="auto"/>
        <w:ind w:left="360" w:right="0"/>
      </w:pPr>
      <w:r>
        <w:t xml:space="preserve">4.3 Meta-análise de sobrevida</w:t>
      </w:r>
      <w:r>
        <w:tab/>
        <w:t xml:space="preserve">50</w:t>
      </w:r>
    </w:p>
    <w:p>
      <w:pPr>
        <w:tabs>
          <w:tab w:val="right" w:leader="dot" w:pos="8640"/>
        </w:tabs>
        <w:spacing w:after="0" w:line="360" w:lineRule="auto"/>
        <w:ind w:left="360" w:right="0"/>
      </w:pPr>
      <w:r>
        <w:t xml:space="preserve">4.4 Valor incremental sobre preditores clínicos</w:t>
      </w:r>
      <w:r>
        <w:tab/>
        <w:t xml:space="preserve">51</w:t>
      </w:r>
    </w:p>
    <w:p>
      <w:pPr>
        <w:tabs>
          <w:tab w:val="right" w:leader="dot" w:pos="8640"/>
        </w:tabs>
        <w:spacing w:after="0" w:line="360" w:lineRule="auto"/>
        <w:ind w:left="360" w:right="0"/>
      </w:pPr>
      <w:r>
        <w:t xml:space="preserve">4.5 Independência do estadiamento clínico-patológico</w:t>
      </w:r>
      <w:r>
        <w:tab/>
        <w:t xml:space="preserve">54</w:t>
      </w:r>
    </w:p>
    <w:p>
      <w:pPr>
        <w:tabs>
          <w:tab w:val="right" w:leader="dot" w:pos="8640"/>
        </w:tabs>
        <w:spacing w:after="0" w:line="360" w:lineRule="auto"/>
        <w:ind w:left="360" w:right="0"/>
      </w:pPr>
      <w:r>
        <w:t xml:space="preserve">4.6 Análises de sensibilidade</w:t>
      </w:r>
      <w:r>
        <w:tab/>
        <w:t xml:space="preserve">54</w:t>
      </w:r>
    </w:p>
    <w:p>
      <w:pPr>
        <w:tabs>
          <w:tab w:val="right" w:leader="dot" w:pos="8640"/>
        </w:tabs>
        <w:spacing w:after="0" w:line="360" w:lineRule="auto"/>
        <w:ind w:left="360" w:right="0"/>
      </w:pPr>
      <w:r>
        <w:t xml:space="preserve">4.7 Análise de subgrupo por status de RE</w:t>
      </w:r>
      <w:r>
        <w:tab/>
        <w:t xml:space="preserve">60</w:t>
      </w:r>
    </w:p>
    <w:p>
      <w:pPr>
        <w:tabs>
          <w:tab w:val="right" w:leader="dot" w:pos="8640"/>
        </w:tabs>
        <w:spacing w:after="0" w:line="360" w:lineRule="auto"/>
        <w:ind w:left="720" w:right="0"/>
      </w:pPr>
      <w:r>
        <w:t xml:space="preserve">4.7.1 SCAN-B (N = 2 870; OS)</w:t>
      </w:r>
      <w:r>
        <w:tab/>
        <w:t xml:space="preserve">60</w:t>
      </w:r>
    </w:p>
    <w:p>
      <w:pPr>
        <w:tabs>
          <w:tab w:val="right" w:leader="dot" w:pos="8640"/>
        </w:tabs>
        <w:spacing w:after="0" w:line="360" w:lineRule="auto"/>
        <w:ind w:left="720" w:right="0"/>
      </w:pPr>
      <w:r>
        <w:t xml:space="preserve">4.7.2 METABRIC (N = 1 936; DSS)</w:t>
      </w:r>
      <w:r>
        <w:tab/>
        <w:t xml:space="preserve">60</w:t>
      </w:r>
    </w:p>
    <w:p>
      <w:pPr>
        <w:tabs>
          <w:tab w:val="right" w:leader="dot" w:pos="8640"/>
        </w:tabs>
        <w:spacing w:after="0" w:line="360" w:lineRule="auto"/>
        <w:ind w:left="360" w:right="0"/>
      </w:pPr>
      <w:r>
        <w:t xml:space="preserve">4.8 Resposta patológica completa (pCR)</w:t>
      </w:r>
      <w:r>
        <w:tab/>
        <w:t xml:space="preserve">62</w:t>
      </w:r>
    </w:p>
    <w:p>
      <w:pPr>
        <w:tabs>
          <w:tab w:val="right" w:leader="dot" w:pos="8640"/>
        </w:tabs>
        <w:spacing w:after="0" w:line="360" w:lineRule="auto"/>
        <w:ind w:left="360" w:right="0"/>
      </w:pPr>
      <w:r>
        <w:t xml:space="preserve">4.9 Comparação head-to-head com PAM50-full</w:t>
      </w:r>
      <w:r>
        <w:tab/>
        <w:t xml:space="preserve">67</w:t>
      </w:r>
    </w:p>
    <w:p>
      <w:pPr>
        <w:tabs>
          <w:tab w:val="right" w:leader="dot" w:pos="8640"/>
        </w:tabs>
        <w:spacing w:after="0" w:line="360" w:lineRule="auto"/>
        <w:ind w:left="360" w:right="0"/>
      </w:pPr>
      <w:r>
        <w:t xml:space="preserve">4.10 Comparação com assinaturas estabelecidas</w:t>
      </w:r>
      <w:r>
        <w:tab/>
        <w:t xml:space="preserve">69</w:t>
      </w:r>
    </w:p>
    <w:p>
      <w:pPr>
        <w:tabs>
          <w:tab w:val="right" w:leader="dot" w:pos="8640"/>
        </w:tabs>
        <w:spacing w:after="0" w:line="360" w:lineRule="auto"/>
        <w:ind w:left="0" w:right="0"/>
      </w:pPr>
      <w:r>
        <w:t xml:space="preserve">5. DISCUSSÃO</w:t>
      </w:r>
      <w:r>
        <w:tab/>
        <w:t xml:space="preserve">71</w:t>
      </w:r>
    </w:p>
    <w:p>
      <w:pPr>
        <w:tabs>
          <w:tab w:val="right" w:leader="dot" w:pos="8640"/>
        </w:tabs>
        <w:spacing w:after="0" w:line="360" w:lineRule="auto"/>
        <w:ind w:left="360" w:right="0"/>
      </w:pPr>
      <w:r>
        <w:t xml:space="preserve">5.1 O CorePAM no contexto da medicina de precisão em oncologia</w:t>
      </w:r>
      <w:r>
        <w:tab/>
        <w:t xml:space="preserve">71</w:t>
      </w:r>
    </w:p>
    <w:p>
      <w:pPr>
        <w:tabs>
          <w:tab w:val="right" w:leader="dot" w:pos="8640"/>
        </w:tabs>
        <w:spacing w:after="0" w:line="360" w:lineRule="auto"/>
        <w:ind w:left="360" w:right="0"/>
      </w:pPr>
      <w:r>
        <w:t xml:space="preserve">5.2 Derivação reprodutível: inovação metodológica</w:t>
      </w:r>
      <w:r>
        <w:tab/>
        <w:t xml:space="preserve">72</w:t>
      </w:r>
    </w:p>
    <w:p>
      <w:pPr>
        <w:tabs>
          <w:tab w:val="right" w:leader="dot" w:pos="8640"/>
        </w:tabs>
        <w:spacing w:after="0" w:line="360" w:lineRule="auto"/>
        <w:ind w:left="360" w:right="0"/>
      </w:pPr>
      <w:r>
        <w:t xml:space="preserve">5.3 Coerência biológica: por que esses 24 genes?</w:t>
      </w:r>
      <w:r>
        <w:tab/>
        <w:t xml:space="preserve">73</w:t>
      </w:r>
    </w:p>
    <w:p>
      <w:pPr>
        <w:tabs>
          <w:tab w:val="right" w:leader="dot" w:pos="8640"/>
        </w:tabs>
        <w:spacing w:after="0" w:line="360" w:lineRule="auto"/>
        <w:ind w:left="360" w:right="0"/>
      </w:pPr>
      <w:r>
        <w:t xml:space="preserve">5.4 Transportabilidade cross-plataforma</w:t>
      </w:r>
      <w:r>
        <w:tab/>
        <w:t xml:space="preserve">74</w:t>
      </w:r>
    </w:p>
    <w:p>
      <w:pPr>
        <w:tabs>
          <w:tab w:val="right" w:leader="dot" w:pos="8640"/>
        </w:tabs>
        <w:spacing w:after="0" w:line="360" w:lineRule="auto"/>
        <w:ind w:left="360" w:right="0"/>
      </w:pPr>
      <w:r>
        <w:t xml:space="preserve">5.5 O paradoxo de menos genes, mais informação</w:t>
      </w:r>
      <w:r>
        <w:tab/>
        <w:t xml:space="preserve">75</w:t>
      </w:r>
    </w:p>
    <w:p>
      <w:pPr>
        <w:tabs>
          <w:tab w:val="right" w:leader="dot" w:pos="8640"/>
        </w:tabs>
        <w:spacing w:after="0" w:line="360" w:lineRule="auto"/>
        <w:ind w:left="360" w:right="0"/>
      </w:pPr>
      <w:r>
        <w:t xml:space="preserve">5.6 A questão do z-score: coorte vs amostra única</w:t>
      </w:r>
      <w:r>
        <w:tab/>
        <w:t xml:space="preserve">75</w:t>
      </w:r>
    </w:p>
    <w:p>
      <w:pPr>
        <w:tabs>
          <w:tab w:val="right" w:leader="dot" w:pos="8640"/>
        </w:tabs>
        <w:spacing w:after="0" w:line="360" w:lineRule="auto"/>
        <w:ind w:left="360" w:right="0"/>
      </w:pPr>
      <w:r>
        <w:t xml:space="preserve">5.7 O sinal em doença ER-positiva</w:t>
      </w:r>
      <w:r>
        <w:tab/>
        <w:t xml:space="preserve">76</w:t>
      </w:r>
    </w:p>
    <w:p>
      <w:pPr>
        <w:tabs>
          <w:tab w:val="right" w:leader="dot" w:pos="8640"/>
        </w:tabs>
        <w:spacing w:after="0" w:line="360" w:lineRule="auto"/>
        <w:ind w:left="360" w:right="0"/>
      </w:pPr>
      <w:r>
        <w:t xml:space="preserve">5.8 A ponte entre prognóstico e predição de pCR</w:t>
      </w:r>
      <w:r>
        <w:tab/>
        <w:t xml:space="preserve">77</w:t>
      </w:r>
    </w:p>
    <w:p>
      <w:pPr>
        <w:tabs>
          <w:tab w:val="right" w:leader="dot" w:pos="8640"/>
        </w:tabs>
        <w:spacing w:after="0" w:line="360" w:lineRule="auto"/>
        <w:ind w:left="360" w:right="0"/>
      </w:pPr>
      <w:r>
        <w:t xml:space="preserve">5.9 Calibração: o que o modelo acerta é o que erra</w:t>
      </w:r>
      <w:r>
        <w:tab/>
        <w:t xml:space="preserve">77</w:t>
      </w:r>
    </w:p>
    <w:p>
      <w:pPr>
        <w:tabs>
          <w:tab w:val="right" w:leader="dot" w:pos="8640"/>
        </w:tabs>
        <w:spacing w:after="0" w:line="360" w:lineRule="auto"/>
        <w:ind w:left="360" w:right="0"/>
      </w:pPr>
      <w:r>
        <w:t xml:space="preserve">5.10 Reflexões metodológicas para estudos prognósticos futuros</w:t>
      </w:r>
      <w:r>
        <w:tab/>
        <w:t xml:space="preserve">78</w:t>
      </w:r>
    </w:p>
    <w:p>
      <w:pPr>
        <w:tabs>
          <w:tab w:val="right" w:leader="dot" w:pos="8640"/>
        </w:tabs>
        <w:spacing w:after="0" w:line="360" w:lineRule="auto"/>
        <w:ind w:left="360" w:right="0"/>
      </w:pPr>
      <w:r>
        <w:t xml:space="preserve">5.11 O caminho até a clínica: o que falta?</w:t>
      </w:r>
      <w:r>
        <w:tab/>
        <w:t xml:space="preserve">78</w:t>
      </w:r>
    </w:p>
    <w:p>
      <w:pPr>
        <w:tabs>
          <w:tab w:val="right" w:leader="dot" w:pos="8640"/>
        </w:tabs>
        <w:spacing w:after="0" w:line="360" w:lineRule="auto"/>
        <w:ind w:left="360" w:right="0"/>
      </w:pPr>
      <w:r>
        <w:t xml:space="preserve">5.12 Relevância para o contexto brasileiro e o SUS</w:t>
      </w:r>
      <w:r>
        <w:tab/>
        <w:t xml:space="preserve">79</w:t>
      </w:r>
    </w:p>
    <w:p>
      <w:pPr>
        <w:tabs>
          <w:tab w:val="right" w:leader="dot" w:pos="8640"/>
        </w:tabs>
        <w:spacing w:after="0" w:line="360" w:lineRule="auto"/>
        <w:ind w:left="360" w:right="0"/>
      </w:pPr>
      <w:r>
        <w:t xml:space="preserve">5.13 Limitações</w:t>
      </w:r>
      <w:r>
        <w:tab/>
        <w:t xml:space="preserve">79</w:t>
      </w:r>
    </w:p>
    <w:p>
      <w:pPr>
        <w:tabs>
          <w:tab w:val="right" w:leader="dot" w:pos="8640"/>
        </w:tabs>
        <w:spacing w:after="0" w:line="360" w:lineRule="auto"/>
        <w:ind w:left="360" w:right="0"/>
      </w:pPr>
      <w:r>
        <w:t xml:space="preserve">5.14 Perspectivas e estudos futuros</w:t>
      </w:r>
      <w:r>
        <w:tab/>
        <w:t xml:space="preserve">80</w:t>
      </w:r>
    </w:p>
    <w:p>
      <w:pPr>
        <w:tabs>
          <w:tab w:val="right" w:leader="dot" w:pos="8640"/>
        </w:tabs>
        <w:spacing w:after="0" w:line="360" w:lineRule="auto"/>
        <w:ind w:left="0" w:right="0"/>
      </w:pPr>
      <w:r>
        <w:t xml:space="preserve">6. CONCLUSÃO</w:t>
      </w:r>
      <w:r>
        <w:tab/>
        <w:t xml:space="preserve">82</w:t>
      </w:r>
    </w:p>
    <w:p>
      <w:pPr>
        <w:tabs>
          <w:tab w:val="right" w:leader="dot" w:pos="8640"/>
        </w:tabs>
        <w:spacing w:after="0" w:line="360" w:lineRule="auto"/>
        <w:ind w:left="0" w:right="0"/>
      </w:pPr>
      <w:r>
        <w:t xml:space="preserve">REFERÊNCIAS BIBLIOGRÁFICAS</w:t>
      </w:r>
      <w:r>
        <w:tab/>
        <w:t xml:space="preserve">83</w:t>
      </w:r>
    </w:p>
    <w:p>
      <w:pPr>
        <w:tabs>
          <w:tab w:val="right" w:leader="dot" w:pos="8640"/>
        </w:tabs>
        <w:spacing w:after="0" w:line="360" w:lineRule="auto"/>
        <w:ind w:left="0" w:right="0"/>
      </w:pPr>
      <w:r>
        <w:t xml:space="preserve">APÊNDICE A — Artigo submetido ao Breast Cancer Research</w:t>
      </w:r>
      <w:r>
        <w:tab/>
        <w:t xml:space="preserve">91</w:t>
      </w:r>
    </w:p>
    <w:p>
      <w:pPr>
        <w:tabs>
          <w:tab w:val="right" w:leader="dot" w:pos="8640"/>
        </w:tabs>
        <w:spacing w:after="0" w:line="360" w:lineRule="auto"/>
        <w:ind w:left="0" w:right="0"/>
      </w:pPr>
      <w:r>
        <w:t xml:space="preserve">APÊNDICE B — Pipeline computacional</w:t>
      </w:r>
      <w:r>
        <w:tab/>
        <w:t xml:space="preserve">92</w:t>
      </w:r>
    </w:p>
    <w:p>
      <w:pPr>
        <w:tabs>
          <w:tab w:val="right" w:leader="dot" w:pos="8640"/>
        </w:tabs>
        <w:spacing w:after="0" w:line="360" w:lineRule="auto"/>
        <w:ind w:left="360" w:right="0"/>
      </w:pPr>
      <w:r>
        <w:t xml:space="preserve">B.1 Pseudocódigo do procedimento de derivação</w:t>
      </w:r>
      <w:r>
        <w:tab/>
        <w:t xml:space="preserve">93</w:t>
      </w:r>
    </w:p>
    <w:bookmarkEnd w:id="29"/>
    <w:bookmarkStart w:id="45" w:name="introdução"/>
    <w:p>
      <w:pPr>
        <w:pStyle w:val="Heading1"/>
      </w:pPr>
      <w:r>
        <w:t xml:space="preserve">1. INTRODUÇÃO</w:t>
      </w:r>
    </w:p>
    <w:bookmarkStart w:id="30"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é,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t xml:space="preserve"> </w:t>
      </w:r>
      <w:r>
        <w:rPr>
          <w:vertAlign w:val="superscript"/>
        </w:rPr>
        <w:t xml:space="preserve">3</w:t>
      </w:r>
      <w:r>
        <w:t xml:space="preserve">,</w:t>
      </w:r>
      <w:r>
        <w:rPr>
          <w:vertAlign w:val="superscript"/>
        </w:rPr>
        <w:t xml:space="preserve">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a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a medicina de precisão.</w:t>
      </w:r>
    </w:p>
    <w:bookmarkEnd w:id="30"/>
    <w:bookmarkStart w:id="31"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t xml:space="preserve"> </w:t>
      </w:r>
      <w:r>
        <w:rPr>
          <w:vertAlign w:val="superscript"/>
        </w:rPr>
        <w:t xml:space="preserve">8</w:t>
      </w:r>
      <w:r>
        <w:t xml:space="preserve">–</w:t>
      </w:r>
      <w:r>
        <w:rPr>
          <w:vertAlign w:val="superscript"/>
        </w:rPr>
        <w:t xml:space="preserve">10</w:t>
      </w:r>
      <w:r>
        <w:t xml:space="preserve">, motivou o desenvolvimento sistemático de ferramentas de classificação molecular capazes de refletir essa estrutura subjacente e orientar decisões terapêuticas individualizadas.</w:t>
      </w:r>
    </w:p>
    <w:bookmarkEnd w:id="31"/>
    <w:bookmarkStart w:id="36"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t xml:space="preserve"> </w:t>
      </w:r>
      <w:r>
        <w:rPr>
          <w:vertAlign w:val="superscript"/>
        </w:rPr>
        <w:t xml:space="preserve">8</w:t>
      </w:r>
      <w:r>
        <w:t xml:space="preserve">,</w:t>
      </w:r>
      <w:r>
        <w:rPr>
          <w:vertAlign w:val="superscript"/>
        </w:rPr>
        <w:t xml:space="preserve">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somaticas</w:t>
      </w:r>
      <w:r>
        <w:t xml:space="preserve"> </w:t>
      </w:r>
      <w:r>
        <w:rPr>
          <w:vertAlign w:val="superscript"/>
        </w:rPr>
        <w:t xml:space="preserve">11</w:t>
      </w:r>
      <w:r>
        <w:t xml:space="preserve">,</w:t>
      </w:r>
      <w:r>
        <w:rPr>
          <w:vertAlign w:val="superscript"/>
        </w:rPr>
        <w:t xml:space="preserve">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é, posteriormente, RT-qPCR e</w:t>
      </w:r>
      <w:r>
        <w:t xml:space="preserve"> </w:t>
      </w:r>
      <w:r>
        <w:rPr>
          <w:i/>
          <w:iCs/>
        </w:rPr>
        <w:t xml:space="preserve">RNA-seq</w:t>
      </w:r>
      <w:r>
        <w:t xml:space="preserve"> </w:t>
      </w:r>
      <w:r>
        <w:rPr>
          <w:vertAlign w:val="superscript"/>
        </w:rPr>
        <w:t xml:space="preserve">14</w:t>
      </w:r>
      <w:r>
        <w:t xml:space="preserve">,</w:t>
      </w:r>
      <w:r>
        <w:rPr>
          <w:vertAlign w:val="superscript"/>
        </w:rPr>
        <w:t xml:space="preserve">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t xml:space="preserve"> </w:t>
      </w:r>
      <w:r>
        <w:rPr>
          <w:vertAlign w:val="superscript"/>
        </w:rPr>
        <w:t xml:space="preserve">19</w:t>
      </w:r>
      <w:r>
        <w:t xml:space="preserve">–</w:t>
      </w:r>
      <w:r>
        <w:rPr>
          <w:vertAlign w:val="superscript"/>
        </w:rPr>
        <w:t xml:space="preserve">21</w:t>
      </w:r>
      <w:r>
        <w:t xml:space="preserve"> </w:t>
      </w:r>
      <w:r>
        <w:t xml:space="preserve">para auxilio a decisão de quimioterapia adjuvante em câncer de mama RE-positivo, HER2-negativo, estágio precoce.</w:t>
      </w:r>
    </w:p>
    <w:p>
      <w:pPr>
        <w:pStyle w:val="Compact"/>
        <w:jc w:val="center"/>
      </w:pPr>
      <w:bookmarkStart w:id="35" w:name="fig-subtipos"/>
      <w:r>
        <w:drawing>
          <wp:inline>
            <wp:extent cx="5399999" cy="4708421"/>
            <wp:effectExtent b="0" l="0" r="0" t="0"/>
            <wp:docPr descr="" title="" id="33" name="Picture"/>
            <a:graphic>
              <a:graphicData uri="http://schemas.openxmlformats.org/drawingml/2006/picture">
                <pic:pic>
                  <pic:nvPicPr>
                    <pic:cNvPr descr="../figures/didaticas/pt/png/B2_Subtipos_Moleculares_PT.png" id="34" name="Picture"/>
                    <pic:cNvPicPr>
                      <a:picLocks noChangeArrowheads="1" noChangeAspect="1"/>
                    </pic:cNvPicPr>
                  </pic:nvPicPr>
                  <pic:blipFill>
                    <a:blip r:embed="rId32"/>
                    <a:stretch>
                      <a:fillRect/>
                    </a:stretch>
                  </pic:blipFill>
                  <pic:spPr bwMode="auto">
                    <a:xfrm>
                      <a:off x="0" y="0"/>
                      <a:ext cx="5399999" cy="4708421"/>
                    </a:xfrm>
                    <a:prstGeom prst="rect">
                      <a:avLst/>
                    </a:prstGeom>
                    <a:noFill/>
                    <a:ln w="9525">
                      <a:noFill/>
                      <a:headEnd/>
                      <a:tailEnd/>
                    </a:ln>
                  </pic:spPr>
                </pic:pic>
              </a:graphicData>
            </a:graphic>
          </wp:inline>
        </w:drawing>
      </w:r>
    </w:p>
    <w:p>
      <w:pPr>
        <w:jc w:val="left"/>
        <w:spacing w:before="200"/>
        <w:pStyle w:val="ImageCaption"/>
      </w:pPr>
      <w:r>
        <w:t xml:space="preserve">Figura 1 — Subtipos moleculares intrínsecos do câncer de mama. Esquema didático sintetizando os cinco subtipos descritos por Perou e Sørlie —</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w:t>
      </w:r>
      <w:r>
        <w:t xml:space="preserve"> </w:t>
      </w:r>
      <w:r>
        <w:rPr>
          <w:i/>
          <w:iCs/>
        </w:rPr>
        <w:t xml:space="preserve">Basal-like</w:t>
      </w:r>
      <w:r>
        <w:t xml:space="preserve"> </w:t>
      </w:r>
      <w:r>
        <w:t xml:space="preserve">e</w:t>
      </w:r>
      <w:r>
        <w:t xml:space="preserve"> </w:t>
      </w:r>
      <w:r>
        <w:rPr>
          <w:i/>
          <w:iCs/>
        </w:rPr>
        <w:t xml:space="preserve">Normal-like</w:t>
      </w:r>
      <w:r>
        <w:t xml:space="preserve"> </w:t>
      </w:r>
      <w:r>
        <w:t xml:space="preserve">— com seus marcadores característicos, prevalência aproximada e comportamento prognóstico típico.</w:t>
      </w:r>
    </w:p>
    <w:bookmarkEnd w:id="35"/>
    <w:bookmarkEnd w:id="36"/>
    <w:bookmarkStart w:id="41"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é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t xml:space="preserve"> </w:t>
      </w:r>
      <w:r>
        <w:rPr>
          <w:vertAlign w:val="superscript"/>
        </w:rPr>
        <w:t xml:space="preserve">27</w:t>
      </w:r>
      <w:r>
        <w:t xml:space="preserve">,</w:t>
      </w:r>
      <w:r>
        <w:rPr>
          <w:vertAlign w:val="superscript"/>
        </w:rPr>
        <w:t xml:space="preserve">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Câncer Index</w:t>
      </w:r>
      <w:r>
        <w:rPr>
          <w:vertAlign w:val="superscript"/>
        </w:rPr>
        <w:t xml:space="preserve">30</w:t>
      </w:r>
      <w:r>
        <w:t xml:space="preserve"> </w:t>
      </w:r>
      <w:r>
        <w:t xml:space="preserve">(genes HOXB13/IL17BR mais módulo de proliferação) e o ROR/</w:t>
      </w:r>
      <w:r>
        <w:rPr>
          <w:i/>
          <w:iCs/>
        </w:rPr>
        <w:t xml:space="preserve">Prosigna</w:t>
      </w:r>
      <w:r>
        <w:t xml:space="preserve"> </w:t>
      </w:r>
      <w:r>
        <w:rPr>
          <w:vertAlign w:val="superscript"/>
        </w:rPr>
        <w:t xml:space="preserve">13</w:t>
      </w:r>
      <w:r>
        <w:t xml:space="preserve">,</w:t>
      </w:r>
      <w:r>
        <w:rPr>
          <w:vertAlign w:val="superscript"/>
        </w:rPr>
        <w:t xml:space="preserve">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e apenas moderada, indicando que não medem exatamente o mesmo construto biológico.</w:t>
      </w:r>
    </w:p>
    <w:p>
      <w:pPr>
        <w:pStyle w:val="BodyText"/>
      </w:pPr>
      <w:r>
        <w:t xml:space="preserve">A distinção fundamental, relevante para o presente trabalho, e que o</w:t>
      </w:r>
      <w:r>
        <w:t xml:space="preserve"> </w:t>
      </w:r>
      <w:r>
        <w:rPr>
          <w:i/>
          <w:iCs/>
        </w:rPr>
        <w:t xml:space="preserve">OncotypeDX</w:t>
      </w:r>
      <w:r>
        <w:t xml:space="preserve"> </w:t>
      </w:r>
      <w:r>
        <w:t xml:space="preserve">é o</w:t>
      </w:r>
      <w:r>
        <w:t xml:space="preserve"> </w:t>
      </w:r>
      <w:r>
        <w:rPr>
          <w:i/>
          <w:iCs/>
        </w:rPr>
        <w:t xml:space="preserve">MammaPrint</w:t>
      </w:r>
      <w:r>
        <w:t xml:space="preserve"> </w:t>
      </w:r>
      <w:r>
        <w:t xml:space="preserve">não são subconjuntos do PAM50 — foram desenvolvidos independentemente, a partir de pools gênicos distintos e com metodologias e endpoints 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40" w:name="fig-timeline"/>
      <w:r>
        <w:drawing>
          <wp:inline>
            <wp:extent cx="5399999" cy="3608119"/>
            <wp:effectExtent b="0" l="0" r="0" t="0"/>
            <wp:docPr descr="" title="" id="38" name="Picture"/>
            <a:graphic>
              <a:graphicData uri="http://schemas.openxmlformats.org/drawingml/2006/picture">
                <pic:pic>
                  <pic:nvPicPr>
                    <pic:cNvPr descr="../figures/didaticas/pt/png/B3_Timeline_Assinaturas_PT.png" id="39" name="Picture"/>
                    <pic:cNvPicPr>
                      <a:picLocks noChangeArrowheads="1" noChangeAspect="1"/>
                    </pic:cNvPicPr>
                  </pic:nvPicPr>
                  <pic:blipFill>
                    <a:blip r:embed="rId37"/>
                    <a:stretch>
                      <a:fillRect/>
                    </a:stretch>
                  </pic:blipFill>
                  <pic:spPr bwMode="auto">
                    <a:xfrm>
                      <a:off x="0" y="0"/>
                      <a:ext cx="5399999" cy="3608119"/>
                    </a:xfrm>
                    <a:prstGeom prst="rect">
                      <a:avLst/>
                    </a:prstGeom>
                    <a:noFill/>
                    <a:ln w="9525">
                      <a:noFill/>
                      <a:headEnd/>
                      <a:tailEnd/>
                    </a:ln>
                  </pic:spPr>
                </pic:pic>
              </a:graphicData>
            </a:graphic>
          </wp:inline>
        </w:drawing>
      </w:r>
    </w:p>
    <w:p>
      <w:pPr>
        <w:jc w:val="left"/>
        <w:spacing w:before="200"/>
        <w:pStyle w:val="ImageCaption"/>
      </w:pPr>
      <w:r>
        <w:t xml:space="preserve">Figura 2 — Linha do tempo das principais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0"/>
    <w:bookmarkEnd w:id="41"/>
    <w:bookmarkStart w:id="42"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familias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abundancia e reprodutibilidade técnica robusta</w:t>
      </w:r>
      <w:r>
        <w:t xml:space="preserve"> </w:t>
      </w:r>
      <w:r>
        <w:rPr>
          <w:vertAlign w:val="superscript"/>
        </w:rPr>
        <w:t xml:space="preserve">32</w:t>
      </w:r>
      <w:r>
        <w:t xml:space="preserve">,</w:t>
      </w:r>
      <w:r>
        <w:rPr>
          <w:vertAlign w:val="superscript"/>
        </w:rPr>
        <w:t xml:space="preserve">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t xml:space="preserve"> </w:t>
      </w:r>
      <w:r>
        <w:rPr>
          <w:vertAlign w:val="superscript"/>
        </w:rPr>
        <w:t xml:space="preserve">34</w:t>
      </w:r>
      <w:r>
        <w:t xml:space="preserve">,</w:t>
      </w:r>
      <w:r>
        <w:rPr>
          <w:vertAlign w:val="superscript"/>
        </w:rPr>
        <w:t xml:space="preserve">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rPr>
          <w:vertAlign w:val="superscript"/>
        </w:rPr>
        <w:t xml:space="preserve">35</w:t>
      </w:r>
      <w:r>
        <w:t xml:space="preserve">, métodos de harmonização mais agressivos ou pontuação de amostra única com parâmetros congelados — é uma decisão metodologica com</w:t>
      </w:r>
      <w:r>
        <w:t xml:space="preserve"> </w:t>
      </w:r>
      <w:r>
        <w:rPr>
          <w:i/>
          <w:iCs/>
        </w:rPr>
        <w:t xml:space="preserve">trade-offs</w:t>
      </w:r>
      <w:r>
        <w:t xml:space="preserve"> </w:t>
      </w:r>
      <w:r>
        <w:t xml:space="preserve">explicitamente discutidos adiante.</w:t>
      </w:r>
    </w:p>
    <w:bookmarkEnd w:id="42"/>
    <w:bookmarkStart w:id="43"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t xml:space="preserve"> </w:t>
      </w:r>
      <w:r>
        <w:rPr>
          <w:vertAlign w:val="superscript"/>
        </w:rPr>
        <w:t xml:space="preserve">36</w:t>
      </w:r>
      <w:r>
        <w:t xml:space="preserve">,</w:t>
      </w:r>
      <w:r>
        <w:rPr>
          <w:vertAlign w:val="superscript"/>
        </w:rPr>
        <w:t xml:space="preserve">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t xml:space="preserve"> </w:t>
      </w:r>
      <w:r>
        <w:rPr>
          <w:vertAlign w:val="superscript"/>
        </w:rPr>
        <w:t xml:space="preserve">11</w:t>
      </w:r>
      <w:r>
        <w:t xml:space="preserve">,</w:t>
      </w:r>
      <w:r>
        <w:rPr>
          <w:vertAlign w:val="superscript"/>
        </w:rPr>
        <w:t xml:space="preserve">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41</w:t>
      </w:r>
      <w:r>
        <w:t xml:space="preserve">, GSE20194</w:t>
      </w:r>
      <w:r>
        <w:rPr>
          <w:vertAlign w:val="superscript"/>
        </w:rPr>
        <w:t xml:space="preserve">42</w:t>
      </w:r>
      <w:r>
        <w:t xml:space="preserve">, GSE32646</w:t>
      </w:r>
      <w:r>
        <w:rPr>
          <w:vertAlign w:val="superscript"/>
        </w:rPr>
        <w:t xml:space="preserve">43</w:t>
      </w:r>
      <w:r>
        <w:t xml:space="preserve">, I-SPY1</w:t>
      </w:r>
      <w:r>
        <w:rPr>
          <w:vertAlign w:val="superscript"/>
        </w:rPr>
        <w:t xml:space="preserve">44</w:t>
      </w:r>
      <w:r>
        <w:t xml:space="preserve">) é uma coorte exploratória (I-SPY2, N = 986)</w:t>
      </w:r>
      <w:r>
        <w:rPr>
          <w:vertAlign w:val="superscript"/>
        </w:rPr>
        <w:t xml:space="preserve">45</w:t>
      </w:r>
      <w:r>
        <w:t xml:space="preserve"> </w:t>
      </w:r>
      <w:r>
        <w:t xml:space="preserve">adiciona poder estatístico em uma população neoadjuvante contemporânea.</w:t>
      </w:r>
    </w:p>
    <w:bookmarkEnd w:id="43"/>
    <w:bookmarkStart w:id="44"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é avaliada secundariamente como preditor de resposta patológica completa a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p>
      <w:r>
        <w:br w:type="page"/>
      </w:r>
    </w:p>
    <w:bookmarkEnd w:id="44"/>
    <w:bookmarkEnd w:id="45"/>
    <w:bookmarkStart w:id="48" w:name="objetivos"/>
    <w:p>
      <w:pPr>
        <w:pStyle w:val="Heading1"/>
      </w:pPr>
      <w:r>
        <w:t xml:space="preserve">2. OBJETIVOS</w:t>
      </w:r>
    </w:p>
    <w:bookmarkStart w:id="46"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6"/>
    <w:bookmarkStart w:id="47"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p>
      <w:r>
        <w:br w:type="page"/>
      </w:r>
    </w:p>
    <w:bookmarkEnd w:id="47"/>
    <w:bookmarkEnd w:id="48"/>
    <w:bookmarkStart w:id="94" w:name="método"/>
    <w:p>
      <w:pPr>
        <w:pStyle w:val="Heading1"/>
      </w:pPr>
      <w:r>
        <w:t xml:space="preserve">3. MÉTODO</w:t>
      </w:r>
    </w:p>
    <w:bookmarkStart w:id="56" w:name="delineamento-do-estudo-e-aspectos-éticos"/>
    <w:p>
      <w:pPr>
        <w:pStyle w:val="Heading2"/>
      </w:pPr>
      <w:r>
        <w:t xml:space="preserve">3.1 Delineamento do estudo e aspectos éticos</w:t>
      </w:r>
    </w:p>
    <w:bookmarkStart w:id="53"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t xml:space="preserve"> </w:t>
      </w:r>
      <w:r>
        <w:rPr>
          <w:vertAlign w:val="superscript"/>
        </w:rPr>
        <w:t xml:space="preserve">46</w:t>
      </w:r>
      <w:r>
        <w:t xml:space="preserve">,</w:t>
      </w:r>
      <w:r>
        <w:rPr>
          <w:vertAlign w:val="superscript"/>
        </w:rPr>
        <w:t xml:space="preserve">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hiperparametros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2" w:name="fig-study-design"/>
      <w:r>
        <w:drawing>
          <wp:inline>
            <wp:extent cx="5399999" cy="3949253"/>
            <wp:effectExtent b="0" l="0" r="0" t="0"/>
            <wp:docPr descr="" title="" id="50" name="Picture"/>
            <a:graphic>
              <a:graphicData uri="http://schemas.openxmlformats.org/drawingml/2006/picture">
                <pic:pic>
                  <pic:nvPicPr>
                    <pic:cNvPr descr="../figures/main/pt/png/Fig1_StudyDesign_PT.png" id="51" name="Picture"/>
                    <pic:cNvPicPr>
                      <a:picLocks noChangeArrowheads="1" noChangeAspect="1"/>
                    </pic:cNvPicPr>
                  </pic:nvPicPr>
                  <pic:blipFill>
                    <a:blip r:embed="rId49"/>
                    <a:stretch>
                      <a:fillRect/>
                    </a:stretch>
                  </pic:blipFill>
                  <pic:spPr bwMode="auto">
                    <a:xfrm>
                      <a:off x="0" y="0"/>
                      <a:ext cx="5399999" cy="3949253"/>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2"/>
    <w:bookmarkEnd w:id="53"/>
    <w:bookmarkStart w:id="54"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é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t xml:space="preserve"> </w:t>
      </w:r>
      <w:r>
        <w:rPr>
          <w:vertAlign w:val="superscript"/>
        </w:rPr>
        <w:t xml:space="preserve">11</w:t>
      </w:r>
      <w:r>
        <w:t xml:space="preserve">,</w:t>
      </w:r>
      <w:r>
        <w:rPr>
          <w:vertAlign w:val="superscript"/>
        </w:rPr>
        <w:t xml:space="preserve">36</w:t>
      </w:r>
      <w:r>
        <w:t xml:space="preserve">,</w:t>
      </w:r>
      <w:r>
        <w:rPr>
          <w:vertAlign w:val="superscript"/>
        </w:rPr>
        <w:t xml:space="preserve">38</w:t>
      </w:r>
      <w:r>
        <w:t xml:space="preserve">–</w:t>
      </w:r>
      <w:r>
        <w:rPr>
          <w:vertAlign w:val="superscript"/>
        </w:rPr>
        <w:t xml:space="preserve">41</w:t>
      </w:r>
      <w:r>
        <w:t xml:space="preserve">,</w:t>
      </w:r>
      <w:r>
        <w:rPr>
          <w:vertAlign w:val="superscript"/>
        </w:rPr>
        <w:t xml:space="preserve">44</w:t>
      </w:r>
      <w:r>
        <w:t xml:space="preserve">,</w:t>
      </w:r>
      <w:r>
        <w:rPr>
          <w:vertAlign w:val="superscript"/>
        </w:rPr>
        <w:t xml:space="preserve">45</w:t>
      </w:r>
      <w:r>
        <w:t xml:space="preserve">.</w:t>
      </w:r>
    </w:p>
    <w:bookmarkEnd w:id="54"/>
    <w:bookmarkStart w:id="55"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t xml:space="preserve"> </w:t>
      </w:r>
      <w:r>
        <w:rPr>
          <w:vertAlign w:val="superscript"/>
        </w:rPr>
        <w:t xml:space="preserve">47</w:t>
      </w:r>
      <w:r>
        <w:t xml:space="preserve">–</w:t>
      </w:r>
      <w:r>
        <w:rPr>
          <w:vertAlign w:val="superscript"/>
        </w:rPr>
        <w:t xml:space="preserve">49</w:t>
      </w:r>
      <w:r>
        <w:t xml:space="preserve">:</w:t>
      </w:r>
    </w:p>
    <w:p>
      <w:pPr>
        <w:pStyle w:val="Compact"/>
        <w:numPr>
          <w:ilvl w:val="0"/>
          <w:numId w:val="1003"/>
        </w:numPr>
      </w:pPr>
      <w:r>
        <w:rPr>
          <w:b/>
          <w:bCs/>
        </w:rPr>
        <w:t xml:space="preserve">Independência completa</w:t>
      </w:r>
      <w:r>
        <w:t xml:space="preserve"> </w:t>
      </w:r>
      <w:r>
        <w:t xml:space="preserve">— nenhum registro das coortes de validação foi acessado durante a fase de derivação. Os pesos do modelo foram congelados no SCAN-B é aplicados posteriormente.</w:t>
      </w:r>
    </w:p>
    <w:p>
      <w:pPr>
        <w:pStyle w:val="Compact"/>
        <w:numPr>
          <w:ilvl w:val="0"/>
          <w:numId w:val="1003"/>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3"/>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3"/>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t xml:space="preserve"> </w:t>
      </w:r>
      <w:r>
        <w:rPr>
          <w:vertAlign w:val="superscript"/>
        </w:rPr>
        <w:t xml:space="preserve">34</w:t>
      </w:r>
      <w:r>
        <w:t xml:space="preserve">,</w:t>
      </w:r>
      <w:r>
        <w:rPr>
          <w:vertAlign w:val="superscript"/>
        </w:rPr>
        <w:t xml:space="preserve">35</w:t>
      </w:r>
      <w:r>
        <w:t xml:space="preserve">. Esta escolha é discutida em detalhe adiante.</w:t>
      </w:r>
    </w:p>
    <w:bookmarkEnd w:id="55"/>
    <w:bookmarkEnd w:id="56"/>
    <w:bookmarkStart w:id="63" w:name="coortes-do-estudo"/>
    <w:p>
      <w:pPr>
        <w:pStyle w:val="Heading2"/>
      </w:pPr>
      <w:r>
        <w:t xml:space="preserve">3.2 Coortes do estudo</w:t>
      </w:r>
    </w:p>
    <w:p>
      <w:pPr>
        <w:pStyle w:val="FirstParagraph"/>
      </w:pPr>
      <w:r>
        <w:t xml:space="preserve">O estudo integrou nove coortes públicas, cobrindo duas aplicações clínicas complementares (sobrevida e resposta à quimioterapia neoadjuvante) e três plataformas de medida de expressão gênica (</w:t>
      </w:r>
      <w:r>
        <w:rPr>
          <w:i/>
          <w:iCs/>
        </w:rPr>
        <w:t xml:space="preserve">RNA-seq</w:t>
      </w:r>
      <w:r>
        <w:t xml:space="preserve">, microarray</w:t>
      </w:r>
      <w:r>
        <w:t xml:space="preserve"> </w:t>
      </w:r>
      <w:r>
        <w:rPr>
          <w:i/>
          <w:iCs/>
        </w:rPr>
        <w:t xml:space="preserve">Illumina</w:t>
      </w:r>
      <w:r>
        <w:t xml:space="preserve"> </w:t>
      </w:r>
      <w:r>
        <w:t xml:space="preserve">e microarray</w:t>
      </w:r>
      <w:r>
        <w:t xml:space="preserve"> </w:t>
      </w:r>
      <w:r>
        <w:rPr>
          <w:i/>
          <w:iCs/>
        </w:rPr>
        <w:t xml:space="preserve">Affymetrix</w:t>
      </w:r>
      <w:r>
        <w:t xml:space="preserve">/</w:t>
      </w:r>
      <w:r>
        <w:rPr>
          <w:i/>
          <w:iCs/>
        </w:rPr>
        <w:t xml:space="preserve">Agilent</w:t>
      </w:r>
      <w:r>
        <w:t xml:space="preserve">). Esse desenho amplo e deliberadamente heterogêneo é central à pergunta metodológica: um classificador útil na prática precisa funcionar em plataformas distintas, populações distintas e desfechos distintos. A</w:t>
      </w:r>
      <w:r>
        <w:t xml:space="preserve"> </w:t>
      </w:r>
      <w:r>
        <w:rPr>
          <w:b/>
          <w:bCs/>
        </w:rPr>
        <w:t xml:space="preserve">coorte de derivação</w:t>
      </w:r>
      <w:r>
        <w:t xml:space="preserve"> </w:t>
      </w:r>
      <w:r>
        <w:t xml:space="preserve">é o</w:t>
      </w:r>
      <w:r>
        <w:t xml:space="preserve"> </w:t>
      </w:r>
      <w:r>
        <w:rPr>
          <w:b/>
          <w:bCs/>
        </w:rPr>
        <w:t xml:space="preserve">SCAN-B</w:t>
      </w:r>
      <w:r>
        <w:t xml:space="preserve"> </w:t>
      </w:r>
      <w:r>
        <w:t xml:space="preserve">(GSE96058)</w:t>
      </w:r>
      <w:r>
        <w:t xml:space="preserve"> </w:t>
      </w:r>
      <w:r>
        <w:rPr>
          <w:vertAlign w:val="superscript"/>
        </w:rPr>
        <w:t xml:space="preserve">36</w:t>
      </w:r>
      <w:r>
        <w:t xml:space="preserve">,</w:t>
      </w:r>
      <w:r>
        <w:rPr>
          <w:vertAlign w:val="superscript"/>
        </w:rPr>
        <w:t xml:space="preserve">37</w:t>
      </w:r>
      <w:r>
        <w:t xml:space="preserve">, uma iniciativa sueca que colecionou prospectivamente tumores de mama primários operáveis com</w:t>
      </w:r>
      <w:r>
        <w:t xml:space="preserve"> </w:t>
      </w:r>
      <w:r>
        <w:rPr>
          <w:i/>
          <w:iCs/>
        </w:rPr>
        <w:t xml:space="preserve">RNA-seq</w:t>
      </w:r>
      <w:r>
        <w:t xml:space="preserve"> </w:t>
      </w:r>
      <w:r>
        <w:rPr>
          <w:i/>
          <w:iCs/>
        </w:rPr>
        <w:t xml:space="preserve">Illumina</w:t>
      </w:r>
      <w:r>
        <w:t xml:space="preserve"> </w:t>
      </w:r>
      <w:r>
        <w:t xml:space="preserve">(N = 3 069;</w:t>
      </w:r>
      <w:r>
        <w:t xml:space="preserve"> </w:t>
      </w:r>
      <w:r>
        <w:rPr>
          <w:i/>
          <w:iCs/>
        </w:rPr>
        <w:t xml:space="preserve">endpoint</w:t>
      </w:r>
      <w:r>
        <w:t xml:space="preserve"> </w:t>
      </w:r>
      <w:r>
        <w:t xml:space="preserve">sobrevida global; mediana de seguimento 54,9 meses; 322 óbitos, 10,5%). Quatro</w:t>
      </w:r>
      <w:r>
        <w:t xml:space="preserve"> </w:t>
      </w:r>
      <w:r>
        <w:rPr>
          <w:b/>
          <w:bCs/>
        </w:rPr>
        <w:t xml:space="preserve">coortes de validação</w:t>
      </w:r>
      <w:r>
        <w:t xml:space="preserve"> </w:t>
      </w:r>
      <w:r>
        <w:t xml:space="preserve">de sobrevida foram escolhidas para estressar o modelo ao longo de eixos distintos:</w:t>
      </w:r>
      <w:r>
        <w:t xml:space="preserve"> </w:t>
      </w:r>
      <w:r>
        <w:rPr>
          <w:b/>
          <w:bCs/>
        </w:rPr>
        <w:t xml:space="preserve">TCGA-BRCA</w:t>
      </w:r>
      <w:r>
        <w:rPr>
          <w:vertAlign w:val="superscript"/>
        </w:rPr>
        <w:t xml:space="preserve">38</w:t>
      </w:r>
      <w:r>
        <w:t xml:space="preserve"> </w:t>
      </w:r>
      <w:r>
        <w:t xml:space="preserve">(N = 1 072;</w:t>
      </w:r>
      <w:r>
        <w:t xml:space="preserve"> </w:t>
      </w:r>
      <w:r>
        <w:rPr>
          <w:i/>
          <w:iCs/>
        </w:rPr>
        <w:t xml:space="preserve">RNA-seq</w:t>
      </w:r>
      <w:r>
        <w:t xml:space="preserve">) avalia transportabilidade dentro da mesma tecnologia de medida;</w:t>
      </w:r>
      <w:r>
        <w:t xml:space="preserve"> </w:t>
      </w:r>
      <w:r>
        <w:rPr>
          <w:b/>
          <w:bCs/>
        </w:rPr>
        <w:t xml:space="preserve">METABRIC</w:t>
      </w:r>
      <w:r>
        <w:rPr>
          <w:vertAlign w:val="superscript"/>
        </w:rPr>
        <w:t xml:space="preserve">11</w:t>
      </w:r>
      <w:r>
        <w:t xml:space="preserve"> </w:t>
      </w:r>
      <w:r>
        <w:t xml:space="preserve">(N = 1 978; microarray</w:t>
      </w:r>
      <w:r>
        <w:t xml:space="preserve"> </w:t>
      </w:r>
      <w:r>
        <w:rPr>
          <w:i/>
          <w:iCs/>
        </w:rPr>
        <w:t xml:space="preserve">Illumina</w:t>
      </w:r>
      <w:r>
        <w:t xml:space="preserve"> </w:t>
      </w:r>
      <w:r>
        <w:t xml:space="preserve">HT-12) e</w:t>
      </w:r>
      <w:r>
        <w:t xml:space="preserve"> </w:t>
      </w:r>
      <w:r>
        <w:rPr>
          <w:b/>
          <w:bCs/>
        </w:rPr>
        <w:t xml:space="preserve">GSE20685</w:t>
      </w:r>
      <w:r>
        <w:rPr>
          <w:vertAlign w:val="superscript"/>
        </w:rPr>
        <w:t xml:space="preserve">39</w:t>
      </w:r>
      <w:r>
        <w:t xml:space="preserve"> </w:t>
      </w:r>
      <w:r>
        <w:t xml:space="preserve">(N = 327; microarray</w:t>
      </w:r>
      <w:r>
        <w:t xml:space="preserve"> </w:t>
      </w:r>
      <w:r>
        <w:rPr>
          <w:i/>
          <w:iCs/>
        </w:rPr>
        <w:t xml:space="preserve">Affymetrix</w:t>
      </w:r>
      <w:r>
        <w:t xml:space="preserve">) testam transferência para tecnologias de microarray distintas; e</w:t>
      </w:r>
      <w:r>
        <w:t xml:space="preserve"> </w:t>
      </w:r>
      <w:r>
        <w:rPr>
          <w:b/>
          <w:bCs/>
        </w:rPr>
        <w:t xml:space="preserve">GSE1456</w:t>
      </w:r>
      <w:r>
        <w:rPr>
          <w:vertAlign w:val="superscript"/>
        </w:rPr>
        <w:t xml:space="preserve">40</w:t>
      </w:r>
      <w:r>
        <w:t xml:space="preserve"> </w:t>
      </w:r>
      <w:r>
        <w:t xml:space="preserve">(Estocolmo; N = 159; microarray</w:t>
      </w:r>
      <w:r>
        <w:t xml:space="preserve"> </w:t>
      </w:r>
      <w:r>
        <w:rPr>
          <w:i/>
          <w:iCs/>
        </w:rPr>
        <w:t xml:space="preserve">Affymetrix</w:t>
      </w:r>
      <w:r>
        <w:t xml:space="preserve">) testa robustez a cobertura gênica parcial (21/24 genes). Cinco</w:t>
      </w:r>
      <w:r>
        <w:t xml:space="preserve"> </w:t>
      </w:r>
      <w:r>
        <w:rPr>
          <w:b/>
          <w:bCs/>
        </w:rPr>
        <w:t xml:space="preserve">coortes neoadjuvantes</w:t>
      </w:r>
      <w:r>
        <w:t xml:space="preserve"> </w:t>
      </w:r>
      <w:r>
        <w:t xml:space="preserve">testam se o escore, derivado para sobrevida, transfere utilidade para predição de resposta patológica completa (pCR):</w:t>
      </w:r>
      <w:r>
        <w:t xml:space="preserve"> </w:t>
      </w:r>
      <w:r>
        <w:rPr>
          <w:b/>
          <w:bCs/>
        </w:rPr>
        <w:t xml:space="preserve">GSE25066</w:t>
      </w:r>
      <w:r>
        <w:rPr>
          <w:vertAlign w:val="superscript"/>
        </w:rPr>
        <w:t xml:space="preserve">41</w:t>
      </w:r>
      <w:r>
        <w:t xml:space="preserve"> </w:t>
      </w:r>
      <w:r>
        <w:t xml:space="preserve">(N = 182),</w:t>
      </w:r>
      <w:r>
        <w:t xml:space="preserve"> </w:t>
      </w:r>
      <w:r>
        <w:rPr>
          <w:b/>
          <w:bCs/>
        </w:rPr>
        <w:t xml:space="preserve">GSE20194</w:t>
      </w:r>
      <w:r>
        <w:rPr>
          <w:vertAlign w:val="superscript"/>
        </w:rPr>
        <w:t xml:space="preserve">42</w:t>
      </w:r>
      <w:r>
        <w:t xml:space="preserve"> </w:t>
      </w:r>
      <w:r>
        <w:t xml:space="preserve">(N = 278),</w:t>
      </w:r>
      <w:r>
        <w:t xml:space="preserve"> </w:t>
      </w:r>
      <w:r>
        <w:rPr>
          <w:b/>
          <w:bCs/>
        </w:rPr>
        <w:t xml:space="preserve">GSE32646</w:t>
      </w:r>
      <w:r>
        <w:rPr>
          <w:vertAlign w:val="superscript"/>
        </w:rPr>
        <w:t xml:space="preserve">43</w:t>
      </w:r>
      <w:r>
        <w:t xml:space="preserve"> </w:t>
      </w:r>
      <w:r>
        <w:t xml:space="preserve">(N = 115) e</w:t>
      </w:r>
      <w:r>
        <w:t xml:space="preserve"> </w:t>
      </w:r>
      <w:r>
        <w:rPr>
          <w:b/>
          <w:bCs/>
        </w:rPr>
        <w:t xml:space="preserve">I-SPY1</w:t>
      </w:r>
      <w:r>
        <w:rPr>
          <w:vertAlign w:val="superscript"/>
        </w:rPr>
        <w:t xml:space="preserve">44</w:t>
      </w:r>
      <w:r>
        <w:t xml:space="preserve"> </w:t>
      </w:r>
      <w:r>
        <w:t xml:space="preserve">(N = 122) como primárias, e</w:t>
      </w:r>
      <w:r>
        <w:t xml:space="preserve"> </w:t>
      </w:r>
      <w:r>
        <w:rPr>
          <w:b/>
          <w:bCs/>
        </w:rPr>
        <w:t xml:space="preserve">I-SPY2</w:t>
      </w:r>
      <w:r>
        <w:rPr>
          <w:vertAlign w:val="superscript"/>
        </w:rPr>
        <w:t xml:space="preserve">45</w:t>
      </w:r>
      <w:r>
        <w:t xml:space="preserve"> </w:t>
      </w:r>
      <w:r>
        <w:t xml:space="preserve">(N = 986) como exploratória. 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sumarizam papel, plataforma,</w:t>
      </w:r>
      <w:r>
        <w:t xml:space="preserve"> </w:t>
      </w:r>
      <w:r>
        <w:rPr>
          <w:i/>
          <w:iCs/>
        </w:rPr>
        <w:t xml:space="preserve">endpoint</w:t>
      </w:r>
      <w:r>
        <w:t xml:space="preserve">, tamanho amostral, eventos e mediana de seguimento de cada coorte.</w:t>
      </w:r>
    </w:p>
    <w:p>
      <w:pPr>
        <w:jc w:val="left"/>
        <w:spacing w:before="200"/>
        <w:pStyle w:val="ImageCaption"/>
      </w:pPr>
      <w:bookmarkStart w:id="57" w:name="tbl-cohorts-survival"/>
      <w:r>
        <w:t xml:space="preserve">Tabela 1 — Características das coortes de sobrevida</w:t>
      </w:r>
    </w:p>
    <w:tbl>
      <w:tblPr>
        <w:tblStyle w:val="Table"/>
        <w:tblW w:type="dxa" w:w="8640"/>
        <w:tblLayout w:type="fixed"/>
        <w:tblLook w:firstRow="1" w:lastRow="0" w:firstColumn="0" w:lastColumn="0" w:noHBand="0" w:noVBand="0" w:val="0020"/>
      </w:tblPr>
      <w:tblGrid>
        <w:gridCol w:w="1681"/>
        <w:gridCol w:w="1158"/>
        <w:gridCol w:w="1894"/>
        <w:gridCol w:w="952"/>
        <w:gridCol w:w="650"/>
        <w:gridCol w:w="1158"/>
        <w:gridCol w:w="1147"/>
      </w:tblGrid>
      <w:tr>
        <w:trPr>
          <w:tblHeader w:val="on"/>
        </w:trPr>
        <w:tc>
          <w:tcPr>
            <w:tcW w:w="1681" w:type="dxa"/>
          </w:tcPr>
          <w:p>
            <w:pPr>
              <w:pStyle w:val="Compact"/>
              <w:jc w:val="left"/>
              <w:jc w:val="center"/>
            </w:pPr>
            <w:r>
              <w:t xml:space="preserve">Coorte</w:t>
            </w:r>
          </w:p>
        </w:tc>
        <w:tc>
          <w:tcPr>
            <w:tcW w:w="1158" w:type="dxa"/>
          </w:tcPr>
          <w:p>
            <w:pPr>
              <w:pStyle w:val="Compact"/>
              <w:jc w:val="left"/>
              <w:jc w:val="center"/>
            </w:pPr>
            <w:r>
              <w:t xml:space="preserve">Papel</w:t>
            </w:r>
          </w:p>
        </w:tc>
        <w:tc>
          <w:tcPr>
            <w:tcW w:w="1894" w:type="dxa"/>
          </w:tcPr>
          <w:p>
            <w:pPr>
              <w:pStyle w:val="Compact"/>
              <w:jc w:val="left"/>
              <w:jc w:val="center"/>
            </w:pPr>
            <w:r>
              <w:t xml:space="preserve">Plataforma</w:t>
            </w:r>
          </w:p>
        </w:tc>
        <w:tc>
          <w:tcPr>
            <w:tcW w:w="952" w:type="dxa"/>
          </w:tcPr>
          <w:p>
            <w:pPr>
              <w:pStyle w:val="Compact"/>
              <w:jc w:val="left"/>
              <w:jc w:val="center"/>
            </w:pPr>
            <w:r>
              <w:rPr>
                <w:i/>
                <w:iCs/>
              </w:rPr>
              <w:t xml:space="preserve">Endpoint</w:t>
            </w:r>
          </w:p>
        </w:tc>
        <w:tc>
          <w:tcPr>
            <w:tcW w:w="650" w:type="dxa"/>
          </w:tcPr>
          <w:p>
            <w:pPr>
              <w:pStyle w:val="Compact"/>
              <w:jc w:val="right"/>
              <w:jc w:val="center"/>
            </w:pPr>
            <w:r>
              <w:t xml:space="preserve">N</w:t>
            </w:r>
          </w:p>
        </w:tc>
        <w:tc>
          <w:tcPr>
            <w:tcW w:w="1158" w:type="dxa"/>
          </w:tcPr>
          <w:p>
            <w:pPr>
              <w:pStyle w:val="Compact"/>
              <w:jc w:val="center"/>
              <w:jc w:val="center"/>
            </w:pPr>
            <w:r>
              <w:t xml:space="preserve">Eventos (%)</w:t>
            </w:r>
          </w:p>
        </w:tc>
        <w:tc>
          <w:tcPr>
            <w:tcW w:w="1147" w:type="dxa"/>
          </w:tcPr>
          <w:p>
            <w:pPr>
              <w:pStyle w:val="Compact"/>
              <w:jc w:val="left"/>
              <w:jc w:val="center"/>
            </w:pPr>
            <w:r>
              <w:t xml:space="preserve">Mediana FU</w:t>
            </w:r>
          </w:p>
        </w:tc>
      </w:tr>
      <w:tr>
        <w:tc>
          <w:tcPr>
            <w:tcW w:w="1681" w:type="dxa"/>
          </w:tcPr>
          <w:p>
            <w:pPr>
              <w:pStyle w:val="Compact"/>
              <w:jc w:val="left"/>
              <w:jc w:val="center"/>
            </w:pPr>
            <w:r>
              <w:t xml:space="preserve">SCAN-B (GSE96058)</w:t>
            </w:r>
          </w:p>
        </w:tc>
        <w:tc>
          <w:tcPr>
            <w:tcW w:w="1158" w:type="dxa"/>
          </w:tcPr>
          <w:p>
            <w:pPr>
              <w:pStyle w:val="Compact"/>
              <w:jc w:val="left"/>
              <w:jc w:val="center"/>
            </w:pPr>
            <w:r>
              <w:t xml:space="preserve">Treinamento</w:t>
            </w:r>
          </w:p>
        </w:tc>
        <w:tc>
          <w:tcPr>
            <w:tcW w:w="1894" w:type="dxa"/>
          </w:tcPr>
          <w:p>
            <w:pPr>
              <w:pStyle w:val="Compact"/>
              <w:jc w:val="left"/>
              <w:jc w:val="center"/>
            </w:pPr>
            <w:r>
              <w:rPr>
                <w:i/>
                <w:iCs/>
              </w:rPr>
              <w:t xml:space="preserve">RNA-seq</w:t>
            </w:r>
            <w:r>
              <w:t xml:space="preserve"> </w:t>
            </w:r>
            <w:r>
              <w:rPr>
                <w:i/>
                <w:iCs/>
              </w:rPr>
              <w:t xml:space="preserve">Illumina</w:t>
            </w:r>
          </w:p>
        </w:tc>
        <w:tc>
          <w:tcPr>
            <w:tcW w:w="952" w:type="dxa"/>
          </w:tcPr>
          <w:p>
            <w:pPr>
              <w:pStyle w:val="Compact"/>
              <w:jc w:val="left"/>
              <w:jc w:val="center"/>
            </w:pPr>
            <w:r>
              <w:t xml:space="preserve">OS</w:t>
            </w:r>
          </w:p>
        </w:tc>
        <w:tc>
          <w:tcPr>
            <w:tcW w:w="650" w:type="dxa"/>
          </w:tcPr>
          <w:p>
            <w:pPr>
              <w:pStyle w:val="Compact"/>
              <w:jc w:val="right"/>
              <w:jc w:val="center"/>
            </w:pPr>
            <w:r>
              <w:t xml:space="preserve">3 069</w:t>
            </w:r>
          </w:p>
        </w:tc>
        <w:tc>
          <w:tcPr>
            <w:tcW w:w="1158" w:type="dxa"/>
          </w:tcPr>
          <w:p>
            <w:pPr>
              <w:pStyle w:val="Compact"/>
              <w:jc w:val="center"/>
              <w:jc w:val="center"/>
            </w:pPr>
            <w:r>
              <w:t xml:space="preserve">322 (10,5%)</w:t>
            </w:r>
          </w:p>
        </w:tc>
        <w:tc>
          <w:tcPr>
            <w:tcW w:w="1147" w:type="dxa"/>
          </w:tcPr>
          <w:p>
            <w:pPr>
              <w:pStyle w:val="Compact"/>
              <w:jc w:val="left"/>
              <w:jc w:val="center"/>
            </w:pPr>
            <w:r>
              <w:t xml:space="preserve">54,9 meses</w:t>
            </w:r>
          </w:p>
        </w:tc>
      </w:tr>
      <w:tr>
        <w:tc>
          <w:tcPr>
            <w:tcW w:w="1681" w:type="dxa"/>
          </w:tcPr>
          <w:p>
            <w:pPr>
              <w:pStyle w:val="Compact"/>
              <w:jc w:val="left"/>
              <w:jc w:val="center"/>
            </w:pPr>
            <w:r>
              <w:t xml:space="preserve">TCGA-BRCA</w:t>
            </w:r>
          </w:p>
        </w:tc>
        <w:tc>
          <w:tcPr>
            <w:tcW w:w="1158" w:type="dxa"/>
          </w:tcPr>
          <w:p>
            <w:pPr>
              <w:pStyle w:val="Compact"/>
              <w:jc w:val="left"/>
              <w:jc w:val="center"/>
            </w:pPr>
            <w:r>
              <w:t xml:space="preserve">Validação</w:t>
            </w:r>
          </w:p>
        </w:tc>
        <w:tc>
          <w:tcPr>
            <w:tcW w:w="1894" w:type="dxa"/>
          </w:tcPr>
          <w:p>
            <w:pPr>
              <w:pStyle w:val="Compact"/>
              <w:jc w:val="left"/>
              <w:jc w:val="center"/>
            </w:pPr>
            <w:r>
              <w:rPr>
                <w:i/>
                <w:iCs/>
              </w:rPr>
              <w:t xml:space="preserve">RNA-seq</w:t>
            </w:r>
            <w:r>
              <w:t xml:space="preserve"> </w:t>
            </w:r>
            <w:r>
              <w:t xml:space="preserve">STAR/GDC</w:t>
            </w:r>
          </w:p>
        </w:tc>
        <w:tc>
          <w:tcPr>
            <w:tcW w:w="952" w:type="dxa"/>
          </w:tcPr>
          <w:p>
            <w:pPr>
              <w:pStyle w:val="Compact"/>
              <w:jc w:val="left"/>
              <w:jc w:val="center"/>
            </w:pPr>
            <w:r>
              <w:t xml:space="preserve">OS</w:t>
            </w:r>
          </w:p>
        </w:tc>
        <w:tc>
          <w:tcPr>
            <w:tcW w:w="650" w:type="dxa"/>
          </w:tcPr>
          <w:p>
            <w:pPr>
              <w:pStyle w:val="Compact"/>
              <w:jc w:val="right"/>
              <w:jc w:val="center"/>
            </w:pPr>
            <w:r>
              <w:t xml:space="preserve">1 072</w:t>
            </w:r>
          </w:p>
        </w:tc>
        <w:tc>
          <w:tcPr>
            <w:tcW w:w="1158" w:type="dxa"/>
          </w:tcPr>
          <w:p>
            <w:pPr>
              <w:pStyle w:val="Compact"/>
              <w:jc w:val="center"/>
              <w:jc w:val="center"/>
            </w:pPr>
            <w:r>
              <w:t xml:space="preserve">150 (14,0%)</w:t>
            </w:r>
          </w:p>
        </w:tc>
        <w:tc>
          <w:tcPr>
            <w:tcW w:w="1147" w:type="dxa"/>
          </w:tcPr>
          <w:p>
            <w:pPr>
              <w:pStyle w:val="Compact"/>
              <w:jc w:val="left"/>
              <w:jc w:val="center"/>
            </w:pPr>
            <w:r>
              <w:t xml:space="preserve">32,0 meses</w:t>
            </w:r>
          </w:p>
        </w:tc>
      </w:tr>
      <w:tr>
        <w:tc>
          <w:tcPr>
            <w:tcW w:w="1681" w:type="dxa"/>
          </w:tcPr>
          <w:p>
            <w:pPr>
              <w:pStyle w:val="Compact"/>
              <w:jc w:val="left"/>
              <w:jc w:val="center"/>
            </w:pPr>
            <w:r>
              <w:t xml:space="preserve">METABRIC</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Illumina</w:t>
            </w:r>
            <w:r>
              <w:t xml:space="preserve"> </w:t>
            </w:r>
            <w:r>
              <w:t xml:space="preserve">HT-12</w:t>
            </w:r>
          </w:p>
        </w:tc>
        <w:tc>
          <w:tcPr>
            <w:tcW w:w="952" w:type="dxa"/>
          </w:tcPr>
          <w:p>
            <w:pPr>
              <w:pStyle w:val="Compact"/>
              <w:jc w:val="left"/>
              <w:jc w:val="center"/>
            </w:pPr>
            <w:r>
              <w:t xml:space="preserve">DSS</w:t>
            </w:r>
          </w:p>
        </w:tc>
        <w:tc>
          <w:tcPr>
            <w:tcW w:w="650" w:type="dxa"/>
          </w:tcPr>
          <w:p>
            <w:pPr>
              <w:pStyle w:val="Compact"/>
              <w:jc w:val="right"/>
              <w:jc w:val="center"/>
            </w:pPr>
            <w:r>
              <w:t xml:space="preserve">1 978</w:t>
            </w:r>
          </w:p>
        </w:tc>
        <w:tc>
          <w:tcPr>
            <w:tcW w:w="1158" w:type="dxa"/>
          </w:tcPr>
          <w:p>
            <w:pPr>
              <w:pStyle w:val="Compact"/>
              <w:jc w:val="center"/>
              <w:jc w:val="center"/>
            </w:pPr>
            <w:r>
              <w:t xml:space="preserve">646 (32,7%)</w:t>
            </w:r>
          </w:p>
        </w:tc>
        <w:tc>
          <w:tcPr>
            <w:tcW w:w="1147" w:type="dxa"/>
          </w:tcPr>
          <w:p>
            <w:pPr>
              <w:pStyle w:val="Compact"/>
              <w:jc w:val="left"/>
              <w:jc w:val="center"/>
            </w:pPr>
            <w:r>
              <w:t xml:space="preserve">159,0 meses</w:t>
            </w:r>
          </w:p>
        </w:tc>
      </w:tr>
      <w:tr>
        <w:tc>
          <w:tcPr>
            <w:tcW w:w="1681" w:type="dxa"/>
          </w:tcPr>
          <w:p>
            <w:pPr>
              <w:pStyle w:val="Compact"/>
              <w:jc w:val="left"/>
              <w:jc w:val="center"/>
            </w:pPr>
            <w:r>
              <w:t xml:space="preserve">GSE20685</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327</w:t>
            </w:r>
          </w:p>
        </w:tc>
        <w:tc>
          <w:tcPr>
            <w:tcW w:w="1158" w:type="dxa"/>
          </w:tcPr>
          <w:p>
            <w:pPr>
              <w:pStyle w:val="Compact"/>
              <w:jc w:val="center"/>
              <w:jc w:val="center"/>
            </w:pPr>
            <w:r>
              <w:t xml:space="preserve">83 (25,4%)</w:t>
            </w:r>
          </w:p>
        </w:tc>
        <w:tc>
          <w:tcPr>
            <w:tcW w:w="1147" w:type="dxa"/>
          </w:tcPr>
          <w:p>
            <w:pPr>
              <w:pStyle w:val="Compact"/>
              <w:jc w:val="left"/>
              <w:jc w:val="center"/>
            </w:pPr>
            <w:r>
              <w:t xml:space="preserve">112,8 meses</w:t>
            </w:r>
          </w:p>
        </w:tc>
      </w:tr>
      <w:tr>
        <w:tc>
          <w:tcPr>
            <w:tcW w:w="1681" w:type="dxa"/>
          </w:tcPr>
          <w:p>
            <w:pPr>
              <w:pStyle w:val="Compact"/>
              <w:jc w:val="left"/>
              <w:jc w:val="center"/>
            </w:pPr>
            <w:r>
              <w:t xml:space="preserve">GSE1456</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159</w:t>
            </w:r>
          </w:p>
        </w:tc>
        <w:tc>
          <w:tcPr>
            <w:tcW w:w="1158" w:type="dxa"/>
          </w:tcPr>
          <w:p>
            <w:pPr>
              <w:pStyle w:val="Compact"/>
              <w:jc w:val="center"/>
              <w:jc w:val="center"/>
            </w:pPr>
            <w:r>
              <w:t xml:space="preserve">40 (25,2%)</w:t>
            </w:r>
          </w:p>
        </w:tc>
        <w:tc>
          <w:tcPr>
            <w:tcW w:w="1147" w:type="dxa"/>
          </w:tcPr>
          <w:p>
            <w:pPr>
              <w:pStyle w:val="Compact"/>
              <w:jc w:val="left"/>
              <w:jc w:val="center"/>
            </w:pPr>
            <w:r>
              <w:t xml:space="preserve">91,0 meses</w:t>
            </w:r>
          </w:p>
        </w:tc>
      </w:tr>
    </w:tbl>
    <w:bookmarkEnd w:id="57"/>
    <w:p/>
    <w:p>
      <w:pPr>
        <w:pStyle w:val="BodyText"/>
      </w:pPr>
      <w:r>
        <w:t xml:space="preserve"> </w:t>
      </w:r>
    </w:p>
    <w:p>
      <w:pPr>
        <w:jc w:val="left"/>
        <w:spacing w:before="200"/>
        <w:pStyle w:val="ImageCaption"/>
      </w:pPr>
      <w:bookmarkStart w:id="58" w:name="tbl-cohorts-pcr"/>
      <w:r>
        <w:t xml:space="preserve">Tabela 2 — Características das coortes neoadjuvantes (pCR)</w:t>
      </w:r>
    </w:p>
    <w:tbl>
      <w:tblPr>
        <w:tblStyle w:val="Table"/>
        <w:tblW w:type="dxa" w:w="8640"/>
        <w:tblLayout w:type="fixed"/>
        <w:tblLook w:firstRow="1" w:lastRow="0" w:firstColumn="0" w:lastColumn="0" w:noHBand="0" w:noVBand="0" w:val="0020"/>
      </w:tblPr>
      <w:tblGrid>
        <w:gridCol w:w="2267"/>
        <w:gridCol w:w="1583"/>
        <w:gridCol w:w="1708"/>
        <w:gridCol w:w="1484"/>
        <w:gridCol w:w="1598"/>
      </w:tblGrid>
      <w:tr>
        <w:trPr>
          <w:tblHeader w:val="on"/>
        </w:trPr>
        <w:tc>
          <w:tcPr>
            <w:tcW w:w="2267" w:type="dxa"/>
          </w:tcPr>
          <w:p>
            <w:pPr>
              <w:pStyle w:val="Compact"/>
              <w:jc w:val="left"/>
              <w:jc w:val="center"/>
            </w:pPr>
            <w:r>
              <w:t xml:space="preserve">Coorte</w:t>
            </w:r>
          </w:p>
        </w:tc>
        <w:tc>
          <w:tcPr>
            <w:tcW w:w="1583" w:type="dxa"/>
          </w:tcPr>
          <w:p>
            <w:pPr>
              <w:pStyle w:val="Compact"/>
              <w:jc w:val="left"/>
              <w:jc w:val="center"/>
            </w:pPr>
            <w:r>
              <w:t xml:space="preserve">Plataforma</w:t>
            </w:r>
          </w:p>
        </w:tc>
        <w:tc>
          <w:tcPr>
            <w:tcW w:w="1708" w:type="dxa"/>
          </w:tcPr>
          <w:p>
            <w:pPr>
              <w:pStyle w:val="Compact"/>
              <w:jc w:val="center"/>
              <w:jc w:val="center"/>
            </w:pPr>
            <w:r>
              <w:t xml:space="preserve">N (analisado)</w:t>
            </w:r>
          </w:p>
        </w:tc>
        <w:tc>
          <w:tcPr>
            <w:tcW w:w="1484" w:type="dxa"/>
          </w:tcPr>
          <w:p>
            <w:pPr>
              <w:pStyle w:val="Compact"/>
              <w:jc w:val="center"/>
              <w:jc w:val="center"/>
            </w:pPr>
            <w:r>
              <w:t xml:space="preserve">pCR n (%)</w:t>
            </w:r>
          </w:p>
        </w:tc>
        <w:tc>
          <w:tcPr>
            <w:tcW w:w="1598" w:type="dxa"/>
          </w:tcPr>
          <w:p>
            <w:pPr>
              <w:pStyle w:val="Compact"/>
              <w:jc w:val="left"/>
              <w:jc w:val="center"/>
            </w:pPr>
            <w:r>
              <w:t xml:space="preserve">Papel</w:t>
            </w:r>
          </w:p>
        </w:tc>
      </w:tr>
      <w:tr>
        <w:tc>
          <w:tcPr>
            <w:tcW w:w="2267" w:type="dxa"/>
          </w:tcPr>
          <w:p>
            <w:pPr>
              <w:pStyle w:val="Compact"/>
              <w:jc w:val="left"/>
              <w:jc w:val="center"/>
            </w:pPr>
            <w:r>
              <w:t xml:space="preserve">GSE25066</w:t>
            </w:r>
          </w:p>
        </w:tc>
        <w:tc>
          <w:tcPr>
            <w:tcW w:w="1583" w:type="dxa"/>
          </w:tcPr>
          <w:p>
            <w:pPr>
              <w:pStyle w:val="Compact"/>
              <w:jc w:val="left"/>
              <w:jc w:val="center"/>
            </w:pPr>
            <w:r>
              <w:t xml:space="preserve">HGU133A</w:t>
            </w:r>
          </w:p>
        </w:tc>
        <w:tc>
          <w:tcPr>
            <w:tcW w:w="1708" w:type="dxa"/>
          </w:tcPr>
          <w:p>
            <w:pPr>
              <w:pStyle w:val="Compact"/>
              <w:jc w:val="center"/>
              <w:jc w:val="center"/>
            </w:pPr>
            <w:r>
              <w:t xml:space="preserve">182</w:t>
            </w:r>
          </w:p>
        </w:tc>
        <w:tc>
          <w:tcPr>
            <w:tcW w:w="1484" w:type="dxa"/>
          </w:tcPr>
          <w:p>
            <w:pPr>
              <w:pStyle w:val="Compact"/>
              <w:jc w:val="center"/>
              <w:jc w:val="center"/>
            </w:pPr>
            <w:r>
              <w:t xml:space="preserve">42 (23,1%)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GSE20194</w:t>
            </w:r>
          </w:p>
        </w:tc>
        <w:tc>
          <w:tcPr>
            <w:tcW w:w="1583" w:type="dxa"/>
          </w:tcPr>
          <w:p>
            <w:pPr>
              <w:pStyle w:val="Compact"/>
              <w:jc w:val="left"/>
              <w:jc w:val="center"/>
            </w:pPr>
            <w:r>
              <w:t xml:space="preserve">HGU133Plus2</w:t>
            </w:r>
          </w:p>
        </w:tc>
        <w:tc>
          <w:tcPr>
            <w:tcW w:w="1708" w:type="dxa"/>
          </w:tcPr>
          <w:p>
            <w:pPr>
              <w:pStyle w:val="Compact"/>
              <w:jc w:val="center"/>
              <w:jc w:val="center"/>
            </w:pPr>
            <w:r>
              <w:t xml:space="preserve">278</w:t>
            </w:r>
          </w:p>
        </w:tc>
        <w:tc>
          <w:tcPr>
            <w:tcW w:w="1484" w:type="dxa"/>
          </w:tcPr>
          <w:p>
            <w:pPr>
              <w:pStyle w:val="Compact"/>
              <w:jc w:val="center"/>
              <w:jc w:val="center"/>
            </w:pPr>
            <w:r>
              <w:t xml:space="preserve">56 (20,1%)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GSE32646</w:t>
            </w:r>
          </w:p>
        </w:tc>
        <w:tc>
          <w:tcPr>
            <w:tcW w:w="1583" w:type="dxa"/>
          </w:tcPr>
          <w:p>
            <w:pPr>
              <w:pStyle w:val="Compact"/>
              <w:jc w:val="left"/>
              <w:jc w:val="center"/>
            </w:pPr>
            <w:r>
              <w:t xml:space="preserve">HGU133Plus2</w:t>
            </w:r>
          </w:p>
        </w:tc>
        <w:tc>
          <w:tcPr>
            <w:tcW w:w="1708" w:type="dxa"/>
          </w:tcPr>
          <w:p>
            <w:pPr>
              <w:pStyle w:val="Compact"/>
              <w:jc w:val="center"/>
              <w:jc w:val="center"/>
            </w:pPr>
            <w:r>
              <w:t xml:space="preserve">115</w:t>
            </w:r>
          </w:p>
        </w:tc>
        <w:tc>
          <w:tcPr>
            <w:tcW w:w="1484" w:type="dxa"/>
          </w:tcPr>
          <w:p>
            <w:pPr>
              <w:pStyle w:val="Compact"/>
              <w:jc w:val="center"/>
              <w:jc w:val="center"/>
            </w:pPr>
            <w:r>
              <w:t xml:space="preserve">27 (23,5%)</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I-SPY1 (GSE22226)</w:t>
            </w:r>
          </w:p>
        </w:tc>
        <w:tc>
          <w:tcPr>
            <w:tcW w:w="1583" w:type="dxa"/>
          </w:tcPr>
          <w:p>
            <w:pPr>
              <w:pStyle w:val="Compact"/>
              <w:jc w:val="left"/>
              <w:jc w:val="center"/>
            </w:pPr>
            <w:r>
              <w:rPr>
                <w:i/>
                <w:iCs/>
              </w:rPr>
              <w:t xml:space="preserve">Agilent</w:t>
            </w:r>
            <w:r>
              <w:t xml:space="preserve"> </w:t>
            </w:r>
            <w:r>
              <w:t xml:space="preserve">44K</w:t>
            </w:r>
          </w:p>
        </w:tc>
        <w:tc>
          <w:tcPr>
            <w:tcW w:w="1708" w:type="dxa"/>
          </w:tcPr>
          <w:p>
            <w:pPr>
              <w:pStyle w:val="Compact"/>
              <w:jc w:val="center"/>
              <w:jc w:val="center"/>
            </w:pPr>
            <w:r>
              <w:t xml:space="preserve">122</w:t>
            </w:r>
          </w:p>
        </w:tc>
        <w:tc>
          <w:tcPr>
            <w:tcW w:w="1484" w:type="dxa"/>
          </w:tcPr>
          <w:p>
            <w:pPr>
              <w:pStyle w:val="Compact"/>
              <w:jc w:val="center"/>
              <w:jc w:val="center"/>
            </w:pPr>
            <w:r>
              <w:t xml:space="preserve">32 (26,2%)</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I-SPY2 (GSE194040)</w:t>
            </w:r>
          </w:p>
        </w:tc>
        <w:tc>
          <w:tcPr>
            <w:tcW w:w="1583" w:type="dxa"/>
          </w:tcPr>
          <w:p>
            <w:pPr>
              <w:pStyle w:val="Compact"/>
              <w:jc w:val="left"/>
              <w:jc w:val="center"/>
            </w:pPr>
            <w:r>
              <w:rPr>
                <w:i/>
                <w:iCs/>
              </w:rPr>
              <w:t xml:space="preserve">RNA-seq</w:t>
            </w:r>
          </w:p>
        </w:tc>
        <w:tc>
          <w:tcPr>
            <w:tcW w:w="1708" w:type="dxa"/>
          </w:tcPr>
          <w:p>
            <w:pPr>
              <w:pStyle w:val="Compact"/>
              <w:jc w:val="center"/>
              <w:jc w:val="center"/>
            </w:pPr>
            <w:r>
              <w:t xml:space="preserve">986</w:t>
            </w:r>
          </w:p>
        </w:tc>
        <w:tc>
          <w:tcPr>
            <w:tcW w:w="1484" w:type="dxa"/>
          </w:tcPr>
          <w:p>
            <w:pPr>
              <w:pStyle w:val="Compact"/>
              <w:jc w:val="center"/>
              <w:jc w:val="center"/>
            </w:pPr>
            <w:r>
              <w:t xml:space="preserve">319 (32,4%)</w:t>
            </w:r>
          </w:p>
        </w:tc>
        <w:tc>
          <w:tcPr>
            <w:tcW w:w="1598" w:type="dxa"/>
          </w:tcPr>
          <w:p>
            <w:pPr>
              <w:pStyle w:val="Compact"/>
              <w:jc w:val="left"/>
              <w:jc w:val="center"/>
            </w:pPr>
            <w:r>
              <w:t xml:space="preserve">Exploratória</w:t>
            </w:r>
          </w:p>
        </w:tc>
      </w:tr>
    </w:tbl>
    <w:bookmarkEnd w:id="58"/>
    <w:p/>
    <w:bookmarkStart w:id="62" w:name="fig-fluxograma-coortes"/>
    <w:p>
      <w:pPr>
        <w:pStyle w:val="Compact"/>
        <w:jc w:val="center"/>
      </w:pPr>
      <w:r>
        <w:drawing>
          <wp:inline>
            <wp:extent cx="5399999" cy="4557235"/>
            <wp:effectExtent b="0" l="0" r="0" t="0"/>
            <wp:docPr descr="" title="" id="60" name="Picture"/>
            <a:graphic>
              <a:graphicData uri="http://schemas.openxmlformats.org/drawingml/2006/picture">
                <pic:pic>
                  <pic:nvPicPr>
                    <pic:cNvPr descr="../figures/didaticas/pt/png/B6_Fluxograma_Coortes_PT.png" id="61" name="Picture"/>
                    <pic:cNvPicPr>
                      <a:picLocks noChangeArrowheads="1" noChangeAspect="1"/>
                    </pic:cNvPicPr>
                  </pic:nvPicPr>
                  <pic:blipFill>
                    <a:blip r:embed="rId59"/>
                    <a:stretch>
                      <a:fillRect/>
                    </a:stretch>
                  </pic:blipFill>
                  <pic:spPr bwMode="auto">
                    <a:xfrm>
                      <a:off x="0" y="0"/>
                      <a:ext cx="5399999" cy="4557235"/>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2"/>
    <w:bookmarkEnd w:id="63"/>
    <w:bookmarkStart w:id="68"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00_config.R</w:t>
      </w:r>
      <w:r>
        <w:t xml:space="preserve"> </w:t>
      </w:r>
      <w:r>
        <w:t xml:space="preserve">do</w:t>
      </w:r>
      <w:r>
        <w:t xml:space="preserve"> </w:t>
      </w:r>
      <w:r>
        <w:rPr>
          <w:i/>
          <w:iCs/>
        </w:rPr>
        <w:t xml:space="preserve">pipeline</w:t>
      </w:r>
      <w:r>
        <w:t xml:space="preserve">) antes de qualquer análise substantiva. Essa pré-especificacao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4" w:name="tbl-freeze"/>
      <w:r>
        <w:t xml:space="preserve">Tabela 3 — Parâmetros analíticos congelados antes da análise</w:t>
      </w:r>
    </w:p>
    <w:tbl>
      <w:tblPr>
        <w:tblStyle w:val="Table"/>
        <w:tblW w:type="dxa" w:w="8640"/>
        <w:tblLayout w:type="fixed"/>
        <w:tblLook w:firstRow="1" w:lastRow="0" w:firstColumn="0" w:lastColumn="0" w:noHBand="0" w:noVBand="0" w:val="0020"/>
      </w:tblPr>
      <w:tblGrid>
        <w:gridCol w:w="2536"/>
        <w:gridCol w:w="2683"/>
        <w:gridCol w:w="3421"/>
      </w:tblGrid>
      <w:tr>
        <w:trPr>
          <w:tblHeader w:val="on"/>
        </w:trPr>
        <w:tc>
          <w:tcPr>
            <w:tcW w:w="2536" w:type="dxa"/>
          </w:tcPr>
          <w:p>
            <w:pPr>
              <w:pStyle w:val="Compact"/>
              <w:jc w:val="center"/>
            </w:pPr>
            <w:r>
              <w:t xml:space="preserve">Parâmetro</w:t>
            </w:r>
          </w:p>
        </w:tc>
        <w:tc>
          <w:tcPr>
            <w:tcW w:w="2683" w:type="dxa"/>
          </w:tcPr>
          <w:p>
            <w:pPr>
              <w:pStyle w:val="Compact"/>
              <w:jc w:val="center"/>
            </w:pPr>
            <w:r>
              <w:t xml:space="preserve">Valor</w:t>
            </w:r>
          </w:p>
        </w:tc>
        <w:tc>
          <w:tcPr>
            <w:tcW w:w="3421" w:type="dxa"/>
          </w:tcPr>
          <w:p>
            <w:pPr>
              <w:pStyle w:val="Compact"/>
              <w:jc w:val="center"/>
            </w:pPr>
            <w:r>
              <w:t xml:space="preserve">Justificativa</w:t>
            </w:r>
          </w:p>
        </w:tc>
      </w:tr>
      <w:tr>
        <w:tc>
          <w:tcPr>
            <w:tcW w:w="2536" w:type="dxa"/>
          </w:tcPr>
          <w:p>
            <w:pPr>
              <w:pStyle w:val="Compact"/>
              <w:jc w:val="center"/>
            </w:pPr>
            <w:r>
              <w:t xml:space="preserve">Margem de não inferioridade (Delta-</w:t>
            </w:r>
            <w:r>
              <w:rPr>
                <w:i/>
                <w:iCs/>
              </w:rPr>
              <w:t xml:space="preserve">C-index</w:t>
            </w:r>
            <w:r>
              <w:t xml:space="preserve">)</w:t>
            </w:r>
          </w:p>
        </w:tc>
        <w:tc>
          <w:tcPr>
            <w:tcW w:w="2683" w:type="dxa"/>
          </w:tcPr>
          <w:p>
            <w:pPr>
              <w:pStyle w:val="Compact"/>
              <w:jc w:val="center"/>
            </w:pPr>
            <w:r>
              <w:t xml:space="preserve">0,010</w:t>
            </w:r>
          </w:p>
        </w:tc>
        <w:tc>
          <w:tcPr>
            <w:tcW w:w="3421" w:type="dxa"/>
          </w:tcPr>
          <w:p>
            <w:pPr>
              <w:pStyle w:val="Compact"/>
              <w:jc w:val="center"/>
            </w:pPr>
            <w:r>
              <w:t xml:space="preserve">&lt; 1/2 EP do</w:t>
            </w:r>
            <w:r>
              <w:t xml:space="preserve"> </w:t>
            </w:r>
            <w:r>
              <w:rPr>
                <w:i/>
                <w:iCs/>
              </w:rPr>
              <w:t xml:space="preserve">C-index</w:t>
            </w:r>
            <w:r>
              <w:t xml:space="preserve"> </w:t>
            </w:r>
            <w:r>
              <w:t xml:space="preserve">OOF</w:t>
            </w:r>
          </w:p>
        </w:tc>
      </w:tr>
      <w:tr>
        <w:tc>
          <w:tcPr>
            <w:tcW w:w="2536"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683" w:type="dxa"/>
          </w:tcPr>
          <w:p>
            <w:pPr>
              <w:pStyle w:val="Compact"/>
              <w:jc w:val="center"/>
            </w:pPr>
            <w:r>
              <w:t xml:space="preserve">0,5</w:t>
            </w:r>
          </w:p>
        </w:tc>
        <w:tc>
          <w:tcPr>
            <w:tcW w:w="3421" w:type="dxa"/>
          </w:tcPr>
          <w:p>
            <w:pPr>
              <w:pStyle w:val="Compact"/>
              <w:jc w:val="center"/>
            </w:pPr>
            <w:r>
              <w:t xml:space="preserve">Balanço entre esparsidade (L1) e estabilidade de grupo (L2)</w:t>
            </w:r>
          </w:p>
        </w:tc>
      </w:tr>
      <w:tr>
        <w:tc>
          <w:tcPr>
            <w:tcW w:w="2536" w:type="dxa"/>
          </w:tcPr>
          <w:p>
            <w:pPr>
              <w:pStyle w:val="Compact"/>
              <w:jc w:val="center"/>
            </w:pPr>
            <w:r>
              <w:t xml:space="preserve">Folds de validação cruzada (K)</w:t>
            </w:r>
          </w:p>
        </w:tc>
        <w:tc>
          <w:tcPr>
            <w:tcW w:w="2683" w:type="dxa"/>
          </w:tcPr>
          <w:p>
            <w:pPr>
              <w:pStyle w:val="Compact"/>
              <w:jc w:val="center"/>
            </w:pPr>
            <w:r>
              <w:t xml:space="preserve">10</w:t>
            </w:r>
          </w:p>
        </w:tc>
        <w:tc>
          <w:tcPr>
            <w:tcW w:w="3421" w:type="dxa"/>
          </w:tcPr>
          <w:p>
            <w:pPr>
              <w:pStyle w:val="Compact"/>
              <w:jc w:val="center"/>
            </w:pPr>
            <w:r>
              <w:t xml:space="preserve">Padrão da literatura</w:t>
            </w:r>
          </w:p>
        </w:tc>
      </w:tr>
      <w:tr>
        <w:tc>
          <w:tcPr>
            <w:tcW w:w="2536" w:type="dxa"/>
          </w:tcPr>
          <w:p>
            <w:pPr>
              <w:pStyle w:val="Compact"/>
              <w:jc w:val="center"/>
            </w:pPr>
            <w:r>
              <w:t xml:space="preserve">Atribuição de</w:t>
            </w:r>
            <w:r>
              <w:t xml:space="preserve"> </w:t>
            </w:r>
            <w:r>
              <w:rPr>
                <w:i/>
                <w:iCs/>
              </w:rPr>
              <w:t xml:space="preserve">folds</w:t>
            </w:r>
          </w:p>
        </w:tc>
        <w:tc>
          <w:tcPr>
            <w:tcW w:w="2683" w:type="dxa"/>
          </w:tcPr>
          <w:p>
            <w:pPr>
              <w:pStyle w:val="Compact"/>
              <w:jc w:val="center"/>
            </w:pPr>
            <w:r>
              <w:t xml:space="preserve">Determinística: SHA-256 do ID do paciente</w:t>
            </w:r>
          </w:p>
        </w:tc>
        <w:tc>
          <w:tcPr>
            <w:tcW w:w="3421" w:type="dxa"/>
          </w:tcPr>
          <w:p>
            <w:pPr>
              <w:pStyle w:val="Compact"/>
              <w:jc w:val="center"/>
            </w:pPr>
            <w:r>
              <w:t xml:space="preserve">Reprodutibilidade exata</w:t>
            </w:r>
          </w:p>
        </w:tc>
      </w:tr>
      <w:tr>
        <w:tc>
          <w:tcPr>
            <w:tcW w:w="2536" w:type="dxa"/>
          </w:tcPr>
          <w:p>
            <w:pPr>
              <w:pStyle w:val="Compact"/>
              <w:jc w:val="center"/>
            </w:pPr>
            <w:r>
              <w:t xml:space="preserve">Estratificação de</w:t>
            </w:r>
            <w:r>
              <w:t xml:space="preserve"> </w:t>
            </w:r>
            <w:r>
              <w:rPr>
                <w:i/>
                <w:iCs/>
              </w:rPr>
              <w:t xml:space="preserve">folds</w:t>
            </w:r>
          </w:p>
        </w:tc>
        <w:tc>
          <w:tcPr>
            <w:tcW w:w="2683" w:type="dxa"/>
          </w:tcPr>
          <w:p>
            <w:pPr>
              <w:pStyle w:val="Compact"/>
              <w:jc w:val="center"/>
            </w:pPr>
            <w:r>
              <w:t xml:space="preserve">Por status de evento</w:t>
            </w:r>
          </w:p>
        </w:tc>
        <w:tc>
          <w:tcPr>
            <w:tcW w:w="3421" w:type="dxa"/>
          </w:tcPr>
          <w:p>
            <w:pPr>
              <w:pStyle w:val="Compact"/>
              <w:jc w:val="center"/>
            </w:pPr>
            <w:r>
              <w:t xml:space="preserve">Representatividade de eventos</w:t>
            </w:r>
          </w:p>
        </w:tc>
      </w:tr>
      <w:tr>
        <w:tc>
          <w:tcPr>
            <w:tcW w:w="2536" w:type="dxa"/>
          </w:tcPr>
          <w:p>
            <w:pPr>
              <w:pStyle w:val="Compact"/>
              <w:jc w:val="center"/>
            </w:pPr>
            <w:r>
              <w:t xml:space="preserve">Cobertura mínima de genes</w:t>
            </w:r>
          </w:p>
        </w:tc>
        <w:tc>
          <w:tcPr>
            <w:tcW w:w="2683" w:type="dxa"/>
          </w:tcPr>
          <w:p>
            <w:pPr>
              <w:pStyle w:val="Compact"/>
              <w:jc w:val="center"/>
            </w:pPr>
            <w:r>
              <w:t xml:space="preserve">80% dos 24 genes CorePAM</w:t>
            </w:r>
          </w:p>
        </w:tc>
        <w:tc>
          <w:tcPr>
            <w:tcW w:w="3421" w:type="dxa"/>
          </w:tcPr>
          <w:p>
            <w:pPr>
              <w:pStyle w:val="Compact"/>
              <w:jc w:val="center"/>
            </w:pPr>
            <w:r>
              <w:t xml:space="preserve">Equilibrio inclusividade/integridade</w:t>
            </w:r>
          </w:p>
        </w:tc>
      </w:tr>
      <w:tr>
        <w:tc>
          <w:tcPr>
            <w:tcW w:w="2536" w:type="dxa"/>
          </w:tcPr>
          <w:p>
            <w:pPr>
              <w:pStyle w:val="Compact"/>
              <w:jc w:val="center"/>
            </w:pPr>
            <w:r>
              <w:t xml:space="preserve">Número de genes</w:t>
            </w:r>
          </w:p>
        </w:tc>
        <w:tc>
          <w:tcPr>
            <w:tcW w:w="2683" w:type="dxa"/>
          </w:tcPr>
          <w:p>
            <w:pPr>
              <w:pStyle w:val="Compact"/>
              <w:jc w:val="center"/>
            </w:pPr>
            <w:r>
              <w:rPr>
                <w:b/>
                <w:bCs/>
              </w:rPr>
              <w:t xml:space="preserve">Não pré-especificado</w:t>
            </w:r>
          </w:p>
        </w:tc>
        <w:tc>
          <w:tcPr>
            <w:tcW w:w="3421" w:type="dxa"/>
          </w:tcPr>
          <w:p>
            <w:pPr>
              <w:pStyle w:val="Compact"/>
              <w:jc w:val="center"/>
            </w:pPr>
            <w:r>
              <w:t xml:space="preserve">Resultado da análise, não parâmetro</w:t>
            </w:r>
          </w:p>
        </w:tc>
      </w:tr>
    </w:tbl>
    <w:bookmarkEnd w:id="64"/>
    <w:p/>
    <w:bookmarkStart w:id="65"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e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5"/>
    <w:bookmarkStart w:id="66"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4"/>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4"/>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4"/>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e aproximadamente uniforme mesmo com N moderado (N = 3 069 no SCAN-B produz</w:t>
      </w:r>
      <w:r>
        <w:t xml:space="preserve"> </w:t>
      </w:r>
      <w:r>
        <w:rPr>
          <w:i/>
          <w:iCs/>
        </w:rPr>
        <w:t xml:space="preserve">folds</w:t>
      </w:r>
      <w:r>
        <w:t xml:space="preserve"> </w:t>
      </w:r>
      <w:r>
        <w:t xml:space="preserve">de tamanhos entre 295 e 320).</w:t>
      </w:r>
    </w:p>
    <w:bookmarkEnd w:id="66"/>
    <w:bookmarkStart w:id="67"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7"/>
    <w:bookmarkEnd w:id="68"/>
    <w:bookmarkStart w:id="72"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realistico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34</w:t>
      </w:r>
      <w:r>
        <w:t xml:space="preserve">.</w:t>
      </w:r>
    </w:p>
    <w:bookmarkStart w:id="69"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69"/>
    <w:bookmarkStart w:id="71"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0" w:name="tbl-gene-coverage"/>
      <w:r>
        <w:t xml:space="preserve">Tabela 4 — Cobertura de genes CorePAM por coorte de validação</w:t>
      </w:r>
    </w:p>
    <w:tbl>
      <w:tblPr>
        <w:tblStyle w:val="Table"/>
        <w:tblW w:type="dxa" w:w="8640"/>
        <w:tblLayout w:type="fixed"/>
        <w:tblLook w:firstRow="1" w:lastRow="0" w:firstColumn="0" w:lastColumn="0" w:noHBand="0" w:noVBand="0" w:val="0020"/>
      </w:tblPr>
      <w:tblGrid>
        <w:gridCol w:w="1135"/>
        <w:gridCol w:w="2185"/>
        <w:gridCol w:w="1739"/>
        <w:gridCol w:w="1538"/>
        <w:gridCol w:w="2043"/>
      </w:tblGrid>
      <w:tr>
        <w:trPr>
          <w:tblHeader w:val="on"/>
        </w:trPr>
        <w:tc>
          <w:tcPr>
            <w:tcW w:w="1135" w:type="dxa"/>
          </w:tcPr>
          <w:p>
            <w:pPr>
              <w:pStyle w:val="Compact"/>
              <w:jc w:val="center"/>
            </w:pPr>
            <w:r>
              <w:t xml:space="preserve">Coorte</w:t>
            </w:r>
          </w:p>
        </w:tc>
        <w:tc>
          <w:tcPr>
            <w:tcW w:w="2185" w:type="dxa"/>
          </w:tcPr>
          <w:p>
            <w:pPr>
              <w:pStyle w:val="Compact"/>
              <w:jc w:val="center"/>
            </w:pPr>
            <w:r>
              <w:t xml:space="preserve">Plataforma</w:t>
            </w:r>
          </w:p>
        </w:tc>
        <w:tc>
          <w:tcPr>
            <w:tcW w:w="1739" w:type="dxa"/>
          </w:tcPr>
          <w:p>
            <w:pPr>
              <w:pStyle w:val="Compact"/>
              <w:jc w:val="center"/>
            </w:pPr>
            <w:r>
              <w:t xml:space="preserve">Genes presentes</w:t>
            </w:r>
          </w:p>
        </w:tc>
        <w:tc>
          <w:tcPr>
            <w:tcW w:w="1538" w:type="dxa"/>
          </w:tcPr>
          <w:p>
            <w:pPr>
              <w:pStyle w:val="Compact"/>
              <w:jc w:val="center"/>
            </w:pPr>
            <w:r>
              <w:t xml:space="preserve">Cobertura (%)</w:t>
            </w:r>
          </w:p>
        </w:tc>
        <w:tc>
          <w:tcPr>
            <w:tcW w:w="2043" w:type="dxa"/>
          </w:tcPr>
          <w:p>
            <w:pPr>
              <w:pStyle w:val="Compact"/>
              <w:jc w:val="center"/>
            </w:pPr>
            <w:r>
              <w:t xml:space="preserve">Genes ausentes</w:t>
            </w:r>
          </w:p>
        </w:tc>
      </w:tr>
      <w:tr>
        <w:tc>
          <w:tcPr>
            <w:tcW w:w="1135" w:type="dxa"/>
          </w:tcPr>
          <w:p>
            <w:pPr>
              <w:pStyle w:val="Compact"/>
              <w:jc w:val="center"/>
            </w:pPr>
            <w:r>
              <w:t xml:space="preserve">SCAN-B</w:t>
            </w:r>
          </w:p>
        </w:tc>
        <w:tc>
          <w:tcPr>
            <w:tcW w:w="2185" w:type="dxa"/>
          </w:tcPr>
          <w:p>
            <w:pPr>
              <w:pStyle w:val="Compact"/>
              <w:jc w:val="center"/>
            </w:pPr>
            <w:r>
              <w:rPr>
                <w:i/>
                <w:iCs/>
              </w:rPr>
              <w:t xml:space="preserve">RNA-seq</w:t>
            </w:r>
            <w:r>
              <w:t xml:space="preserve"> </w:t>
            </w:r>
            <w:r>
              <w:rPr>
                <w:i/>
                <w:iCs/>
              </w:rPr>
              <w:t xml:space="preserve">Illumina</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TCGA-BRCA</w:t>
            </w:r>
          </w:p>
        </w:tc>
        <w:tc>
          <w:tcPr>
            <w:tcW w:w="2185" w:type="dxa"/>
          </w:tcPr>
          <w:p>
            <w:pPr>
              <w:pStyle w:val="Compact"/>
              <w:jc w:val="center"/>
            </w:pPr>
            <w:r>
              <w:rPr>
                <w:i/>
                <w:iCs/>
              </w:rPr>
              <w:t xml:space="preserve">RNA-seq</w:t>
            </w:r>
            <w:r>
              <w:t xml:space="preserve"> </w:t>
            </w:r>
            <w:r>
              <w:t xml:space="preserve">STAR/GDC</w:t>
            </w:r>
          </w:p>
        </w:tc>
        <w:tc>
          <w:tcPr>
            <w:tcW w:w="1739" w:type="dxa"/>
          </w:tcPr>
          <w:p>
            <w:pPr>
              <w:pStyle w:val="Compact"/>
              <w:jc w:val="center"/>
            </w:pPr>
            <w:r>
              <w:t xml:space="preserve">23/24</w:t>
            </w:r>
          </w:p>
        </w:tc>
        <w:tc>
          <w:tcPr>
            <w:tcW w:w="1538" w:type="dxa"/>
          </w:tcPr>
          <w:p>
            <w:pPr>
              <w:pStyle w:val="Compact"/>
              <w:jc w:val="center"/>
            </w:pPr>
            <w:r>
              <w:t xml:space="preserve">95,8</w:t>
            </w:r>
          </w:p>
        </w:tc>
        <w:tc>
          <w:tcPr>
            <w:tcW w:w="2043" w:type="dxa"/>
          </w:tcPr>
          <w:p>
            <w:pPr>
              <w:pStyle w:val="Compact"/>
              <w:jc w:val="center"/>
            </w:pPr>
            <w:r>
              <w:t xml:space="preserve">MIA</w:t>
            </w:r>
          </w:p>
        </w:tc>
      </w:tr>
      <w:tr>
        <w:tc>
          <w:tcPr>
            <w:tcW w:w="1135" w:type="dxa"/>
          </w:tcPr>
          <w:p>
            <w:pPr>
              <w:pStyle w:val="Compact"/>
              <w:jc w:val="center"/>
            </w:pPr>
            <w:r>
              <w:t xml:space="preserve">METABRIC</w:t>
            </w:r>
          </w:p>
        </w:tc>
        <w:tc>
          <w:tcPr>
            <w:tcW w:w="2185" w:type="dxa"/>
          </w:tcPr>
          <w:p>
            <w:pPr>
              <w:pStyle w:val="Compact"/>
              <w:jc w:val="center"/>
            </w:pPr>
            <w:r>
              <w:rPr>
                <w:i/>
                <w:iCs/>
              </w:rPr>
              <w:t xml:space="preserve">Illumina</w:t>
            </w:r>
            <w:r>
              <w:t xml:space="preserve"> </w:t>
            </w:r>
            <w:r>
              <w:t xml:space="preserve">HT-12</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GSE20685</w:t>
            </w:r>
          </w:p>
        </w:tc>
        <w:tc>
          <w:tcPr>
            <w:tcW w:w="2185" w:type="dxa"/>
          </w:tcPr>
          <w:p>
            <w:pPr>
              <w:pStyle w:val="Compact"/>
              <w:jc w:val="center"/>
            </w:pPr>
            <w:r>
              <w:rPr>
                <w:i/>
                <w:iCs/>
              </w:rPr>
              <w:t xml:space="preserve">Affymetrix</w:t>
            </w:r>
            <w:r>
              <w:t xml:space="preserve"> </w:t>
            </w:r>
            <w:r>
              <w:t xml:space="preserve">HG-U133+</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GSE1456</w:t>
            </w:r>
          </w:p>
        </w:tc>
        <w:tc>
          <w:tcPr>
            <w:tcW w:w="2185" w:type="dxa"/>
          </w:tcPr>
          <w:p>
            <w:pPr>
              <w:pStyle w:val="Compact"/>
              <w:jc w:val="center"/>
            </w:pPr>
            <w:r>
              <w:rPr>
                <w:i/>
                <w:iCs/>
              </w:rPr>
              <w:t xml:space="preserve">Affymetrix</w:t>
            </w:r>
            <w:r>
              <w:t xml:space="preserve"> </w:t>
            </w:r>
            <w:r>
              <w:t xml:space="preserve">HGU133A</w:t>
            </w:r>
          </w:p>
        </w:tc>
        <w:tc>
          <w:tcPr>
            <w:tcW w:w="1739" w:type="dxa"/>
          </w:tcPr>
          <w:p>
            <w:pPr>
              <w:pStyle w:val="Compact"/>
              <w:jc w:val="center"/>
            </w:pPr>
            <w:r>
              <w:t xml:space="preserve">21/24</w:t>
            </w:r>
          </w:p>
        </w:tc>
        <w:tc>
          <w:tcPr>
            <w:tcW w:w="1538" w:type="dxa"/>
          </w:tcPr>
          <w:p>
            <w:pPr>
              <w:pStyle w:val="Compact"/>
              <w:jc w:val="center"/>
            </w:pPr>
            <w:r>
              <w:t xml:space="preserve">87,5</w:t>
            </w:r>
          </w:p>
        </w:tc>
        <w:tc>
          <w:tcPr>
            <w:tcW w:w="2043" w:type="dxa"/>
          </w:tcPr>
          <w:p>
            <w:pPr>
              <w:pStyle w:val="Compact"/>
              <w:jc w:val="center"/>
            </w:pPr>
            <w:r>
              <w:t xml:space="preserve">GPR160, CXXC5, KRT17</w:t>
            </w:r>
          </w:p>
        </w:tc>
      </w:tr>
    </w:tbl>
    <w:bookmarkEnd w:id="70"/>
    <w:p/>
    <w:bookmarkEnd w:id="71"/>
    <w:bookmarkEnd w:id="72"/>
    <w:bookmarkStart w:id="81" w:name="derivação-do-corepam"/>
    <w:p>
      <w:pPr>
        <w:pStyle w:val="Heading2"/>
      </w:pPr>
      <w:r>
        <w:t xml:space="preserve">3.5 Derivação do CorePAM</w:t>
      </w:r>
    </w:p>
    <w:p>
      <w:pPr>
        <w:pStyle w:val="Compact"/>
        <w:jc w:val="center"/>
      </w:pPr>
      <w:bookmarkStart w:id="76" w:name="fig-derivacao"/>
      <w:r>
        <w:drawing>
          <wp:inline>
            <wp:extent cx="5399999" cy="4928210"/>
            <wp:effectExtent b="0" l="0" r="0" t="0"/>
            <wp:docPr descr="" title="" id="74" name="Picture"/>
            <a:graphic>
              <a:graphicData uri="http://schemas.openxmlformats.org/drawingml/2006/picture">
                <pic:pic>
                  <pic:nvPicPr>
                    <pic:cNvPr descr="../figures/didaticas/pt/png/B9_Derivacao_CorePAM_PT.png" id="75" name="Picture"/>
                    <pic:cNvPicPr>
                      <a:picLocks noChangeArrowheads="1" noChangeAspect="1"/>
                    </pic:cNvPicPr>
                  </pic:nvPicPr>
                  <pic:blipFill>
                    <a:blip r:embed="rId73"/>
                    <a:stretch>
                      <a:fillRect/>
                    </a:stretch>
                  </pic:blipFill>
                  <pic:spPr bwMode="auto">
                    <a:xfrm>
                      <a:off x="0" y="0"/>
                      <a:ext cx="5399999" cy="4928210"/>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6"/>
    <w:bookmarkStart w:id="77"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w:t>
      </w:r>
      <w:r>
        <w:t xml:space="preserve"> </w:t>
      </w:r>
      <w:r>
        <w:rPr>
          <w:i/>
          <w:iCs/>
        </w:rPr>
        <w:t xml:space="preserve">elastic-net</w:t>
      </w:r>
      <w:r>
        <w:t xml:space="preserve"> </w:t>
      </w:r>
      <w:r>
        <w:t xml:space="preserve">combina o modelo de riscos proporcionais de Cox com penalização</w:t>
      </w:r>
      <w:r>
        <w:t xml:space="preserve"> </w:t>
      </w:r>
      <w:r>
        <w:rPr>
          <w:i/>
          <w:iCs/>
        </w:rPr>
        <w:t xml:space="preserve">elastic-net</w:t>
      </w:r>
      <w:r>
        <w:t xml:space="preserve"> </w:t>
      </w:r>
      <w:r>
        <w:t xml:space="preserve">sobre os coeficientes</w:t>
      </w:r>
      <w:r>
        <w:t xml:space="preserve"> </w:t>
      </w:r>
      <w:r>
        <w:rPr>
          <w:vertAlign w:val="superscript"/>
        </w:rPr>
        <w:t xml:space="preserve">52</w:t>
      </w:r>
      <w:r>
        <w:t xml:space="preserve">–</w:t>
      </w:r>
      <w:r>
        <w:rPr>
          <w:vertAlign w:val="superscript"/>
        </w:rPr>
        <w:t xml:space="preserve">56</w:t>
      </w:r>
      <w:r>
        <w:t xml:space="preserve">. A penalização</w:t>
      </w:r>
      <w:r>
        <w:t xml:space="preserve"> </w:t>
      </w:r>
      <w:r>
        <w:rPr>
          <w:i/>
          <w:iCs/>
        </w:rPr>
        <w:t xml:space="preserve">elastic-net</w:t>
      </w:r>
      <w:r>
        <w:t xml:space="preserve"> </w:t>
      </w:r>
      <w:r>
        <w:t xml:space="preserve">adiciona à log-verossimilhança parcial de Cox dois termos que penalizam a magnitude dos coeficientes: um termo proporcional à soma dos valores absolutos (penalidade L1, ou</w:t>
      </w:r>
      <w:r>
        <w:t xml:space="preserve"> </w:t>
      </w:r>
      <w:r>
        <w:rPr>
          <w:i/>
          <w:iCs/>
        </w:rPr>
        <w:t xml:space="preserve">lasso</w:t>
      </w:r>
      <w:r>
        <w:t xml:space="preserve">) e outro proporcional à soma dos quadrados (penalidade L2, ou</w:t>
      </w:r>
      <w:r>
        <w:t xml:space="preserve"> </w:t>
      </w:r>
      <w:r>
        <w:rPr>
          <w:i/>
          <w:iCs/>
        </w:rPr>
        <w:t xml:space="preserve">ridge</w:t>
      </w:r>
      <w:r>
        <w:t xml:space="preserve">). Dois parâmetros controlam o comportamento: um parâmetro global de regularização (</w:t>
      </w:r>
      <w:r>
        <w:rPr>
          <w:i/>
          <w:iCs/>
        </w:rPr>
        <w:t xml:space="preserve">lambda</w:t>
      </w:r>
      <w:r>
        <w:t xml:space="preserve">) define a intensidade total da penalização, e um parâmetro de mistura (</w:t>
      </w:r>
      <w:r>
        <w:rPr>
          <w:i/>
          <w:iCs/>
        </w:rPr>
        <w:t xml:space="preserve">alpha</w:t>
      </w:r>
      <w:r>
        <w:t xml:space="preserve">, entre 0 e 1) define o balanço entre as duas penalidades. Quando</w:t>
      </w:r>
      <w:r>
        <w:t xml:space="preserve"> </w:t>
      </w:r>
      <w:r>
        <w:rPr>
          <w:i/>
          <w:iCs/>
        </w:rPr>
        <w:t xml:space="preserve">alpha</w:t>
      </w:r>
      <w:r>
        <w:t xml:space="preserve"> </w:t>
      </w:r>
      <w:r>
        <w:t xml:space="preserve">= 1 a penalização é exclusivamente L1 (</w:t>
      </w:r>
      <w:r>
        <w:rPr>
          <w:i/>
          <w:iCs/>
        </w:rPr>
        <w:t xml:space="preserve">lasso</w:t>
      </w:r>
      <w:r>
        <w:t xml:space="preserve"> </w:t>
      </w:r>
      <w:r>
        <w:t xml:space="preserve">puro); quando</w:t>
      </w:r>
      <w:r>
        <w:t xml:space="preserve"> </w:t>
      </w:r>
      <w:r>
        <w:rPr>
          <w:i/>
          <w:iCs/>
        </w:rPr>
        <w:t xml:space="preserve">alpha</w:t>
      </w:r>
      <w:r>
        <w:t xml:space="preserve"> </w:t>
      </w:r>
      <w:r>
        <w:t xml:space="preserve">= 0 é exclusivamente L2 (</w:t>
      </w:r>
      <w:r>
        <w:rPr>
          <w:i/>
          <w:iCs/>
        </w:rPr>
        <w:t xml:space="preserve">ridge</w:t>
      </w:r>
      <w:r>
        <w:t xml:space="preserve"> </w:t>
      </w:r>
      <w:r>
        <w:t xml:space="preserve">puro).</w:t>
      </w:r>
    </w:p>
    <w:p>
      <w:pPr>
        <w:pStyle w:val="BodyText"/>
      </w:pPr>
      <w:r>
        <w:t xml:space="preserve">A escolha de</w:t>
      </w:r>
      <w:r>
        <w:t xml:space="preserve"> </w:t>
      </w:r>
      <w:r>
        <w:rPr>
          <w:b/>
          <w:bCs/>
          <w:i/>
          <w:iCs/>
        </w:rPr>
        <w:t xml:space="preserve">alpha</w:t>
      </w:r>
      <w:r>
        <w:rPr>
          <w:b/>
          <w:bCs/>
        </w:rPr>
        <w:t xml:space="preserve"> </w:t>
      </w:r>
      <w:r>
        <w:rPr>
          <w:b/>
          <w:bCs/>
        </w:rPr>
        <w:t xml:space="preserve">= 0,5</w:t>
      </w:r>
      <w:r>
        <w:t xml:space="preserve"> </w:t>
      </w:r>
      <w:r>
        <w:t xml:space="preserve">como ponto congelado deste estudo reflete compromisso deliberado entre três objetivos que um método puro não conseguiria simultaneamente:</w:t>
      </w:r>
    </w:p>
    <w:p>
      <w:pPr>
        <w:pStyle w:val="Compact"/>
        <w:numPr>
          <w:ilvl w:val="0"/>
          <w:numId w:val="1005"/>
        </w:numPr>
      </w:pPr>
      <w:r>
        <w:rPr>
          <w:b/>
          <w:bCs/>
        </w:rPr>
        <w:t xml:space="preserve">Esparsidade moderada:</w:t>
      </w:r>
      <w:r>
        <w:t xml:space="preserve"> </w:t>
      </w:r>
      <w:r>
        <w:t xml:space="preserve">a penalidade L1 eleva coeficientes pequenos a zero, produzindo seleção explícita de variáveis. Sem está propriedade, o modelo incluiria todos os 50 genes com pesos pequenos, anulando o objetivo de parcimônia.</w:t>
      </w:r>
    </w:p>
    <w:p>
      <w:pPr>
        <w:pStyle w:val="Compact"/>
        <w:numPr>
          <w:ilvl w:val="0"/>
          <w:numId w:val="1005"/>
        </w:numPr>
      </w:pPr>
      <w:r>
        <w:rPr>
          <w:b/>
          <w:bCs/>
        </w:rPr>
        <w:t xml:space="preserve">Estabilidade de grupo:</w:t>
      </w:r>
      <w:r>
        <w:t xml:space="preserve"> </w:t>
      </w:r>
      <w:r>
        <w:t xml:space="preserve">a penalidade L2 mantém coeficientes correlacionados juntos no modelo. No PAM50, vários genes de um mesmo módulo biológico (proliferação, diferenciação luminal) são fortemente correlacionados; um</w:t>
      </w:r>
      <w:r>
        <w:t xml:space="preserve"> </w:t>
      </w:r>
      <w:r>
        <w:rPr>
          <w:i/>
          <w:iCs/>
        </w:rPr>
        <w:t xml:space="preserve">lasso</w:t>
      </w:r>
      <w:r>
        <w:t xml:space="preserve"> </w:t>
      </w:r>
      <w:r>
        <w:t xml:space="preserve">puro (</w:t>
      </w:r>
      <w:r>
        <w:rPr>
          <w:i/>
          <w:iCs/>
        </w:rPr>
        <w:t xml:space="preserve">alpha</w:t>
      </w:r>
      <w:r>
        <w:t xml:space="preserve"> </w:t>
      </w:r>
      <w:r>
        <w:t xml:space="preserve">= 1) selecionaria arbitrariamente um representante do grupo e descartaria os outros, gerando instabilidade entre reamostras. A mistura 50/50 preserva grupos correlacionados inteiros quando seu sinal agregado e informativo.</w:t>
      </w:r>
    </w:p>
    <w:p>
      <w:pPr>
        <w:pStyle w:val="Compact"/>
        <w:numPr>
          <w:ilvl w:val="0"/>
          <w:numId w:val="1005"/>
        </w:numPr>
      </w:pPr>
      <w:r>
        <w:rPr>
          <w:b/>
          <w:bCs/>
        </w:rPr>
        <w:t xml:space="preserve">Regularização suficiente sob alta colinearidade:</w:t>
      </w:r>
      <w:r>
        <w:t xml:space="preserve"> </w:t>
      </w:r>
      <w:r>
        <w:t xml:space="preserve">com 50 preditores e N ≈ 3 000, o</w:t>
      </w:r>
      <w:r>
        <w:t xml:space="preserve"> </w:t>
      </w:r>
      <w:r>
        <w:rPr>
          <w:i/>
          <w:iCs/>
        </w:rPr>
        <w:t xml:space="preserve">lasso</w:t>
      </w:r>
      <w:r>
        <w:t xml:space="preserve"> </w:t>
      </w:r>
      <w:r>
        <w:t xml:space="preserve">puro é conhecido por apresentar saltos abruptos no caminho de regularização em cenários de alta colinearidade. A mistura estabiliza o caminho.</w:t>
      </w:r>
    </w:p>
    <w:p>
      <w:pPr>
        <w:pStyle w:val="FirstParagraph"/>
      </w:pPr>
      <w:r>
        <w:t xml:space="preserve">O parâmetro</w:t>
      </w:r>
      <w:r>
        <w:t xml:space="preserve"> </w:t>
      </w:r>
      <w:r>
        <w:rPr>
          <w:i/>
          <w:iCs/>
        </w:rPr>
        <w:t xml:space="preserve">lambda</w:t>
      </w:r>
      <w:r>
        <w:t xml:space="preserve"> </w:t>
      </w:r>
      <w:r>
        <w:t xml:space="preserve">não foi congelado em valor único: o procedimento de derivação percorreu uma grade de 100 valores em escala logarítmica, avaliando o desempenho</w:t>
      </w:r>
      <w:r>
        <w:t xml:space="preserve"> </w:t>
      </w:r>
      <w:r>
        <w:rPr>
          <w:i/>
          <w:iCs/>
        </w:rPr>
        <w:t xml:space="preserve">out-of-fold</w:t>
      </w:r>
      <w:r>
        <w:t xml:space="preserve"> </w:t>
      </w:r>
      <w:r>
        <w:t xml:space="preserve">em cada ponto e selecionando a combinação (df,</w:t>
      </w:r>
      <w:r>
        <w:t xml:space="preserve"> </w:t>
      </w:r>
      <w:r>
        <w:rPr>
          <w:i/>
          <w:iCs/>
        </w:rPr>
        <w:t xml:space="preserve">lambda</w:t>
      </w:r>
      <w:r>
        <w:t xml:space="preserve">) com o menor número de graus de liberdade satisfazendo o critério de não inferioridade.</w:t>
      </w:r>
    </w:p>
    <w:bookmarkEnd w:id="77"/>
    <w:bookmarkStart w:id="78"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foi avaliado por</w:t>
      </w:r>
      <w:r>
        <w:t xml:space="preserve"> </w:t>
      </w:r>
      <w:r>
        <w:rPr>
          <w:b/>
          <w:bCs/>
        </w:rPr>
        <w:t xml:space="preserve">validação cruzada determinística de 10 folds</w:t>
      </w:r>
      <w:r>
        <w:t xml:space="preserve">, com atribuição de</w:t>
      </w:r>
      <w:r>
        <w:t xml:space="preserve"> </w:t>
      </w:r>
      <w:r>
        <w:rPr>
          <w:i/>
          <w:iCs/>
        </w:rPr>
        <w:t xml:space="preserve">folds</w:t>
      </w:r>
      <w:r>
        <w:t xml:space="preserve"> </w:t>
      </w:r>
      <w:r>
        <w:t xml:space="preserve">descrita acima. Para cada valor da grade de regularização, a cada iteração (k = 1..10):</w:t>
      </w:r>
    </w:p>
    <w:p>
      <w:pPr>
        <w:pStyle w:val="Compact"/>
        <w:numPr>
          <w:ilvl w:val="0"/>
          <w:numId w:val="1006"/>
        </w:numPr>
      </w:pPr>
      <w:r>
        <w:t xml:space="preserve">Ajusta-se o modelo Cox</w:t>
      </w:r>
      <w:r>
        <w:t xml:space="preserve"> </w:t>
      </w:r>
      <w:r>
        <w:rPr>
          <w:i/>
          <w:iCs/>
        </w:rPr>
        <w:t xml:space="preserve">elastic-net</w:t>
      </w:r>
      <w:r>
        <w:t xml:space="preserve"> </w:t>
      </w:r>
      <w:r>
        <w:t xml:space="preserve">na partição de treino (nove</w:t>
      </w:r>
      <w:r>
        <w:t xml:space="preserve"> </w:t>
      </w:r>
      <w:r>
        <w:rPr>
          <w:i/>
          <w:iCs/>
        </w:rPr>
        <w:t xml:space="preserve">folds</w:t>
      </w:r>
      <w:r>
        <w:t xml:space="preserve">).</w:t>
      </w:r>
    </w:p>
    <w:p>
      <w:pPr>
        <w:pStyle w:val="Compact"/>
        <w:numPr>
          <w:ilvl w:val="0"/>
          <w:numId w:val="1006"/>
        </w:numPr>
      </w:pPr>
      <w:r>
        <w:t xml:space="preserve">Computam-se as predições para cada amostra do</w:t>
      </w:r>
      <w:r>
        <w:t xml:space="preserve"> </w:t>
      </w:r>
      <w:r>
        <w:rPr>
          <w:i/>
          <w:iCs/>
        </w:rPr>
        <w:t xml:space="preserve">fold</w:t>
      </w:r>
      <w:r>
        <w:t xml:space="preserve"> </w:t>
      </w:r>
      <w:r>
        <w:t xml:space="preserve">excluído.</w:t>
      </w:r>
    </w:p>
    <w:p>
      <w:pPr>
        <w:pStyle w:val="Compact"/>
        <w:numPr>
          <w:ilvl w:val="0"/>
          <w:numId w:val="1006"/>
        </w:numPr>
      </w:pPr>
      <w:r>
        <w:t xml:space="preserve">As predições</w:t>
      </w:r>
      <w:r>
        <w:t xml:space="preserve"> </w:t>
      </w:r>
      <w:r>
        <w:rPr>
          <w:i/>
          <w:iCs/>
        </w:rPr>
        <w:t xml:space="preserve">out-of-fold</w:t>
      </w:r>
      <w:r>
        <w:t xml:space="preserve"> </w:t>
      </w:r>
      <w:r>
        <w:t xml:space="preserve">das dez iterações são concatenadas em um vetor único de tamanho N.</w:t>
      </w:r>
    </w:p>
    <w:p>
      <w:pPr>
        <w:pStyle w:val="FirstParagraph"/>
      </w:pPr>
      <w:r>
        <w:t xml:space="preserve">O</w:t>
      </w:r>
      <w:r>
        <w:t xml:space="preserve"> </w:t>
      </w:r>
      <w:r>
        <w:rPr>
          <w:i/>
          <w:iCs/>
        </w:rPr>
        <w:t xml:space="preserve">C-index</w:t>
      </w:r>
      <w:r>
        <w:t xml:space="preserve"> </w:t>
      </w:r>
      <w:r>
        <w:rPr>
          <w:i/>
          <w:iCs/>
        </w:rPr>
        <w:t xml:space="preserve">out-of-fold</w:t>
      </w:r>
      <w:r>
        <w:t xml:space="preserve"> </w:t>
      </w:r>
      <w:r>
        <w:t xml:space="preserve">final é calculado uma única vez sobre esse vetor concatenado, junto ao par de tempo-evento observado. Esta abordagem é distinta — e preferível a — média de</w:t>
      </w:r>
      <w:r>
        <w:t xml:space="preserve"> </w:t>
      </w:r>
      <w:r>
        <w:rPr>
          <w:i/>
          <w:iCs/>
        </w:rPr>
        <w:t xml:space="preserve">C-index</w:t>
      </w:r>
      <w:r>
        <w:t xml:space="preserve"> </w:t>
      </w:r>
      <w:r>
        <w:t xml:space="preserve">por</w:t>
      </w:r>
      <w:r>
        <w:t xml:space="preserve"> </w:t>
      </w:r>
      <w:r>
        <w:rPr>
          <w:i/>
          <w:iCs/>
        </w:rPr>
        <w:t xml:space="preserve">fold</w:t>
      </w:r>
      <w:r>
        <w:t xml:space="preserve">, que introduz variabilidade artificial por</w:t>
      </w:r>
      <w:r>
        <w:t xml:space="preserve"> </w:t>
      </w:r>
      <w:r>
        <w:rPr>
          <w:i/>
          <w:iCs/>
        </w:rPr>
        <w:t xml:space="preserve">fold</w:t>
      </w:r>
      <w:r>
        <w:t xml:space="preserve"> </w:t>
      </w:r>
      <w:r>
        <w:t xml:space="preserve">de tamanho pequeno.</w:t>
      </w:r>
    </w:p>
    <w:bookmarkEnd w:id="78"/>
    <w:bookmarkStart w:id="79" w:name="X7b617c6abbdaf85a2844f60bf9a6aa03312b489"/>
    <w:p>
      <w:pPr>
        <w:pStyle w:val="Heading3"/>
      </w:pPr>
      <w:r>
        <w:t xml:space="preserve">3.5.3 Critério de seleção: não inferioridade e fronteira de Pareto</w:t>
      </w:r>
    </w:p>
    <w:p>
      <w:pPr>
        <w:pStyle w:val="FirstParagraph"/>
      </w:pPr>
      <w:r>
        <w:t xml:space="preserve">Para cada ponto da grade de</w:t>
      </w:r>
      <w:r>
        <w:t xml:space="preserve"> </w:t>
      </w:r>
      <w:r>
        <w:rPr>
          <w:i/>
          <w:iCs/>
        </w:rPr>
        <w:t xml:space="preserve">lambda</w:t>
      </w:r>
      <w:r>
        <w:t xml:space="preserve">, o procedimento computa (i) o número de coeficientes não-zero (df) e (ii) o</w:t>
      </w:r>
      <w:r>
        <w:t xml:space="preserve"> </w:t>
      </w:r>
      <w:r>
        <w:rPr>
          <w:i/>
          <w:iCs/>
        </w:rPr>
        <w:t xml:space="preserve">C-index</w:t>
      </w:r>
      <w:r>
        <w:t xml:space="preserve"> </w:t>
      </w:r>
      <w:r>
        <w:t xml:space="preserve">OOF. Plotando estes dois atributos contra si, obtém-se a</w:t>
      </w:r>
      <w:r>
        <w:t xml:space="preserve"> </w:t>
      </w:r>
      <w:r>
        <w:rPr>
          <w:b/>
          <w:bCs/>
        </w:rPr>
        <w:t xml:space="preserve">fronteira de Pareto</w:t>
      </w:r>
      <w:r>
        <w:t xml:space="preserve"> </w:t>
      </w:r>
      <w:r>
        <w:t xml:space="preserve">df vs</w:t>
      </w:r>
      <w:r>
        <w:t xml:space="preserve"> </w:t>
      </w:r>
      <w:r>
        <w:rPr>
          <w:i/>
          <w:iCs/>
        </w:rPr>
        <w:t xml:space="preserve">C-index</w:t>
      </w:r>
      <w:r>
        <w:t xml:space="preserve">: o conjunto de modelos para os quais nenhum modelo alternativo e simultaneamente mais parcimonioso e mais performático. O CorePAM foi definido como o menor número de genes (df) satisfazendo o critério de não inferioridade pré-especificado:</w:t>
      </w:r>
      <w:r>
        <w:t xml:space="preserve"> </w:t>
      </w:r>
      <w:r>
        <w:rPr>
          <w:i/>
          <w:iCs/>
        </w:rPr>
        <w:t xml:space="preserve">C-index</w:t>
      </w:r>
      <w:r>
        <w:t xml:space="preserve"> </w:t>
      </w:r>
      <w:r>
        <w:t xml:space="preserve">OOF dentro de 0,010 abaixo do</w:t>
      </w:r>
      <w:r>
        <w:t xml:space="preserve"> </w:t>
      </w:r>
      <w:r>
        <w:rPr>
          <w:i/>
          <w:iCs/>
        </w:rPr>
        <w:t xml:space="preserve">C-index</w:t>
      </w:r>
      <w:r>
        <w:t xml:space="preserve"> </w:t>
      </w:r>
      <w:r>
        <w:t xml:space="preserve">OOF máximo observado ao longo de todo o caminho de regularização.</w:t>
      </w:r>
    </w:p>
    <w:p>
      <w:pPr>
        <w:pStyle w:val="BodyText"/>
      </w:pPr>
      <w:r>
        <w:t xml:space="preserve">Resultado:</w:t>
      </w:r>
      <w:r>
        <w:t xml:space="preserve"> </w:t>
      </w:r>
      <w:r>
        <w:rPr>
          <w:b/>
          <w:bCs/>
        </w:rPr>
        <w:t xml:space="preserve">df = 24,</w:t>
      </w:r>
      <w:r>
        <w:rPr>
          <w:b/>
          <w:bCs/>
        </w:rPr>
        <w:t xml:space="preserve"> </w:t>
      </w:r>
      <w:r>
        <w:rPr>
          <w:b/>
          <w:bCs/>
          <w:i/>
          <w:iCs/>
        </w:rPr>
        <w:t xml:space="preserve">C-index</w:t>
      </w:r>
      <w:r>
        <w:rPr>
          <w:b/>
          <w:bCs/>
        </w:rPr>
        <w:t xml:space="preserve"> </w:t>
      </w:r>
      <w:r>
        <w:rPr>
          <w:b/>
          <w:bCs/>
        </w:rPr>
        <w:t xml:space="preserve">OOF = 0,670, gap em relação ao máximo (0,679) = 0,009</w:t>
      </w:r>
      <w:r>
        <w:t xml:space="preserve"> </w:t>
      </w:r>
      <w:r>
        <w:t xml:space="preserve">— dentro da margem pré-especificada.</w:t>
      </w:r>
    </w:p>
    <w:bookmarkEnd w:id="79"/>
    <w:bookmarkStart w:id="80" w:name="análises-de-estabilidade-da-seleção"/>
    <w:p>
      <w:pPr>
        <w:pStyle w:val="Heading3"/>
      </w:pPr>
      <w:r>
        <w:t xml:space="preserve">3.5.4 Análises de estabilidade da seleção</w:t>
      </w:r>
    </w:p>
    <w:p>
      <w:pPr>
        <w:pStyle w:val="FirstParagraph"/>
      </w:pPr>
      <w:r>
        <w:t xml:space="preserve">Para caracterizar a estabilidade dos 24 genes selecionados, foram realizadas três análises complementares, todas executadas após o congelamento do conjunto final:</w:t>
      </w:r>
    </w:p>
    <w:p>
      <w:pPr>
        <w:pStyle w:val="Compact"/>
        <w:numPr>
          <w:ilvl w:val="0"/>
          <w:numId w:val="1007"/>
        </w:numPr>
      </w:pPr>
      <w:r>
        <w:rPr>
          <w:b/>
          <w:bCs/>
        </w:rPr>
        <w:t xml:space="preserve">Bootstrap (B = 200):</w:t>
      </w:r>
      <w:r>
        <w:t xml:space="preserve"> </w:t>
      </w:r>
      <w:r>
        <w:t xml:space="preserve">reamostras com reposição da coorte SCAN-B, reajuste do mesmo procedimento</w:t>
      </w:r>
      <w:r>
        <w:t xml:space="preserve"> </w:t>
      </w:r>
      <w:r>
        <w:rPr>
          <w:i/>
          <w:iCs/>
        </w:rPr>
        <w:t xml:space="preserve">elastic-net</w:t>
      </w:r>
      <w:r>
        <w:t xml:space="preserve"> </w:t>
      </w:r>
      <w:r>
        <w:t xml:space="preserve">em cada uma e registro da frequência com que cada gene foi selecionado. Genes com frequência alta (&gt;70%) são considerados membros estáveis do núcleo; genes com frequência baixa (&lt;40%) são considerados sensíveis a reamostra.</w:t>
      </w:r>
    </w:p>
    <w:p>
      <w:pPr>
        <w:pStyle w:val="Compact"/>
        <w:numPr>
          <w:ilvl w:val="0"/>
          <w:numId w:val="1007"/>
        </w:numPr>
      </w:pPr>
      <w:r>
        <w:rPr>
          <w:b/>
          <w:bCs/>
        </w:rPr>
        <w:t xml:space="preserve">Leave-one-gene-out (L1GO):</w:t>
      </w:r>
      <w:r>
        <w:t xml:space="preserve"> </w:t>
      </w:r>
      <w:r>
        <w:t xml:space="preserve">remoção individual de cada um dos 24 genes, reajuste do modelo</w:t>
      </w:r>
      <w:r>
        <w:t xml:space="preserve"> </w:t>
      </w:r>
      <w:r>
        <w:rPr>
          <w:i/>
          <w:iCs/>
        </w:rPr>
        <w:t xml:space="preserve">elastic-net</w:t>
      </w:r>
      <w:r>
        <w:t xml:space="preserve"> </w:t>
      </w:r>
      <w:r>
        <w:t xml:space="preserve">com os 23 restantes e registro da mudança no</w:t>
      </w:r>
      <w:r>
        <w:t xml:space="preserve"> </w:t>
      </w:r>
      <w:r>
        <w:rPr>
          <w:i/>
          <w:iCs/>
        </w:rPr>
        <w:t xml:space="preserve">C-index</w:t>
      </w:r>
      <w:r>
        <w:t xml:space="preserve"> </w:t>
      </w:r>
      <w:r>
        <w:t xml:space="preserve">OOF (Δ</w:t>
      </w:r>
      <w:r>
        <w:rPr>
          <w:i/>
          <w:iCs/>
        </w:rPr>
        <w:t xml:space="preserve">C</w:t>
      </w:r>
      <w:r>
        <w:t xml:space="preserve">). Genes com Δ</w:t>
      </w:r>
      <w:r>
        <w:rPr>
          <w:i/>
          <w:iCs/>
        </w:rPr>
        <w:t xml:space="preserve">C</w:t>
      </w:r>
      <w:r>
        <w:t xml:space="preserve"> </w:t>
      </w:r>
      <w:r>
        <w:t xml:space="preserve">grande são considerados críticos; genes com Δ</w:t>
      </w:r>
      <w:r>
        <w:rPr>
          <w:i/>
          <w:iCs/>
        </w:rPr>
        <w:t xml:space="preserve">C</w:t>
      </w:r>
      <w:r>
        <w:t xml:space="preserve"> </w:t>
      </w:r>
      <w:r>
        <w:t xml:space="preserve">pequeno indicam redundância funcional.</w:t>
      </w:r>
    </w:p>
    <w:p>
      <w:pPr>
        <w:pStyle w:val="Compact"/>
        <w:numPr>
          <w:ilvl w:val="0"/>
          <w:numId w:val="1007"/>
        </w:numPr>
      </w:pPr>
      <w:r>
        <w:rPr>
          <w:b/>
          <w:bCs/>
        </w:rPr>
        <w:t xml:space="preserve">Direção dos pesos:</w:t>
      </w:r>
      <w:r>
        <w:t xml:space="preserve"> </w:t>
      </w:r>
      <w:r>
        <w:t xml:space="preserve">verificação de consistência biológica dos pesos. Genes de proliferação devem ter peso positivo (maior expressão = maior risco); genes de diferenciação luminal, peso negativo.</w:t>
      </w:r>
    </w:p>
    <w:bookmarkEnd w:id="80"/>
    <w:bookmarkEnd w:id="81"/>
    <w:bookmarkStart w:id="83"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2"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mao da referência intra-coorte. A concordância entre os dois modos (intra-coorte vs congelado) foi avaliada por coeficiente de correlação de Pearson e por -index na mesma coorte.</w:t>
      </w:r>
    </w:p>
    <w:bookmarkEnd w:id="82"/>
    <w:bookmarkEnd w:id="83"/>
    <w:bookmarkStart w:id="91" w:name="análise-de-sobrevida"/>
    <w:p>
      <w:pPr>
        <w:pStyle w:val="Heading2"/>
      </w:pPr>
      <w:r>
        <w:t xml:space="preserve">3.7 Análise de sobrevida</w:t>
      </w:r>
    </w:p>
    <w:bookmarkStart w:id="84" w:name="modelos-de-cox"/>
    <w:p>
      <w:pPr>
        <w:pStyle w:val="Heading3"/>
      </w:pPr>
      <w:r>
        <w:t xml:space="preserve">3.7.1 Modelos de Cox</w:t>
      </w:r>
    </w:p>
    <w:p>
      <w:pPr>
        <w:pStyle w:val="FirstParagraph"/>
      </w:pPr>
      <w:r>
        <w:t xml:space="preserve">Foram ajustados modelos de Cox univariados (tendo o escore CorePAM como único preditor) e multivariados (CORE-A: idade isoladamente ou idade + status de RE, conforme disponibilidade na coorte). Relatou-se</w:t>
      </w:r>
      <w:r>
        <w:t xml:space="preserve"> </w:t>
      </w:r>
      <w:r>
        <w:rPr>
          <w:i/>
          <w:iCs/>
        </w:rPr>
        <w:t xml:space="preserve">hazard ratio</w:t>
      </w:r>
      <w:r>
        <w:t xml:space="preserve"> </w:t>
      </w:r>
      <w:r>
        <w:t xml:space="preserve">por um desvio-padrão do escore, intervalo de confiança 95% e p-valor do Wald. A validação da suposição de riscos proporcionais foi feita pelo teste de Grambsch-Therneau baseado em resíduos ponderados</w:t>
      </w:r>
      <w:r>
        <w:t xml:space="preserve"> </w:t>
      </w:r>
      <w:r>
        <w:rPr>
          <w:vertAlign w:val="superscript"/>
        </w:rPr>
        <w:t xml:space="preserve">57</w:t>
      </w:r>
      <w:r>
        <w:t xml:space="preserve">,</w:t>
      </w:r>
      <w:r>
        <w:rPr>
          <w:vertAlign w:val="superscript"/>
        </w:rPr>
        <w:t xml:space="preserve">58</w:t>
      </w:r>
      <w:r>
        <w:t xml:space="preserve">. Quando o teste acusou violação significativa (p &lt; 0,05), foi realizada análise de sensibilidade com estratificação por covariável offensora.</w:t>
      </w:r>
    </w:p>
    <w:bookmarkEnd w:id="84"/>
    <w:bookmarkStart w:id="85"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w:t>
      </w:r>
      <w:r>
        <w:rPr>
          <w:vertAlign w:val="superscript"/>
        </w:rPr>
        <w:t xml:space="preserve">59</w:t>
      </w:r>
      <w:r>
        <w:t xml:space="preserve"> </w:t>
      </w:r>
      <w:r>
        <w:t xml:space="preserve">foi a métrica principal de discriminação, calculado com intervalo de confiança 95% por</w:t>
      </w:r>
      <w:r>
        <w:t xml:space="preserve"> </w:t>
      </w:r>
      <w:r>
        <w:rPr>
          <w:i/>
          <w:iCs/>
        </w:rPr>
        <w:t xml:space="preserve">bootstrap</w:t>
      </w:r>
      <w:r>
        <w:rPr>
          <w:vertAlign w:val="superscript"/>
        </w:rPr>
        <w:t xml:space="preserve">60</w:t>
      </w:r>
      <w:r>
        <w:t xml:space="preserve"> </w:t>
      </w:r>
      <w:r>
        <w:t xml:space="preserve">(B = 1 000 reamostras). A estatística C de Uno</w:t>
      </w:r>
      <w:r>
        <w:rPr>
          <w:vertAlign w:val="superscript"/>
        </w:rPr>
        <w:t xml:space="preserve">61</w:t>
      </w:r>
      <w:r>
        <w:t xml:space="preserve">, que e robusta a censura informativa, foi calculada como sensibilidade. AUC tempo-dependente em horizontes de 36, 60 e 120 meses foi estimada pelo método de Blanche et al.</w:t>
      </w:r>
      <w:r>
        <w:rPr>
          <w:vertAlign w:val="superscript"/>
        </w:rPr>
        <w:t xml:space="preserve">62</w:t>
      </w:r>
      <w:r>
        <w:t xml:space="preserve">, que permite tratar competição de riscos.</w:t>
      </w:r>
    </w:p>
    <w:bookmarkEnd w:id="85"/>
    <w:bookmarkStart w:id="86" w:name="curvas-de-kaplan-meier"/>
    <w:p>
      <w:pPr>
        <w:pStyle w:val="Heading3"/>
      </w:pPr>
      <w:r>
        <w:t xml:space="preserve">3.7.3 Curvas de Kaplan-Meier</w:t>
      </w:r>
    </w:p>
    <w:p>
      <w:pPr>
        <w:pStyle w:val="FirstParagraph"/>
      </w:pPr>
      <w:r>
        <w:t xml:space="preserve">Para visualização, os escores foram dicotomizados na mediana intra-coorte (grupo de alto vs baixo risco). Esta dicotomização é puramente descritiva; não foi utilizada para reportar estimativas primárias, que se basearam no escore contínuo. Log-rank foi reportado apenas como teste de consistência. Fine-Gray</w:t>
      </w:r>
      <w:r>
        <w:rPr>
          <w:vertAlign w:val="superscript"/>
        </w:rPr>
        <w:t xml:space="preserve">63</w:t>
      </w:r>
      <w:r>
        <w:t xml:space="preserve"> </w:t>
      </w:r>
      <w:r>
        <w:t xml:space="preserve">foi aplicado na coorte METABRIC, onde o</w:t>
      </w:r>
      <w:r>
        <w:t xml:space="preserve"> </w:t>
      </w:r>
      <w:r>
        <w:rPr>
          <w:i/>
          <w:iCs/>
        </w:rPr>
        <w:t xml:space="preserve">endpoint</w:t>
      </w:r>
      <w:r>
        <w:t xml:space="preserve"> </w:t>
      </w:r>
      <w:r>
        <w:t xml:space="preserve">primário (DSS) impõe competição com óbitos por outras causas.</w:t>
      </w:r>
    </w:p>
    <w:bookmarkEnd w:id="86"/>
    <w:bookmarkStart w:id="87" w:name="valor-incremental-delta-c-index"/>
    <w:p>
      <w:pPr>
        <w:pStyle w:val="Heading3"/>
      </w:pPr>
      <w:r>
        <w:t xml:space="preserve">3.7.4 Valor incremental: Delta-</w:t>
      </w:r>
      <w:r>
        <w:rPr>
          <w:i/>
          <w:iCs/>
        </w:rPr>
        <w:t xml:space="preserve">C-index</w:t>
      </w:r>
    </w:p>
    <w:p>
      <w:pPr>
        <w:pStyle w:val="FirstParagraph"/>
      </w:pPr>
      <w:r>
        <w:t xml:space="preserve">O valor incremental do CorePAM sobre o modelo clínico CORE-A foi quantificado pelo</w:t>
      </w:r>
      <w:r>
        <w:t xml:space="preserve"> </w:t>
      </w:r>
      <w:r>
        <w:rPr>
          <w:i/>
          <w:iCs/>
        </w:rPr>
        <w:t xml:space="preserve">C-index</w:t>
      </w:r>
      <w:r>
        <w:t xml:space="preserve"> </w:t>
      </w:r>
      <w:r>
        <w:t xml:space="preserve">=</w:t>
      </w:r>
      <w:r>
        <w:t xml:space="preserve"> </w:t>
      </w:r>
      <w:r>
        <w:rPr>
          <w:i/>
          <w:iCs/>
        </w:rPr>
        <w:t xml:space="preserve">C-index</w:t>
      </w:r>
      <w:r>
        <w:t xml:space="preserve">(CORE-A + CorePAM) -</w:t>
      </w:r>
      <w:r>
        <w:t xml:space="preserve"> </w:t>
      </w:r>
      <w:r>
        <w:rPr>
          <w:i/>
          <w:iCs/>
        </w:rPr>
        <w:t xml:space="preserve">C-index</w:t>
      </w:r>
      <w:r>
        <w:t xml:space="preserve">(CORE-A), com intervalo de confiança 95%</w:t>
      </w:r>
      <w:r>
        <w:t xml:space="preserve"> </w:t>
      </w:r>
      <w:r>
        <w:rPr>
          <w:i/>
          <w:iCs/>
        </w:rPr>
        <w:t xml:space="preserve">bootstrap</w:t>
      </w:r>
      <w:r>
        <w:t xml:space="preserve"> </w:t>
      </w:r>
      <w:r>
        <w:t xml:space="preserve">(B = 1 000) e teste de significância comparando as distribuições</w:t>
      </w:r>
      <w:r>
        <w:t xml:space="preserve"> </w:t>
      </w:r>
      <w:r>
        <w:rPr>
          <w:i/>
          <w:iCs/>
        </w:rPr>
        <w:t xml:space="preserve">bootstrap</w:t>
      </w:r>
      <w:r>
        <w:t xml:space="preserve"> </w:t>
      </w:r>
      <w:r>
        <w:t xml:space="preserve">dos dois modelos. Alternativas como NRI e IDI foram calculadas como sensibilidade, mas não como métrica primária devido a críticas metodológicas publicadas na literatura</w:t>
      </w:r>
      <w:r>
        <w:rPr>
          <w:vertAlign w:val="superscript"/>
        </w:rPr>
        <w:t xml:space="preserve">64</w:t>
      </w:r>
      <w:r>
        <w:t xml:space="preserve">.</w:t>
      </w:r>
    </w:p>
    <w:bookmarkEnd w:id="87"/>
    <w:bookmarkStart w:id="88" w:name="calibração"/>
    <w:p>
      <w:pPr>
        <w:pStyle w:val="Heading3"/>
      </w:pPr>
      <w:r>
        <w:t xml:space="preserve">3.7.5 Calibração</w:t>
      </w:r>
    </w:p>
    <w:p>
      <w:pPr>
        <w:pStyle w:val="FirstParagraph"/>
      </w:pPr>
      <w:r>
        <w:t xml:space="preserve">A calibração foi avaliada por inspeção visual de curvas de risco predito versus observado em horizontes de 60 meses, por slope de regressão (1,0 = calibração perfeita) e intercept (0 = calibração-no-grande perfeita), seguindo a hierarquia de calibração proposta por Van Calster et al.</w:t>
      </w:r>
      <w:r>
        <w:t xml:space="preserve"> </w:t>
      </w:r>
      <w:r>
        <w:rPr>
          <w:vertAlign w:val="superscript"/>
        </w:rPr>
        <w:t xml:space="preserve">64</w:t>
      </w:r>
      <w:r>
        <w:t xml:space="preserve">,</w:t>
      </w:r>
      <w:r>
        <w:rPr>
          <w:vertAlign w:val="superscript"/>
        </w:rPr>
        <w:t xml:space="preserve">65</w:t>
      </w:r>
      <w:r>
        <w:t xml:space="preserve">. Slope &gt; 1 indica subconfiança (o modelo comprime demais a separação); slope &lt; 1 indica superconfianca.</w:t>
      </w:r>
    </w:p>
    <w:bookmarkEnd w:id="88"/>
    <w:bookmarkStart w:id="89" w:name="análise-de-curva-de-decisão-dca"/>
    <w:p>
      <w:pPr>
        <w:pStyle w:val="Heading3"/>
      </w:pPr>
      <w:r>
        <w:t xml:space="preserve">3.7.6 Análise de curva de decisão (DCA)</w:t>
      </w:r>
    </w:p>
    <w:p>
      <w:pPr>
        <w:pStyle w:val="FirstParagraph"/>
      </w:pPr>
      <w:r>
        <w:t xml:space="preserve">A análise de curva de decisão</w:t>
      </w:r>
      <w:r>
        <w:rPr>
          <w:vertAlign w:val="superscript"/>
        </w:rPr>
        <w:t xml:space="preserve">66</w:t>
      </w:r>
      <w:r>
        <w:t xml:space="preserve"> </w:t>
      </w:r>
      <w:r>
        <w:t xml:space="preserve">avalia o benefício líquido do modelo em diferentes limiares de decisão clínica (</w:t>
      </w:r>
      <w:r>
        <w:rPr>
          <w:i/>
          <w:iCs/>
        </w:rPr>
        <w:t xml:space="preserve">threshold probability</w:t>
      </w:r>
      <w:r>
        <w:t xml:space="preserve">). Benefício líquido é definido como verdadeiros positivos menos falsos positivos ponderados pela razão de odds correspondente ao limiar. A DCA foi realizada em horizonte de 60 meses, comparando tratar-todos, não-tratar-ninguem e tratar-segundo-CorePAM.</w:t>
      </w:r>
    </w:p>
    <w:bookmarkEnd w:id="89"/>
    <w:bookmarkStart w:id="90" w:name="modelos-expandidos-com-estadiamento"/>
    <w:p>
      <w:pPr>
        <w:pStyle w:val="Heading3"/>
      </w:pPr>
      <w:r>
        <w:t xml:space="preserve">3.7.7 Modelos expandidos com estadiamento</w:t>
      </w:r>
    </w:p>
    <w:p>
      <w:pPr>
        <w:pStyle w:val="FirstParagraph"/>
      </w:pPr>
      <w:r>
        <w:t xml:space="preserve">Para testar a independência prognóstica do CorePAM em relação ao estadiamento clássico, foram ajustados modelos expandidos adicionando sequencialmente T, N, grau histológico, status HER2 e tamanho tumoral, conforme disponibilidade em cada coorte. O objetivo é testar se o coeficiente do CorePAM permanece significativo após ajuste completo.</w:t>
      </w:r>
    </w:p>
    <w:bookmarkEnd w:id="90"/>
    <w:bookmarkEnd w:id="91"/>
    <w:bookmarkStart w:id="92" w:name="meta-análise"/>
    <w:p>
      <w:pPr>
        <w:pStyle w:val="Heading2"/>
      </w:pPr>
      <w:r>
        <w:t xml:space="preserve">3.8 Meta-análise</w:t>
      </w:r>
    </w:p>
    <w:p>
      <w:pPr>
        <w:pStyle w:val="FirstParagraph"/>
      </w:pPr>
      <w:r>
        <w:t xml:space="preserve">A meta-análise agrupou hazard ratios de sobrevida e odds ratios de pCR através das coortes de validação. Para sobrevida (K = 4), foi adotado modelo de efeitos aleatórios com estimador</w:t>
      </w:r>
      <w:r>
        <w:t xml:space="preserve"> </w:t>
      </w:r>
      <w:r>
        <w:rPr>
          <w:i/>
          <w:iCs/>
        </w:rPr>
        <w:t xml:space="preserve">restricted maximum likelihood</w:t>
      </w:r>
      <w:r>
        <w:t xml:space="preserve"> </w:t>
      </w:r>
      <w:r>
        <w:t xml:space="preserve">(REML)</w:t>
      </w:r>
      <w:r>
        <w:rPr>
          <w:vertAlign w:val="superscript"/>
        </w:rPr>
        <w:t xml:space="preserve">67</w:t>
      </w:r>
      <w:r>
        <w:t xml:space="preserve">, que tem propriedades de viés e eficiência superiores ao estimador DerSimonian-Laird em meta-análises de K pequeno. A heterogeneidade foi quantificada pela estatística I-quadrado</w:t>
      </w:r>
      <w:r>
        <w:rPr>
          <w:vertAlign w:val="superscript"/>
        </w:rPr>
        <w:t xml:space="preserve">68</w:t>
      </w:r>
      <w:r>
        <w:t xml:space="preserve">, interpretada conforme as faixas propostas: &lt;25% baixa, 25-50% moderada, &gt;50% alta. Análises de sensibilidade incluiram o ajuste de Hartung-Knapp</w:t>
      </w:r>
      <w:r>
        <w:rPr>
          <w:vertAlign w:val="superscript"/>
        </w:rPr>
        <w:t xml:space="preserve">69</w:t>
      </w:r>
      <w:r>
        <w:t xml:space="preserve"> </w:t>
      </w:r>
      <w:r>
        <w:t xml:space="preserve">— que inflaciona o intervalo de confiança em K pequeno, protegendo contra taxa de erro tipo I exagerada — e leave-one-out (refazer a meta-análise excluindo cada coorte por vez). Para pCR (K = 4 primárias + 1 exploratória), foi utilizado DerSimonian-Laird</w:t>
      </w:r>
      <w:r>
        <w:rPr>
          <w:vertAlign w:val="superscript"/>
        </w:rPr>
        <w:t xml:space="preserve">70</w:t>
      </w:r>
      <w:r>
        <w:t xml:space="preserve"> </w:t>
      </w:r>
      <w:r>
        <w:t xml:space="preserve">por consistência com a literatura de meta-análise de desfechos binários em assinaturas gênicas.</w:t>
      </w:r>
    </w:p>
    <w:bookmarkEnd w:id="92"/>
    <w:bookmarkStart w:id="93"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é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p>
      <w:r>
        <w:br w:type="page"/>
      </w:r>
    </w:p>
    <w:bookmarkEnd w:id="93"/>
    <w:bookmarkEnd w:id="94"/>
    <w:bookmarkStart w:id="208" w:name="resultados"/>
    <w:p>
      <w:pPr>
        <w:pStyle w:val="Heading1"/>
      </w:pPr>
      <w:r>
        <w:t xml:space="preserve">4. RESULTADOS</w:t>
      </w:r>
    </w:p>
    <w:bookmarkStart w:id="112"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8" w:name="fig-pareto"/>
      <w:r>
        <w:drawing>
          <wp:inline>
            <wp:extent cx="5399999" cy="3374999"/>
            <wp:effectExtent b="0" l="0" r="0" t="0"/>
            <wp:docPr descr="" title="" id="96" name="Picture"/>
            <a:graphic>
              <a:graphicData uri="http://schemas.openxmlformats.org/drawingml/2006/picture">
                <pic:pic>
                  <pic:nvPicPr>
                    <pic:cNvPr descr="../figures/supp/pt/png/FigS_Pareto_CorePAM_PT.png" id="97" name="Picture"/>
                    <pic:cNvPicPr>
                      <a:picLocks noChangeArrowheads="1" noChangeAspect="1"/>
                    </pic:cNvPicPr>
                  </pic:nvPicPr>
                  <pic:blipFill>
                    <a:blip r:embed="rId95"/>
                    <a:stretch>
                      <a:fillRect/>
                    </a:stretch>
                  </pic:blipFill>
                  <pic:spPr bwMode="auto">
                    <a:xfrm>
                      <a:off x="0" y="0"/>
                      <a:ext cx="5399999" cy="3374999"/>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p>
    <w:bookmarkEnd w:id="98"/>
    <w:p>
      <w:r>
        <w:br w:type="page"/>
      </w:r>
    </w:p>
    <w:p>
      <w:pPr>
        <w:jc w:val="left"/>
        <w:spacing w:before="200"/>
        <w:pStyle w:val="ImageCaption"/>
      </w:pPr>
      <w:bookmarkStart w:id="99" w:name="tbl-genes"/>
      <w:r>
        <w:t xml:space="preserve">Tabela 5 — Lista completa dos 24 genes CorePAM com pesos</w:t>
      </w:r>
      <w:r>
        <w:t xml:space="preserve"> </w:t>
      </w:r>
      <w:r>
        <w:rPr>
          <w:i/>
          <w:iCs/>
        </w:rPr>
        <w:t xml:space="preserve">elastic-net</w:t>
      </w:r>
    </w:p>
    <w:tbl>
      <w:tblPr>
        <w:tblStyle w:val="Table"/>
        <w:tblW w:type="dxa" w:w="8640"/>
        <w:tblLayout w:type="fixed"/>
        <w:tblLook w:firstRow="1" w:lastRow="0" w:firstColumn="0" w:lastColumn="0" w:noHBand="0" w:noVBand="0" w:val="0020"/>
      </w:tblPr>
      <w:tblGrid>
        <w:gridCol w:w="877"/>
        <w:gridCol w:w="1157"/>
        <w:gridCol w:w="1576"/>
        <w:gridCol w:w="1995"/>
        <w:gridCol w:w="3035"/>
      </w:tblGrid>
      <w:tr>
        <w:trPr>
          <w:tblHeader w:val="on"/>
        </w:trPr>
        <w:tc>
          <w:tcPr>
            <w:tcW w:w="877" w:type="dxa"/>
          </w:tcPr>
          <w:p>
            <w:pPr>
              <w:pStyle w:val="Compact"/>
              <w:jc w:val="center"/>
            </w:pPr>
            <w:r>
              <w:t xml:space="preserve">Rank</w:t>
            </w:r>
          </w:p>
        </w:tc>
        <w:tc>
          <w:tcPr>
            <w:tcW w:w="1157" w:type="dxa"/>
          </w:tcPr>
          <w:p>
            <w:pPr>
              <w:pStyle w:val="Compact"/>
              <w:jc w:val="center"/>
            </w:pPr>
            <w:r>
              <w:t xml:space="preserve">Gene</w:t>
            </w:r>
          </w:p>
        </w:tc>
        <w:tc>
          <w:tcPr>
            <w:tcW w:w="1576" w:type="dxa"/>
          </w:tcPr>
          <w:p>
            <w:pPr>
              <w:pStyle w:val="Compact"/>
              <w:jc w:val="center"/>
            </w:pPr>
            <w:r>
              <w:t xml:space="preserve">Peso (w</w:t>
            </w:r>
            <w:r>
              <w:rPr>
                <w:vertAlign w:val="subscript"/>
              </w:rPr>
              <w:t xml:space="preserve">i</w:t>
            </w:r>
            <w:r>
              <w:t xml:space="preserve">)</w:t>
            </w:r>
          </w:p>
        </w:tc>
        <w:tc>
          <w:tcPr>
            <w:tcW w:w="1995" w:type="dxa"/>
          </w:tcPr>
          <w:p>
            <w:pPr>
              <w:pStyle w:val="Compact"/>
              <w:jc w:val="center"/>
            </w:pPr>
            <w:r>
              <w:t xml:space="preserve">Direção</w:t>
            </w:r>
          </w:p>
        </w:tc>
        <w:tc>
          <w:tcPr>
            <w:tcW w:w="3035" w:type="dxa"/>
          </w:tcPr>
          <w:p>
            <w:pPr>
              <w:pStyle w:val="Compact"/>
              <w:jc w:val="center"/>
            </w:pPr>
            <w:r>
              <w:t xml:space="preserve">Via biológica principal</w:t>
            </w:r>
          </w:p>
        </w:tc>
      </w:tr>
      <w:tr>
        <w:tc>
          <w:tcPr>
            <w:tcW w:w="877" w:type="dxa"/>
          </w:tcPr>
          <w:p>
            <w:pPr>
              <w:pStyle w:val="Compact"/>
              <w:jc w:val="center"/>
            </w:pPr>
            <w:r>
              <w:t xml:space="preserve">1</w:t>
            </w:r>
          </w:p>
        </w:tc>
        <w:tc>
          <w:tcPr>
            <w:tcW w:w="1157" w:type="dxa"/>
          </w:tcPr>
          <w:p>
            <w:pPr>
              <w:pStyle w:val="Compact"/>
              <w:jc w:val="center"/>
            </w:pPr>
            <w:r>
              <w:t xml:space="preserve">EXO1</w:t>
            </w:r>
          </w:p>
        </w:tc>
        <w:tc>
          <w:tcPr>
            <w:tcW w:w="1576" w:type="dxa"/>
          </w:tcPr>
          <w:p>
            <w:pPr>
              <w:pStyle w:val="Compact"/>
              <w:jc w:val="center"/>
            </w:pPr>
            <w:r>
              <w:t xml:space="preserve">+0,2174</w:t>
            </w:r>
          </w:p>
        </w:tc>
        <w:tc>
          <w:tcPr>
            <w:tcW w:w="1995" w:type="dxa"/>
          </w:tcPr>
          <w:p>
            <w:pPr>
              <w:pStyle w:val="Compact"/>
              <w:jc w:val="center"/>
            </w:pPr>
            <w:r>
              <w:t xml:space="preserve">Risco (+)</w:t>
            </w:r>
          </w:p>
        </w:tc>
        <w:tc>
          <w:tcPr>
            <w:tcW w:w="3035" w:type="dxa"/>
          </w:tcPr>
          <w:p>
            <w:pPr>
              <w:pStyle w:val="Compact"/>
              <w:jc w:val="center"/>
            </w:pPr>
            <w:r>
              <w:t xml:space="preserve">Proliferação / reparo de DNA</w:t>
            </w:r>
          </w:p>
        </w:tc>
      </w:tr>
      <w:tr>
        <w:tc>
          <w:tcPr>
            <w:tcW w:w="877" w:type="dxa"/>
          </w:tcPr>
          <w:p>
            <w:pPr>
              <w:pStyle w:val="Compact"/>
              <w:jc w:val="center"/>
            </w:pPr>
            <w:r>
              <w:t xml:space="preserve">2</w:t>
            </w:r>
          </w:p>
        </w:tc>
        <w:tc>
          <w:tcPr>
            <w:tcW w:w="1157" w:type="dxa"/>
          </w:tcPr>
          <w:p>
            <w:pPr>
              <w:pStyle w:val="Compact"/>
              <w:jc w:val="center"/>
            </w:pPr>
            <w:r>
              <w:t xml:space="preserve">NAT1</w:t>
            </w:r>
          </w:p>
        </w:tc>
        <w:tc>
          <w:tcPr>
            <w:tcW w:w="1576" w:type="dxa"/>
          </w:tcPr>
          <w:p>
            <w:pPr>
              <w:pStyle w:val="Compact"/>
              <w:jc w:val="center"/>
            </w:pPr>
            <w:r>
              <w:t xml:space="preserve">-0,2052</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3</w:t>
            </w:r>
          </w:p>
        </w:tc>
        <w:tc>
          <w:tcPr>
            <w:tcW w:w="1157" w:type="dxa"/>
          </w:tcPr>
          <w:p>
            <w:pPr>
              <w:pStyle w:val="Compact"/>
              <w:jc w:val="center"/>
            </w:pPr>
            <w:r>
              <w:t xml:space="preserve">BLVRA</w:t>
            </w:r>
          </w:p>
        </w:tc>
        <w:tc>
          <w:tcPr>
            <w:tcW w:w="1576" w:type="dxa"/>
          </w:tcPr>
          <w:p>
            <w:pPr>
              <w:pStyle w:val="Compact"/>
              <w:jc w:val="center"/>
            </w:pPr>
            <w:r>
              <w:t xml:space="preserve">-0,1848</w:t>
            </w:r>
          </w:p>
        </w:tc>
        <w:tc>
          <w:tcPr>
            <w:tcW w:w="1995" w:type="dxa"/>
          </w:tcPr>
          <w:p>
            <w:pPr>
              <w:pStyle w:val="Compact"/>
              <w:jc w:val="center"/>
            </w:pPr>
            <w:r>
              <w:t xml:space="preserve">Protetor (-)</w:t>
            </w:r>
          </w:p>
        </w:tc>
        <w:tc>
          <w:tcPr>
            <w:tcW w:w="3035" w:type="dxa"/>
          </w:tcPr>
          <w:p>
            <w:pPr>
              <w:pStyle w:val="Compact"/>
              <w:jc w:val="center"/>
            </w:pPr>
            <w:r>
              <w:t xml:space="preserve">Metabolismo / estresse oxidativo</w:t>
            </w:r>
          </w:p>
        </w:tc>
      </w:tr>
      <w:tr>
        <w:tc>
          <w:tcPr>
            <w:tcW w:w="877" w:type="dxa"/>
          </w:tcPr>
          <w:p>
            <w:pPr>
              <w:pStyle w:val="Compact"/>
              <w:jc w:val="center"/>
            </w:pPr>
            <w:r>
              <w:t xml:space="preserve">4</w:t>
            </w:r>
          </w:p>
        </w:tc>
        <w:tc>
          <w:tcPr>
            <w:tcW w:w="1157" w:type="dxa"/>
          </w:tcPr>
          <w:p>
            <w:pPr>
              <w:pStyle w:val="Compact"/>
              <w:jc w:val="center"/>
            </w:pPr>
            <w:r>
              <w:t xml:space="preserve">ACTR3B</w:t>
            </w:r>
          </w:p>
        </w:tc>
        <w:tc>
          <w:tcPr>
            <w:tcW w:w="1576" w:type="dxa"/>
          </w:tcPr>
          <w:p>
            <w:pPr>
              <w:pStyle w:val="Compact"/>
              <w:jc w:val="center"/>
            </w:pPr>
            <w:r>
              <w:t xml:space="preserve">-0,1405</w:t>
            </w:r>
          </w:p>
        </w:tc>
        <w:tc>
          <w:tcPr>
            <w:tcW w:w="1995" w:type="dxa"/>
          </w:tcPr>
          <w:p>
            <w:pPr>
              <w:pStyle w:val="Compact"/>
              <w:jc w:val="center"/>
            </w:pPr>
            <w:r>
              <w:t xml:space="preserve">Protetor (-)</w:t>
            </w:r>
          </w:p>
        </w:tc>
        <w:tc>
          <w:tcPr>
            <w:tcW w:w="3035" w:type="dxa"/>
          </w:tcPr>
          <w:p>
            <w:pPr>
              <w:pStyle w:val="Compact"/>
              <w:jc w:val="center"/>
            </w:pPr>
            <w:r>
              <w:t xml:space="preserve">Citoesqueleto / motilidade celular</w:t>
            </w:r>
          </w:p>
        </w:tc>
      </w:tr>
      <w:tr>
        <w:tc>
          <w:tcPr>
            <w:tcW w:w="877" w:type="dxa"/>
          </w:tcPr>
          <w:p>
            <w:pPr>
              <w:pStyle w:val="Compact"/>
              <w:jc w:val="center"/>
            </w:pPr>
            <w:r>
              <w:t xml:space="preserve">5</w:t>
            </w:r>
          </w:p>
        </w:tc>
        <w:tc>
          <w:tcPr>
            <w:tcW w:w="1157" w:type="dxa"/>
          </w:tcPr>
          <w:p>
            <w:pPr>
              <w:pStyle w:val="Compact"/>
              <w:jc w:val="center"/>
            </w:pPr>
            <w:r>
              <w:t xml:space="preserve">MIA</w:t>
            </w:r>
          </w:p>
        </w:tc>
        <w:tc>
          <w:tcPr>
            <w:tcW w:w="1576" w:type="dxa"/>
          </w:tcPr>
          <w:p>
            <w:pPr>
              <w:pStyle w:val="Compact"/>
              <w:jc w:val="center"/>
            </w:pPr>
            <w:r>
              <w:t xml:space="preserve">-0,1193</w:t>
            </w:r>
          </w:p>
        </w:tc>
        <w:tc>
          <w:tcPr>
            <w:tcW w:w="1995" w:type="dxa"/>
          </w:tcPr>
          <w:p>
            <w:pPr>
              <w:pStyle w:val="Compact"/>
              <w:jc w:val="center"/>
            </w:pPr>
            <w:r>
              <w:t xml:space="preserve">Protetor (-)</w:t>
            </w:r>
          </w:p>
        </w:tc>
        <w:tc>
          <w:tcPr>
            <w:tcW w:w="3035" w:type="dxa"/>
          </w:tcPr>
          <w:p>
            <w:pPr>
              <w:pStyle w:val="Compact"/>
              <w:jc w:val="center"/>
            </w:pPr>
            <w:r>
              <w:t xml:space="preserve">Marcador</w:t>
            </w:r>
            <w:r>
              <w:t xml:space="preserve"> </w:t>
            </w:r>
            <w:r>
              <w:rPr>
                <w:i/>
                <w:iCs/>
              </w:rPr>
              <w:t xml:space="preserve">HER2-enriched</w:t>
            </w:r>
          </w:p>
        </w:tc>
      </w:tr>
      <w:tr>
        <w:tc>
          <w:tcPr>
            <w:tcW w:w="877" w:type="dxa"/>
          </w:tcPr>
          <w:p>
            <w:pPr>
              <w:pStyle w:val="Compact"/>
              <w:jc w:val="center"/>
            </w:pPr>
            <w:r>
              <w:t xml:space="preserve">6</w:t>
            </w:r>
          </w:p>
        </w:tc>
        <w:tc>
          <w:tcPr>
            <w:tcW w:w="1157" w:type="dxa"/>
          </w:tcPr>
          <w:p>
            <w:pPr>
              <w:pStyle w:val="Compact"/>
              <w:jc w:val="center"/>
            </w:pPr>
            <w:r>
              <w:t xml:space="preserve">MYBL2</w:t>
            </w:r>
          </w:p>
        </w:tc>
        <w:tc>
          <w:tcPr>
            <w:tcW w:w="1576" w:type="dxa"/>
          </w:tcPr>
          <w:p>
            <w:pPr>
              <w:pStyle w:val="Compact"/>
              <w:jc w:val="center"/>
            </w:pPr>
            <w:r>
              <w:t xml:space="preserve">-0,1183</w:t>
            </w:r>
          </w:p>
        </w:tc>
        <w:tc>
          <w:tcPr>
            <w:tcW w:w="1995" w:type="dxa"/>
          </w:tcPr>
          <w:p>
            <w:pPr>
              <w:pStyle w:val="Compact"/>
              <w:jc w:val="center"/>
            </w:pPr>
            <w:r>
              <w:t xml:space="preserve">Protetor (-)</w:t>
            </w:r>
          </w:p>
        </w:tc>
        <w:tc>
          <w:tcPr>
            <w:tcW w:w="3035" w:type="dxa"/>
          </w:tcPr>
          <w:p>
            <w:pPr>
              <w:pStyle w:val="Compact"/>
              <w:jc w:val="center"/>
            </w:pPr>
            <w:r>
              <w:t xml:space="preserve">Proliferação / ciclo celular</w:t>
            </w:r>
          </w:p>
        </w:tc>
      </w:tr>
      <w:tr>
        <w:tc>
          <w:tcPr>
            <w:tcW w:w="877" w:type="dxa"/>
          </w:tcPr>
          <w:p>
            <w:pPr>
              <w:pStyle w:val="Compact"/>
              <w:jc w:val="center"/>
            </w:pPr>
            <w:r>
              <w:t xml:space="preserve">7</w:t>
            </w:r>
          </w:p>
        </w:tc>
        <w:tc>
          <w:tcPr>
            <w:tcW w:w="1157" w:type="dxa"/>
          </w:tcPr>
          <w:p>
            <w:pPr>
              <w:pStyle w:val="Compact"/>
              <w:jc w:val="center"/>
            </w:pPr>
            <w:r>
              <w:t xml:space="preserve">PTTG1</w:t>
            </w:r>
          </w:p>
        </w:tc>
        <w:tc>
          <w:tcPr>
            <w:tcW w:w="1576" w:type="dxa"/>
          </w:tcPr>
          <w:p>
            <w:pPr>
              <w:pStyle w:val="Compact"/>
              <w:jc w:val="center"/>
            </w:pPr>
            <w:r>
              <w:t xml:space="preserve">+0,1140</w:t>
            </w:r>
          </w:p>
        </w:tc>
        <w:tc>
          <w:tcPr>
            <w:tcW w:w="1995" w:type="dxa"/>
          </w:tcPr>
          <w:p>
            <w:pPr>
              <w:pStyle w:val="Compact"/>
              <w:jc w:val="center"/>
            </w:pPr>
            <w:r>
              <w:t xml:space="preserve">Risco (+)</w:t>
            </w:r>
          </w:p>
        </w:tc>
        <w:tc>
          <w:tcPr>
            <w:tcW w:w="3035" w:type="dxa"/>
          </w:tcPr>
          <w:p>
            <w:pPr>
              <w:pStyle w:val="Compact"/>
              <w:jc w:val="center"/>
            </w:pPr>
            <w:r>
              <w:t xml:space="preserve">Proliferação / instabilidade cromossômica</w:t>
            </w:r>
          </w:p>
        </w:tc>
      </w:tr>
      <w:tr>
        <w:tc>
          <w:tcPr>
            <w:tcW w:w="877" w:type="dxa"/>
          </w:tcPr>
          <w:p>
            <w:pPr>
              <w:pStyle w:val="Compact"/>
              <w:jc w:val="center"/>
            </w:pPr>
            <w:r>
              <w:t xml:space="preserve">8</w:t>
            </w:r>
          </w:p>
        </w:tc>
        <w:tc>
          <w:tcPr>
            <w:tcW w:w="1157" w:type="dxa"/>
          </w:tcPr>
          <w:p>
            <w:pPr>
              <w:pStyle w:val="Compact"/>
              <w:jc w:val="center"/>
            </w:pPr>
            <w:r>
              <w:t xml:space="preserve">MDM2</w:t>
            </w:r>
          </w:p>
        </w:tc>
        <w:tc>
          <w:tcPr>
            <w:tcW w:w="1576" w:type="dxa"/>
          </w:tcPr>
          <w:p>
            <w:pPr>
              <w:pStyle w:val="Compact"/>
              <w:jc w:val="center"/>
            </w:pPr>
            <w:r>
              <w:t xml:space="preserve">-0,1074</w:t>
            </w:r>
          </w:p>
        </w:tc>
        <w:tc>
          <w:tcPr>
            <w:tcW w:w="1995" w:type="dxa"/>
          </w:tcPr>
          <w:p>
            <w:pPr>
              <w:pStyle w:val="Compact"/>
              <w:jc w:val="center"/>
            </w:pPr>
            <w:r>
              <w:t xml:space="preserve">Protetor (-)</w:t>
            </w:r>
          </w:p>
        </w:tc>
        <w:tc>
          <w:tcPr>
            <w:tcW w:w="3035" w:type="dxa"/>
          </w:tcPr>
          <w:p>
            <w:pPr>
              <w:pStyle w:val="Compact"/>
              <w:jc w:val="center"/>
            </w:pPr>
            <w:r>
              <w:t xml:space="preserve">Regulação de p53</w:t>
            </w:r>
          </w:p>
        </w:tc>
      </w:tr>
      <w:tr>
        <w:tc>
          <w:tcPr>
            <w:tcW w:w="877" w:type="dxa"/>
          </w:tcPr>
          <w:p>
            <w:pPr>
              <w:pStyle w:val="Compact"/>
              <w:jc w:val="center"/>
            </w:pPr>
            <w:r>
              <w:t xml:space="preserve">9</w:t>
            </w:r>
          </w:p>
        </w:tc>
        <w:tc>
          <w:tcPr>
            <w:tcW w:w="1157" w:type="dxa"/>
          </w:tcPr>
          <w:p>
            <w:pPr>
              <w:pStyle w:val="Compact"/>
              <w:jc w:val="center"/>
            </w:pPr>
            <w:r>
              <w:t xml:space="preserve">SFRP1</w:t>
            </w:r>
          </w:p>
        </w:tc>
        <w:tc>
          <w:tcPr>
            <w:tcW w:w="1576" w:type="dxa"/>
          </w:tcPr>
          <w:p>
            <w:pPr>
              <w:pStyle w:val="Compact"/>
              <w:jc w:val="center"/>
            </w:pPr>
            <w:r>
              <w:t xml:space="preserve">-0,0907</w:t>
            </w:r>
          </w:p>
        </w:tc>
        <w:tc>
          <w:tcPr>
            <w:tcW w:w="1995" w:type="dxa"/>
          </w:tcPr>
          <w:p>
            <w:pPr>
              <w:pStyle w:val="Compact"/>
              <w:jc w:val="center"/>
            </w:pPr>
            <w:r>
              <w:t xml:space="preserve">Protetor (-)</w:t>
            </w:r>
          </w:p>
        </w:tc>
        <w:tc>
          <w:tcPr>
            <w:tcW w:w="3035" w:type="dxa"/>
          </w:tcPr>
          <w:p>
            <w:pPr>
              <w:pStyle w:val="Compact"/>
              <w:jc w:val="center"/>
            </w:pPr>
            <w:r>
              <w:t xml:space="preserve">Via Wnt / supressor tumoral</w:t>
            </w:r>
          </w:p>
        </w:tc>
      </w:tr>
      <w:tr>
        <w:tc>
          <w:tcPr>
            <w:tcW w:w="877" w:type="dxa"/>
          </w:tcPr>
          <w:p>
            <w:pPr>
              <w:pStyle w:val="Compact"/>
              <w:jc w:val="center"/>
            </w:pPr>
            <w:r>
              <w:t xml:space="preserve">10</w:t>
            </w:r>
          </w:p>
        </w:tc>
        <w:tc>
          <w:tcPr>
            <w:tcW w:w="1157" w:type="dxa"/>
          </w:tcPr>
          <w:p>
            <w:pPr>
              <w:pStyle w:val="Compact"/>
              <w:jc w:val="center"/>
            </w:pPr>
            <w:r>
              <w:t xml:space="preserve">GPR160</w:t>
            </w:r>
          </w:p>
        </w:tc>
        <w:tc>
          <w:tcPr>
            <w:tcW w:w="1576" w:type="dxa"/>
          </w:tcPr>
          <w:p>
            <w:pPr>
              <w:pStyle w:val="Compact"/>
              <w:jc w:val="center"/>
            </w:pPr>
            <w:r>
              <w:t xml:space="preserve">-0,0841</w:t>
            </w:r>
          </w:p>
        </w:tc>
        <w:tc>
          <w:tcPr>
            <w:tcW w:w="1995" w:type="dxa"/>
          </w:tcPr>
          <w:p>
            <w:pPr>
              <w:pStyle w:val="Compact"/>
              <w:jc w:val="center"/>
            </w:pPr>
            <w:r>
              <w:t xml:space="preserve">Protetor (-)</w:t>
            </w:r>
          </w:p>
        </w:tc>
        <w:tc>
          <w:tcPr>
            <w:tcW w:w="3035" w:type="dxa"/>
          </w:tcPr>
          <w:p>
            <w:pPr>
              <w:pStyle w:val="Compact"/>
              <w:jc w:val="center"/>
            </w:pPr>
            <w:r>
              <w:t xml:space="preserve">Receptor acoplado a proteina G</w:t>
            </w:r>
          </w:p>
        </w:tc>
      </w:tr>
      <w:tr>
        <w:tc>
          <w:tcPr>
            <w:tcW w:w="877" w:type="dxa"/>
          </w:tcPr>
          <w:p>
            <w:pPr>
              <w:pStyle w:val="Compact"/>
              <w:jc w:val="center"/>
            </w:pPr>
            <w:r>
              <w:t xml:space="preserve">11</w:t>
            </w:r>
          </w:p>
        </w:tc>
        <w:tc>
          <w:tcPr>
            <w:tcW w:w="1157" w:type="dxa"/>
          </w:tcPr>
          <w:p>
            <w:pPr>
              <w:pStyle w:val="Compact"/>
              <w:jc w:val="center"/>
            </w:pPr>
            <w:r>
              <w:t xml:space="preserve">FOXC1</w:t>
            </w:r>
          </w:p>
        </w:tc>
        <w:tc>
          <w:tcPr>
            <w:tcW w:w="1576" w:type="dxa"/>
          </w:tcPr>
          <w:p>
            <w:pPr>
              <w:pStyle w:val="Compact"/>
              <w:jc w:val="center"/>
            </w:pPr>
            <w:r>
              <w:t xml:space="preserve">+0,0717</w:t>
            </w:r>
          </w:p>
        </w:tc>
        <w:tc>
          <w:tcPr>
            <w:tcW w:w="1995" w:type="dxa"/>
          </w:tcPr>
          <w:p>
            <w:pPr>
              <w:pStyle w:val="Compact"/>
              <w:jc w:val="center"/>
            </w:pPr>
            <w:r>
              <w:t xml:space="preserve">Risco (+)</w:t>
            </w:r>
          </w:p>
        </w:tc>
        <w:tc>
          <w:tcPr>
            <w:tcW w:w="3035" w:type="dxa"/>
          </w:tcPr>
          <w:p>
            <w:pPr>
              <w:pStyle w:val="Compact"/>
              <w:jc w:val="center"/>
            </w:pPr>
            <w:r>
              <w:t xml:space="preserve">Fenotipo basal</w:t>
            </w:r>
          </w:p>
        </w:tc>
      </w:tr>
      <w:tr>
        <w:tc>
          <w:tcPr>
            <w:tcW w:w="877" w:type="dxa"/>
          </w:tcPr>
          <w:p>
            <w:pPr>
              <w:pStyle w:val="Compact"/>
              <w:jc w:val="center"/>
            </w:pPr>
            <w:r>
              <w:t xml:space="preserve">12</w:t>
            </w:r>
          </w:p>
        </w:tc>
        <w:tc>
          <w:tcPr>
            <w:tcW w:w="1157" w:type="dxa"/>
          </w:tcPr>
          <w:p>
            <w:pPr>
              <w:pStyle w:val="Compact"/>
              <w:jc w:val="center"/>
            </w:pPr>
            <w:r>
              <w:t xml:space="preserve">PHGDH</w:t>
            </w:r>
          </w:p>
        </w:tc>
        <w:tc>
          <w:tcPr>
            <w:tcW w:w="1576" w:type="dxa"/>
          </w:tcPr>
          <w:p>
            <w:pPr>
              <w:pStyle w:val="Compact"/>
              <w:jc w:val="center"/>
            </w:pPr>
            <w:r>
              <w:t xml:space="preserve">+0,0620</w:t>
            </w:r>
          </w:p>
        </w:tc>
        <w:tc>
          <w:tcPr>
            <w:tcW w:w="1995" w:type="dxa"/>
          </w:tcPr>
          <w:p>
            <w:pPr>
              <w:pStyle w:val="Compact"/>
              <w:jc w:val="center"/>
            </w:pPr>
            <w:r>
              <w:t xml:space="preserve">Risco (+)</w:t>
            </w:r>
          </w:p>
        </w:tc>
        <w:tc>
          <w:tcPr>
            <w:tcW w:w="3035" w:type="dxa"/>
          </w:tcPr>
          <w:p>
            <w:pPr>
              <w:pStyle w:val="Compact"/>
              <w:jc w:val="center"/>
            </w:pPr>
            <w:r>
              <w:t xml:space="preserve">Metabolismo de serina</w:t>
            </w:r>
          </w:p>
        </w:tc>
      </w:tr>
      <w:tr>
        <w:tc>
          <w:tcPr>
            <w:tcW w:w="877" w:type="dxa"/>
          </w:tcPr>
          <w:p>
            <w:pPr>
              <w:pStyle w:val="Compact"/>
              <w:jc w:val="center"/>
            </w:pPr>
            <w:r>
              <w:t xml:space="preserve">13</w:t>
            </w:r>
          </w:p>
        </w:tc>
        <w:tc>
          <w:tcPr>
            <w:tcW w:w="1157" w:type="dxa"/>
          </w:tcPr>
          <w:p>
            <w:pPr>
              <w:pStyle w:val="Compact"/>
              <w:jc w:val="center"/>
            </w:pPr>
            <w:r>
              <w:t xml:space="preserve">MYC</w:t>
            </w:r>
          </w:p>
        </w:tc>
        <w:tc>
          <w:tcPr>
            <w:tcW w:w="1576" w:type="dxa"/>
          </w:tcPr>
          <w:p>
            <w:pPr>
              <w:pStyle w:val="Compact"/>
              <w:jc w:val="center"/>
            </w:pPr>
            <w:r>
              <w:t xml:space="preserve">-0,0424</w:t>
            </w:r>
          </w:p>
        </w:tc>
        <w:tc>
          <w:tcPr>
            <w:tcW w:w="1995" w:type="dxa"/>
          </w:tcPr>
          <w:p>
            <w:pPr>
              <w:pStyle w:val="Compact"/>
              <w:jc w:val="center"/>
            </w:pPr>
            <w:r>
              <w:t xml:space="preserve">Protetor (-)</w:t>
            </w:r>
          </w:p>
        </w:tc>
        <w:tc>
          <w:tcPr>
            <w:tcW w:w="3035" w:type="dxa"/>
          </w:tcPr>
          <w:p>
            <w:pPr>
              <w:pStyle w:val="Compact"/>
              <w:jc w:val="center"/>
            </w:pPr>
            <w:r>
              <w:t xml:space="preserve">Proliferação / oncogene</w:t>
            </w:r>
          </w:p>
        </w:tc>
      </w:tr>
      <w:tr>
        <w:tc>
          <w:tcPr>
            <w:tcW w:w="877" w:type="dxa"/>
          </w:tcPr>
          <w:p>
            <w:pPr>
              <w:pStyle w:val="Compact"/>
              <w:jc w:val="center"/>
            </w:pPr>
            <w:r>
              <w:t xml:space="preserve">14</w:t>
            </w:r>
          </w:p>
        </w:tc>
        <w:tc>
          <w:tcPr>
            <w:tcW w:w="1157" w:type="dxa"/>
          </w:tcPr>
          <w:p>
            <w:pPr>
              <w:pStyle w:val="Compact"/>
              <w:jc w:val="center"/>
            </w:pPr>
            <w:r>
              <w:t xml:space="preserve">ESR1</w:t>
            </w:r>
          </w:p>
        </w:tc>
        <w:tc>
          <w:tcPr>
            <w:tcW w:w="1576" w:type="dxa"/>
          </w:tcPr>
          <w:p>
            <w:pPr>
              <w:pStyle w:val="Compact"/>
              <w:jc w:val="center"/>
            </w:pPr>
            <w:r>
              <w:t xml:space="preserve">+0,0396</w:t>
            </w:r>
          </w:p>
        </w:tc>
        <w:tc>
          <w:tcPr>
            <w:tcW w:w="1995" w:type="dxa"/>
          </w:tcPr>
          <w:p>
            <w:pPr>
              <w:pStyle w:val="Compact"/>
              <w:jc w:val="center"/>
            </w:pPr>
            <w:r>
              <w:t xml:space="preserve">Risco (+)</w:t>
            </w:r>
          </w:p>
        </w:tc>
        <w:tc>
          <w:tcPr>
            <w:tcW w:w="3035" w:type="dxa"/>
          </w:tcPr>
          <w:p>
            <w:pPr>
              <w:pStyle w:val="Compact"/>
              <w:jc w:val="center"/>
            </w:pPr>
            <w:r>
              <w:t xml:space="preserve">Receptor de estrogeno</w:t>
            </w:r>
          </w:p>
        </w:tc>
      </w:tr>
      <w:tr>
        <w:tc>
          <w:tcPr>
            <w:tcW w:w="877" w:type="dxa"/>
          </w:tcPr>
          <w:p>
            <w:pPr>
              <w:pStyle w:val="Compact"/>
              <w:jc w:val="center"/>
            </w:pPr>
            <w:r>
              <w:t xml:space="preserve">15</w:t>
            </w:r>
          </w:p>
        </w:tc>
        <w:tc>
          <w:tcPr>
            <w:tcW w:w="1157" w:type="dxa"/>
          </w:tcPr>
          <w:p>
            <w:pPr>
              <w:pStyle w:val="Compact"/>
              <w:jc w:val="center"/>
            </w:pPr>
            <w:r>
              <w:t xml:space="preserve">KRT5</w:t>
            </w:r>
          </w:p>
        </w:tc>
        <w:tc>
          <w:tcPr>
            <w:tcW w:w="1576" w:type="dxa"/>
          </w:tcPr>
          <w:p>
            <w:pPr>
              <w:pStyle w:val="Compact"/>
              <w:jc w:val="center"/>
            </w:pPr>
            <w:r>
              <w:t xml:space="preserve">-0,0277</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16</w:t>
            </w:r>
          </w:p>
        </w:tc>
        <w:tc>
          <w:tcPr>
            <w:tcW w:w="1157" w:type="dxa"/>
          </w:tcPr>
          <w:p>
            <w:pPr>
              <w:pStyle w:val="Compact"/>
              <w:jc w:val="center"/>
            </w:pPr>
            <w:r>
              <w:t xml:space="preserve">CXXC5</w:t>
            </w:r>
          </w:p>
        </w:tc>
        <w:tc>
          <w:tcPr>
            <w:tcW w:w="1576" w:type="dxa"/>
          </w:tcPr>
          <w:p>
            <w:pPr>
              <w:pStyle w:val="Compact"/>
              <w:jc w:val="center"/>
            </w:pPr>
            <w:r>
              <w:t xml:space="preserve">+0,0266</w:t>
            </w:r>
          </w:p>
        </w:tc>
        <w:tc>
          <w:tcPr>
            <w:tcW w:w="1995" w:type="dxa"/>
          </w:tcPr>
          <w:p>
            <w:pPr>
              <w:pStyle w:val="Compact"/>
              <w:jc w:val="center"/>
            </w:pPr>
            <w:r>
              <w:t xml:space="preserve">Risco (+)</w:t>
            </w:r>
          </w:p>
        </w:tc>
        <w:tc>
          <w:tcPr>
            <w:tcW w:w="3035" w:type="dxa"/>
          </w:tcPr>
          <w:p>
            <w:pPr>
              <w:pStyle w:val="Compact"/>
              <w:jc w:val="center"/>
            </w:pPr>
            <w:r>
              <w:t xml:space="preserve">Regulação epigenética</w:t>
            </w:r>
          </w:p>
        </w:tc>
      </w:tr>
      <w:tr>
        <w:tc>
          <w:tcPr>
            <w:tcW w:w="877" w:type="dxa"/>
          </w:tcPr>
          <w:p>
            <w:pPr>
              <w:pStyle w:val="Compact"/>
              <w:jc w:val="center"/>
            </w:pPr>
            <w:r>
              <w:t xml:space="preserve">17</w:t>
            </w:r>
          </w:p>
        </w:tc>
        <w:tc>
          <w:tcPr>
            <w:tcW w:w="1157" w:type="dxa"/>
          </w:tcPr>
          <w:p>
            <w:pPr>
              <w:pStyle w:val="Compact"/>
              <w:jc w:val="center"/>
            </w:pPr>
            <w:r>
              <w:t xml:space="preserve">PGR</w:t>
            </w:r>
          </w:p>
        </w:tc>
        <w:tc>
          <w:tcPr>
            <w:tcW w:w="1576" w:type="dxa"/>
          </w:tcPr>
          <w:p>
            <w:pPr>
              <w:pStyle w:val="Compact"/>
              <w:jc w:val="center"/>
            </w:pPr>
            <w:r>
              <w:t xml:space="preserve">-0,0262</w:t>
            </w:r>
          </w:p>
        </w:tc>
        <w:tc>
          <w:tcPr>
            <w:tcW w:w="1995" w:type="dxa"/>
          </w:tcPr>
          <w:p>
            <w:pPr>
              <w:pStyle w:val="Compact"/>
              <w:jc w:val="center"/>
            </w:pPr>
            <w:r>
              <w:t xml:space="preserve">Protetor (-)</w:t>
            </w:r>
          </w:p>
        </w:tc>
        <w:tc>
          <w:tcPr>
            <w:tcW w:w="3035" w:type="dxa"/>
          </w:tcPr>
          <w:p>
            <w:pPr>
              <w:pStyle w:val="Compact"/>
              <w:jc w:val="center"/>
            </w:pPr>
            <w:r>
              <w:t xml:space="preserve">Receptor de progesterona</w:t>
            </w:r>
          </w:p>
        </w:tc>
      </w:tr>
      <w:tr>
        <w:tc>
          <w:tcPr>
            <w:tcW w:w="877" w:type="dxa"/>
          </w:tcPr>
          <w:p>
            <w:pPr>
              <w:pStyle w:val="Compact"/>
              <w:jc w:val="center"/>
            </w:pPr>
            <w:r>
              <w:t xml:space="preserve">18</w:t>
            </w:r>
          </w:p>
        </w:tc>
        <w:tc>
          <w:tcPr>
            <w:tcW w:w="1157" w:type="dxa"/>
          </w:tcPr>
          <w:p>
            <w:pPr>
              <w:pStyle w:val="Compact"/>
              <w:jc w:val="center"/>
            </w:pPr>
            <w:r>
              <w:t xml:space="preserve">KRT17</w:t>
            </w:r>
          </w:p>
        </w:tc>
        <w:tc>
          <w:tcPr>
            <w:tcW w:w="1576" w:type="dxa"/>
          </w:tcPr>
          <w:p>
            <w:pPr>
              <w:pStyle w:val="Compact"/>
              <w:jc w:val="center"/>
            </w:pPr>
            <w:r>
              <w:t xml:space="preserve">-0,0163</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19</w:t>
            </w:r>
          </w:p>
        </w:tc>
        <w:tc>
          <w:tcPr>
            <w:tcW w:w="1157" w:type="dxa"/>
          </w:tcPr>
          <w:p>
            <w:pPr>
              <w:pStyle w:val="Compact"/>
              <w:jc w:val="center"/>
            </w:pPr>
            <w:r>
              <w:t xml:space="preserve">CENPF</w:t>
            </w:r>
          </w:p>
        </w:tc>
        <w:tc>
          <w:tcPr>
            <w:tcW w:w="1576" w:type="dxa"/>
          </w:tcPr>
          <w:p>
            <w:pPr>
              <w:pStyle w:val="Compact"/>
              <w:jc w:val="center"/>
            </w:pPr>
            <w:r>
              <w:t xml:space="preserve">+0,0150</w:t>
            </w:r>
          </w:p>
        </w:tc>
        <w:tc>
          <w:tcPr>
            <w:tcW w:w="1995" w:type="dxa"/>
          </w:tcPr>
          <w:p>
            <w:pPr>
              <w:pStyle w:val="Compact"/>
              <w:jc w:val="center"/>
            </w:pPr>
            <w:r>
              <w:t xml:space="preserve">Risco (+)</w:t>
            </w:r>
          </w:p>
        </w:tc>
        <w:tc>
          <w:tcPr>
            <w:tcW w:w="3035" w:type="dxa"/>
          </w:tcPr>
          <w:p>
            <w:pPr>
              <w:pStyle w:val="Compact"/>
              <w:jc w:val="center"/>
            </w:pPr>
            <w:r>
              <w:t xml:space="preserve">Proliferação / centrometro</w:t>
            </w:r>
          </w:p>
        </w:tc>
      </w:tr>
      <w:tr>
        <w:tc>
          <w:tcPr>
            <w:tcW w:w="877" w:type="dxa"/>
          </w:tcPr>
          <w:p>
            <w:pPr>
              <w:pStyle w:val="Compact"/>
              <w:jc w:val="center"/>
            </w:pPr>
            <w:r>
              <w:t xml:space="preserve">20</w:t>
            </w:r>
          </w:p>
        </w:tc>
        <w:tc>
          <w:tcPr>
            <w:tcW w:w="1157" w:type="dxa"/>
          </w:tcPr>
          <w:p>
            <w:pPr>
              <w:pStyle w:val="Compact"/>
              <w:jc w:val="center"/>
            </w:pPr>
            <w:r>
              <w:t xml:space="preserve">FGFR4</w:t>
            </w:r>
          </w:p>
        </w:tc>
        <w:tc>
          <w:tcPr>
            <w:tcW w:w="1576" w:type="dxa"/>
          </w:tcPr>
          <w:p>
            <w:pPr>
              <w:pStyle w:val="Compact"/>
              <w:jc w:val="center"/>
            </w:pPr>
            <w:r>
              <w:t xml:space="preserve">+0,0110</w:t>
            </w:r>
          </w:p>
        </w:tc>
        <w:tc>
          <w:tcPr>
            <w:tcW w:w="1995" w:type="dxa"/>
          </w:tcPr>
          <w:p>
            <w:pPr>
              <w:pStyle w:val="Compact"/>
              <w:jc w:val="center"/>
            </w:pPr>
            <w:r>
              <w:t xml:space="preserve">Risco (+)</w:t>
            </w:r>
          </w:p>
        </w:tc>
        <w:tc>
          <w:tcPr>
            <w:tcW w:w="3035" w:type="dxa"/>
          </w:tcPr>
          <w:p>
            <w:pPr>
              <w:pStyle w:val="Compact"/>
              <w:jc w:val="center"/>
            </w:pPr>
            <w:r>
              <w:t xml:space="preserve">Receptor de FGF</w:t>
            </w:r>
          </w:p>
        </w:tc>
      </w:tr>
      <w:tr>
        <w:tc>
          <w:tcPr>
            <w:tcW w:w="877" w:type="dxa"/>
          </w:tcPr>
          <w:p>
            <w:pPr>
              <w:pStyle w:val="Compact"/>
              <w:jc w:val="center"/>
            </w:pPr>
            <w:r>
              <w:t xml:space="preserve">21</w:t>
            </w:r>
          </w:p>
        </w:tc>
        <w:tc>
          <w:tcPr>
            <w:tcW w:w="1157" w:type="dxa"/>
          </w:tcPr>
          <w:p>
            <w:pPr>
              <w:pStyle w:val="Compact"/>
              <w:jc w:val="center"/>
            </w:pPr>
            <w:r>
              <w:t xml:space="preserve">BCL2</w:t>
            </w:r>
          </w:p>
        </w:tc>
        <w:tc>
          <w:tcPr>
            <w:tcW w:w="1576" w:type="dxa"/>
          </w:tcPr>
          <w:p>
            <w:pPr>
              <w:pStyle w:val="Compact"/>
              <w:jc w:val="center"/>
            </w:pPr>
            <w:r>
              <w:t xml:space="preserve">-0,0105</w:t>
            </w:r>
          </w:p>
        </w:tc>
        <w:tc>
          <w:tcPr>
            <w:tcW w:w="1995" w:type="dxa"/>
          </w:tcPr>
          <w:p>
            <w:pPr>
              <w:pStyle w:val="Compact"/>
              <w:jc w:val="center"/>
            </w:pPr>
            <w:r>
              <w:t xml:space="preserve">Protetor (-)</w:t>
            </w:r>
          </w:p>
        </w:tc>
        <w:tc>
          <w:tcPr>
            <w:tcW w:w="3035" w:type="dxa"/>
          </w:tcPr>
          <w:p>
            <w:pPr>
              <w:pStyle w:val="Compact"/>
              <w:jc w:val="center"/>
            </w:pPr>
            <w:r>
              <w:t xml:space="preserve">Anti-apoptose / diferenciação luminal</w:t>
            </w:r>
          </w:p>
        </w:tc>
      </w:tr>
      <w:tr>
        <w:tc>
          <w:tcPr>
            <w:tcW w:w="877" w:type="dxa"/>
          </w:tcPr>
          <w:p>
            <w:pPr>
              <w:pStyle w:val="Compact"/>
              <w:jc w:val="center"/>
            </w:pPr>
            <w:r>
              <w:t xml:space="preserve">22</w:t>
            </w:r>
          </w:p>
        </w:tc>
        <w:tc>
          <w:tcPr>
            <w:tcW w:w="1157" w:type="dxa"/>
          </w:tcPr>
          <w:p>
            <w:pPr>
              <w:pStyle w:val="Compact"/>
              <w:jc w:val="center"/>
            </w:pPr>
            <w:r>
              <w:t xml:space="preserve">MLPH</w:t>
            </w:r>
          </w:p>
        </w:tc>
        <w:tc>
          <w:tcPr>
            <w:tcW w:w="1576" w:type="dxa"/>
          </w:tcPr>
          <w:p>
            <w:pPr>
              <w:pStyle w:val="Compact"/>
              <w:jc w:val="center"/>
            </w:pPr>
            <w:r>
              <w:t xml:space="preserve">-0,0099</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23</w:t>
            </w:r>
          </w:p>
        </w:tc>
        <w:tc>
          <w:tcPr>
            <w:tcW w:w="1157" w:type="dxa"/>
          </w:tcPr>
          <w:p>
            <w:pPr>
              <w:pStyle w:val="Compact"/>
              <w:jc w:val="center"/>
            </w:pPr>
            <w:r>
              <w:t xml:space="preserve">ERBB2</w:t>
            </w:r>
          </w:p>
        </w:tc>
        <w:tc>
          <w:tcPr>
            <w:tcW w:w="1576" w:type="dxa"/>
          </w:tcPr>
          <w:p>
            <w:pPr>
              <w:pStyle w:val="Compact"/>
              <w:jc w:val="center"/>
            </w:pPr>
            <w:r>
              <w:t xml:space="preserve">-0,0082</w:t>
            </w:r>
          </w:p>
        </w:tc>
        <w:tc>
          <w:tcPr>
            <w:tcW w:w="1995" w:type="dxa"/>
          </w:tcPr>
          <w:p>
            <w:pPr>
              <w:pStyle w:val="Compact"/>
              <w:jc w:val="center"/>
            </w:pPr>
            <w:r>
              <w:t xml:space="preserve">Protetor (-)</w:t>
            </w:r>
          </w:p>
        </w:tc>
        <w:tc>
          <w:tcPr>
            <w:tcW w:w="3035" w:type="dxa"/>
          </w:tcPr>
          <w:p>
            <w:pPr>
              <w:pStyle w:val="Compact"/>
              <w:jc w:val="center"/>
            </w:pPr>
            <w:r>
              <w:t xml:space="preserve">Receptor HER2</w:t>
            </w:r>
          </w:p>
        </w:tc>
      </w:tr>
      <w:tr>
        <w:tc>
          <w:tcPr>
            <w:tcW w:w="877" w:type="dxa"/>
          </w:tcPr>
          <w:p>
            <w:pPr>
              <w:pStyle w:val="Compact"/>
              <w:jc w:val="center"/>
            </w:pPr>
            <w:r>
              <w:t xml:space="preserve">24</w:t>
            </w:r>
          </w:p>
        </w:tc>
        <w:tc>
          <w:tcPr>
            <w:tcW w:w="1157" w:type="dxa"/>
          </w:tcPr>
          <w:p>
            <w:pPr>
              <w:pStyle w:val="Compact"/>
              <w:jc w:val="center"/>
            </w:pPr>
            <w:r>
              <w:t xml:space="preserve">GRB7</w:t>
            </w:r>
          </w:p>
        </w:tc>
        <w:tc>
          <w:tcPr>
            <w:tcW w:w="1576" w:type="dxa"/>
          </w:tcPr>
          <w:p>
            <w:pPr>
              <w:pStyle w:val="Compact"/>
              <w:jc w:val="center"/>
            </w:pPr>
            <w:r>
              <w:t xml:space="preserve">-0,0053</w:t>
            </w:r>
          </w:p>
        </w:tc>
        <w:tc>
          <w:tcPr>
            <w:tcW w:w="1995" w:type="dxa"/>
          </w:tcPr>
          <w:p>
            <w:pPr>
              <w:pStyle w:val="Compact"/>
              <w:jc w:val="center"/>
            </w:pPr>
            <w:r>
              <w:t xml:space="preserve">Protetor (-)</w:t>
            </w:r>
          </w:p>
        </w:tc>
        <w:tc>
          <w:tcPr>
            <w:tcW w:w="3035" w:type="dxa"/>
          </w:tcPr>
          <w:p>
            <w:pPr>
              <w:pStyle w:val="Compact"/>
              <w:jc w:val="center"/>
            </w:pPr>
            <w:r>
              <w:t xml:space="preserve">Transdução de sinal HER2</w:t>
            </w:r>
          </w:p>
        </w:tc>
      </w:tr>
    </w:tbl>
    <w:bookmarkEnd w:id="99"/>
    <w:p/>
    <w:p>
      <w:r>
        <w:br w:type="page"/>
      </w:r>
    </w:p>
    <w:p>
      <w:pPr>
        <w:pStyle w:val="Compact"/>
        <w:jc w:val="center"/>
      </w:pPr>
      <w:bookmarkStart w:id="103" w:name="fig-weights"/>
      <w:r>
        <w:drawing>
          <wp:inline>
            <wp:extent cx="5399999" cy="4049999"/>
            <wp:effectExtent b="0" l="0" r="0" t="0"/>
            <wp:docPr descr="" title="" id="101" name="Picture"/>
            <a:graphic>
              <a:graphicData uri="http://schemas.openxmlformats.org/drawingml/2006/picture">
                <pic:pic>
                  <pic:nvPicPr>
                    <pic:cNvPr descr="../figures/supp/pt/png/FigS_Weights_CorePAM_Lollipop_PT.png" id="102" name="Picture"/>
                    <pic:cNvPicPr>
                      <a:picLocks noChangeArrowheads="1" noChangeAspect="1"/>
                    </pic:cNvPicPr>
                  </pic:nvPicPr>
                  <pic:blipFill>
                    <a:blip r:embed="rId100"/>
                    <a:stretch>
                      <a:fillRect/>
                    </a:stretch>
                  </pic:blipFill>
                  <pic:spPr bwMode="auto">
                    <a:xfrm>
                      <a:off x="0" y="0"/>
                      <a:ext cx="5399999" cy="4049999"/>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3"/>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7" w:name="fig-bootstrap"/>
      <w:r>
        <w:drawing>
          <wp:inline>
            <wp:extent cx="5399999" cy="6355156"/>
            <wp:effectExtent b="0" l="0" r="0" t="0"/>
            <wp:docPr descr="" title="" id="105" name="Picture"/>
            <a:graphic>
              <a:graphicData uri="http://schemas.openxmlformats.org/drawingml/2006/picture">
                <pic:pic>
                  <pic:nvPicPr>
                    <pic:cNvPr descr="../figures/supp/pt/png/FigS_Bootstrap_GeneFreq_PT.png" id="106" name="Picture"/>
                    <pic:cNvPicPr>
                      <a:picLocks noChangeArrowheads="1" noChangeAspect="1"/>
                    </pic:cNvPicPr>
                  </pic:nvPicPr>
                  <pic:blipFill>
                    <a:blip r:embed="rId104"/>
                    <a:stretch>
                      <a:fillRect/>
                    </a:stretch>
                  </pic:blipFill>
                  <pic:spPr bwMode="auto">
                    <a:xfrm>
                      <a:off x="0" y="0"/>
                      <a:ext cx="5399999" cy="6355156"/>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7"/>
    <w:p>
      <w:r>
        <w:br w:type="page"/>
      </w:r>
    </w:p>
    <w:p>
      <w:pPr>
        <w:pStyle w:val="Compact"/>
        <w:jc w:val="center"/>
      </w:pPr>
      <w:bookmarkStart w:id="111" w:name="fig-dropgene"/>
      <w:r>
        <w:drawing>
          <wp:inline>
            <wp:extent cx="5399999" cy="5399999"/>
            <wp:effectExtent b="0" l="0" r="0" t="0"/>
            <wp:docPr descr="" title="" id="109" name="Picture"/>
            <a:graphic>
              <a:graphicData uri="http://schemas.openxmlformats.org/drawingml/2006/picture">
                <pic:pic>
                  <pic:nvPicPr>
                    <pic:cNvPr descr="../figures/supp/pt/png/FigS_DropGene_Tornado_PT.png" id="110" name="Picture"/>
                    <pic:cNvPicPr>
                      <a:picLocks noChangeArrowheads="1" noChangeAspect="1"/>
                    </pic:cNvPicPr>
                  </pic:nvPicPr>
                  <pic:blipFill>
                    <a:blip r:embed="rId108"/>
                    <a:stretch>
                      <a:fillRect/>
                    </a:stretch>
                  </pic:blipFill>
                  <pic:spPr bwMode="auto">
                    <a:xfrm>
                      <a:off x="0" y="0"/>
                      <a:ext cx="5399999" cy="5399999"/>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1"/>
    <w:p>
      <w:r>
        <w:br w:type="page"/>
      </w:r>
    </w:p>
    <w:bookmarkEnd w:id="112"/>
    <w:bookmarkStart w:id="134" w:name="validação-prognóstica-externa"/>
    <w:p>
      <w:pPr>
        <w:pStyle w:val="Heading2"/>
      </w:pPr>
      <w:r>
        <w:t xml:space="preserve">4.2 Validação prognóstica externa</w:t>
      </w:r>
    </w:p>
    <w:p>
      <w:pPr>
        <w:pStyle w:val="FirstParagraph"/>
      </w:pPr>
      <w:r>
        <w:t xml:space="preserve">O escore CorePAM foi independentemente associado a sobrevida em todas as quatro coortes de validação externas (</w:t>
      </w:r>
      <w:hyperlink w:anchor="tbl-survival-performance">
        <w:r>
          <w:rPr>
            <w:rStyle w:val="Hyperlink"/>
          </w:rPr>
          <w:t xml:space="preserve">Tabela 6</w:t>
        </w:r>
      </w:hyperlink>
      <w:r>
        <w:t xml:space="preserve">).</w:t>
      </w:r>
    </w:p>
    <w:p>
      <w:pPr>
        <w:jc w:val="left"/>
        <w:spacing w:before="200"/>
        <w:pStyle w:val="ImageCaption"/>
      </w:pPr>
      <w:bookmarkStart w:id="113" w:name="tbl-survival-performance"/>
      <w:r>
        <w:t xml:space="preserve">Tabela 6 — Desempenho prognóstico do CorePAM por coorte. Linha SCAN-B é a coorte de treinamento.</w:t>
      </w:r>
      <w:r>
        <w:t xml:space="preserve"> </w:t>
      </w:r>
      <w:r>
        <w:rPr>
          <w:i/>
          <w:iCs/>
        </w:rPr>
        <w:t xml:space="preserve">C-index</w:t>
      </w:r>
      <w:r>
        <w:t xml:space="preserve"> </w:t>
      </w:r>
      <w:r>
        <w:t xml:space="preserve">OOF = 0,670. GSE1456: covariáveis clínicas indisponíveis.</w:t>
      </w:r>
    </w:p>
    <w:tbl>
      <w:tblPr>
        <w:tblStyle w:val="Table"/>
        <w:tblW w:type="dxa" w:w="8640"/>
        <w:tblLayout w:type="fixed"/>
        <w:tblLook w:firstRow="1" w:lastRow="0" w:firstColumn="0" w:lastColumn="0" w:noHBand="0" w:noVBand="0" w:val="0020"/>
      </w:tblPr>
      <w:tblGrid>
        <w:gridCol w:w="997"/>
        <w:gridCol w:w="964"/>
        <w:gridCol w:w="1173"/>
        <w:gridCol w:w="1792"/>
        <w:gridCol w:w="1792"/>
        <w:gridCol w:w="1922"/>
      </w:tblGrid>
      <w:tr>
        <w:trPr>
          <w:tblHeader w:val="on"/>
        </w:trPr>
        <w:tc>
          <w:tcPr>
            <w:tcW w:w="997" w:type="dxa"/>
          </w:tcPr>
          <w:p>
            <w:pPr>
              <w:pStyle w:val="Compact"/>
              <w:jc w:val="left"/>
              <w:jc w:val="center"/>
            </w:pPr>
            <w:r>
              <w:t xml:space="preserve">Coorte</w:t>
            </w:r>
          </w:p>
        </w:tc>
        <w:tc>
          <w:tcPr>
            <w:tcW w:w="964" w:type="dxa"/>
          </w:tcPr>
          <w:p>
            <w:pPr>
              <w:pStyle w:val="Compact"/>
              <w:jc w:val="center"/>
              <w:jc w:val="center"/>
            </w:pPr>
            <w:r>
              <w:rPr>
                <w:i/>
                <w:iCs/>
              </w:rPr>
              <w:t xml:space="preserve">Endpoint</w:t>
            </w:r>
          </w:p>
        </w:tc>
        <w:tc>
          <w:tcPr>
            <w:tcW w:w="1173" w:type="dxa"/>
          </w:tcPr>
          <w:p>
            <w:pPr>
              <w:pStyle w:val="Compact"/>
              <w:jc w:val="center"/>
              <w:jc w:val="center"/>
            </w:pPr>
            <w:r>
              <w:t xml:space="preserve">N / eventos</w:t>
            </w:r>
          </w:p>
        </w:tc>
        <w:tc>
          <w:tcPr>
            <w:tcW w:w="1792" w:type="dxa"/>
          </w:tcPr>
          <w:p>
            <w:pPr>
              <w:pStyle w:val="Compact"/>
              <w:jc w:val="left"/>
              <w:jc w:val="center"/>
            </w:pPr>
            <w:r>
              <w:t xml:space="preserve">HR univariado (IC 95%); p</w:t>
            </w:r>
          </w:p>
        </w:tc>
        <w:tc>
          <w:tcPr>
            <w:tcW w:w="1792" w:type="dxa"/>
          </w:tcPr>
          <w:p>
            <w:pPr>
              <w:pStyle w:val="Compact"/>
              <w:jc w:val="left"/>
              <w:jc w:val="center"/>
            </w:pPr>
            <w:r>
              <w:t xml:space="preserve">HR ajustado CORE-A (IC 95%)</w:t>
            </w:r>
          </w:p>
        </w:tc>
        <w:tc>
          <w:tcPr>
            <w:tcW w:w="1922" w:type="dxa"/>
          </w:tcPr>
          <w:p>
            <w:pPr>
              <w:pStyle w:val="Compact"/>
              <w:jc w:val="left"/>
              <w:jc w:val="center"/>
            </w:pPr>
            <w:r>
              <w:rPr>
                <w:i/>
                <w:iCs/>
              </w:rPr>
              <w:t xml:space="preserve">C-index</w:t>
            </w:r>
            <w:r>
              <w:t xml:space="preserve"> </w:t>
            </w:r>
            <w:r>
              <w:t xml:space="preserve">(IC 95%)</w:t>
            </w:r>
          </w:p>
        </w:tc>
      </w:tr>
      <w:tr>
        <w:tc>
          <w:tcPr>
            <w:tcW w:w="997" w:type="dxa"/>
          </w:tcPr>
          <w:p>
            <w:pPr>
              <w:pStyle w:val="Compact"/>
              <w:jc w:val="left"/>
              <w:jc w:val="center"/>
            </w:pPr>
            <w:r>
              <w:t xml:space="preserve">SCAN-B*</w:t>
            </w:r>
          </w:p>
        </w:tc>
        <w:tc>
          <w:tcPr>
            <w:tcW w:w="964" w:type="dxa"/>
          </w:tcPr>
          <w:p>
            <w:pPr>
              <w:pStyle w:val="Compact"/>
              <w:jc w:val="center"/>
              <w:jc w:val="center"/>
            </w:pPr>
            <w:r>
              <w:t xml:space="preserve">OS</w:t>
            </w:r>
          </w:p>
        </w:tc>
        <w:tc>
          <w:tcPr>
            <w:tcW w:w="1173" w:type="dxa"/>
          </w:tcPr>
          <w:p>
            <w:pPr>
              <w:pStyle w:val="Compact"/>
              <w:jc w:val="center"/>
              <w:jc w:val="center"/>
            </w:pPr>
            <w:r>
              <w:t xml:space="preserve">3 069 / 322</w:t>
            </w:r>
          </w:p>
        </w:tc>
        <w:tc>
          <w:tcPr>
            <w:tcW w:w="1792" w:type="dxa"/>
          </w:tcPr>
          <w:p>
            <w:pPr>
              <w:pStyle w:val="Compact"/>
              <w:jc w:val="left"/>
              <w:jc w:val="center"/>
            </w:pPr>
            <w:r>
              <w:t xml:space="preserve">1,92 (1,74–2,13); p &lt; 0,001</w:t>
            </w:r>
          </w:p>
        </w:tc>
        <w:tc>
          <w:tcPr>
            <w:tcW w:w="1792" w:type="dxa"/>
          </w:tcPr>
          <w:p>
            <w:pPr>
              <w:pStyle w:val="Compact"/>
              <w:jc w:val="left"/>
              <w:jc w:val="center"/>
            </w:pPr>
            <w:r>
              <w:t xml:space="preserve">1,86 (1,64–2,12)</w:t>
            </w:r>
          </w:p>
        </w:tc>
        <w:tc>
          <w:tcPr>
            <w:tcW w:w="1922" w:type="dxa"/>
          </w:tcPr>
          <w:p>
            <w:pPr>
              <w:pStyle w:val="Compact"/>
              <w:jc w:val="left"/>
              <w:jc w:val="center"/>
            </w:pPr>
            <w:r>
              <w:t xml:space="preserve">0,698 (0,668–0,729)</w:t>
            </w:r>
          </w:p>
        </w:tc>
      </w:tr>
      <w:tr>
        <w:tc>
          <w:tcPr>
            <w:tcW w:w="997" w:type="dxa"/>
          </w:tcPr>
          <w:p>
            <w:pPr>
              <w:pStyle w:val="Compact"/>
              <w:jc w:val="left"/>
              <w:jc w:val="center"/>
            </w:pPr>
            <w:r>
              <w:t xml:space="preserve">TCGA-BRCA</w:t>
            </w:r>
          </w:p>
        </w:tc>
        <w:tc>
          <w:tcPr>
            <w:tcW w:w="964" w:type="dxa"/>
          </w:tcPr>
          <w:p>
            <w:pPr>
              <w:pStyle w:val="Compact"/>
              <w:jc w:val="center"/>
              <w:jc w:val="center"/>
            </w:pPr>
            <w:r>
              <w:t xml:space="preserve">OS</w:t>
            </w:r>
          </w:p>
        </w:tc>
        <w:tc>
          <w:tcPr>
            <w:tcW w:w="1173" w:type="dxa"/>
          </w:tcPr>
          <w:p>
            <w:pPr>
              <w:pStyle w:val="Compact"/>
              <w:jc w:val="center"/>
              <w:jc w:val="center"/>
            </w:pPr>
            <w:r>
              <w:t xml:space="preserve">1 072 / 150</w:t>
            </w:r>
          </w:p>
        </w:tc>
        <w:tc>
          <w:tcPr>
            <w:tcW w:w="1792" w:type="dxa"/>
          </w:tcPr>
          <w:p>
            <w:pPr>
              <w:pStyle w:val="Compact"/>
              <w:jc w:val="left"/>
              <w:jc w:val="center"/>
            </w:pPr>
            <w:r>
              <w:t xml:space="preserve">1,20 (1,04–1,40); p = 0,016</w:t>
            </w:r>
          </w:p>
        </w:tc>
        <w:tc>
          <w:tcPr>
            <w:tcW w:w="1792" w:type="dxa"/>
          </w:tcPr>
          <w:p>
            <w:pPr>
              <w:pStyle w:val="Compact"/>
              <w:jc w:val="left"/>
              <w:jc w:val="center"/>
            </w:pPr>
            <w:r>
              <w:t xml:space="preserve">1,27 (1,09–1,48)</w:t>
            </w:r>
          </w:p>
        </w:tc>
        <w:tc>
          <w:tcPr>
            <w:tcW w:w="1922" w:type="dxa"/>
          </w:tcPr>
          <w:p>
            <w:pPr>
              <w:pStyle w:val="Compact"/>
              <w:jc w:val="left"/>
              <w:jc w:val="center"/>
            </w:pPr>
            <w:r>
              <w:t xml:space="preserve">0,624 (0,572–0,678)</w:t>
            </w:r>
          </w:p>
        </w:tc>
      </w:tr>
      <w:tr>
        <w:tc>
          <w:tcPr>
            <w:tcW w:w="997" w:type="dxa"/>
          </w:tcPr>
          <w:p>
            <w:pPr>
              <w:pStyle w:val="Compact"/>
              <w:jc w:val="left"/>
              <w:jc w:val="center"/>
            </w:pPr>
            <w:r>
              <w:t xml:space="preserve">METABRIC</w:t>
            </w:r>
          </w:p>
        </w:tc>
        <w:tc>
          <w:tcPr>
            <w:tcW w:w="964" w:type="dxa"/>
          </w:tcPr>
          <w:p>
            <w:pPr>
              <w:pStyle w:val="Compact"/>
              <w:jc w:val="center"/>
              <w:jc w:val="center"/>
            </w:pPr>
            <w:r>
              <w:t xml:space="preserve">DSS</w:t>
            </w:r>
          </w:p>
        </w:tc>
        <w:tc>
          <w:tcPr>
            <w:tcW w:w="1173" w:type="dxa"/>
          </w:tcPr>
          <w:p>
            <w:pPr>
              <w:pStyle w:val="Compact"/>
              <w:jc w:val="center"/>
              <w:jc w:val="center"/>
            </w:pPr>
            <w:r>
              <w:t xml:space="preserve">1 978 / 646</w:t>
            </w:r>
          </w:p>
        </w:tc>
        <w:tc>
          <w:tcPr>
            <w:tcW w:w="1792" w:type="dxa"/>
          </w:tcPr>
          <w:p>
            <w:pPr>
              <w:pStyle w:val="Compact"/>
              <w:jc w:val="left"/>
              <w:jc w:val="center"/>
            </w:pPr>
            <w:r>
              <w:t xml:space="preserve">1,41 (1,31–1,52); p &lt; 0,001</w:t>
            </w:r>
          </w:p>
        </w:tc>
        <w:tc>
          <w:tcPr>
            <w:tcW w:w="1792" w:type="dxa"/>
          </w:tcPr>
          <w:p>
            <w:pPr>
              <w:pStyle w:val="Compact"/>
              <w:jc w:val="left"/>
              <w:jc w:val="center"/>
            </w:pPr>
            <w:r>
              <w:t xml:space="preserve">1,36 (1,24–1,48)</w:t>
            </w:r>
          </w:p>
        </w:tc>
        <w:tc>
          <w:tcPr>
            <w:tcW w:w="1922" w:type="dxa"/>
          </w:tcPr>
          <w:p>
            <w:pPr>
              <w:pStyle w:val="Compact"/>
              <w:jc w:val="left"/>
              <w:jc w:val="center"/>
            </w:pPr>
            <w:r>
              <w:t xml:space="preserve">0,638 (0,615–0,659)</w:t>
            </w:r>
          </w:p>
        </w:tc>
      </w:tr>
      <w:tr>
        <w:tc>
          <w:tcPr>
            <w:tcW w:w="997" w:type="dxa"/>
          </w:tcPr>
          <w:p>
            <w:pPr>
              <w:pStyle w:val="Compact"/>
              <w:jc w:val="left"/>
              <w:jc w:val="center"/>
            </w:pPr>
            <w:r>
              <w:t xml:space="preserve">GSE20685</w:t>
            </w:r>
          </w:p>
        </w:tc>
        <w:tc>
          <w:tcPr>
            <w:tcW w:w="964" w:type="dxa"/>
          </w:tcPr>
          <w:p>
            <w:pPr>
              <w:pStyle w:val="Compact"/>
              <w:jc w:val="center"/>
              <w:jc w:val="center"/>
            </w:pPr>
            <w:r>
              <w:t xml:space="preserve">OS</w:t>
            </w:r>
          </w:p>
        </w:tc>
        <w:tc>
          <w:tcPr>
            <w:tcW w:w="1173" w:type="dxa"/>
          </w:tcPr>
          <w:p>
            <w:pPr>
              <w:pStyle w:val="Compact"/>
              <w:jc w:val="center"/>
              <w:jc w:val="center"/>
            </w:pPr>
            <w:r>
              <w:t xml:space="preserve">327 / 83</w:t>
            </w:r>
          </w:p>
        </w:tc>
        <w:tc>
          <w:tcPr>
            <w:tcW w:w="1792" w:type="dxa"/>
          </w:tcPr>
          <w:p>
            <w:pPr>
              <w:pStyle w:val="Compact"/>
              <w:jc w:val="left"/>
              <w:jc w:val="center"/>
            </w:pPr>
            <w:r>
              <w:t xml:space="preserve">1,40 (1,12–1,75); p = 0,003</w:t>
            </w:r>
          </w:p>
        </w:tc>
        <w:tc>
          <w:tcPr>
            <w:tcW w:w="1792" w:type="dxa"/>
          </w:tcPr>
          <w:p>
            <w:pPr>
              <w:pStyle w:val="Compact"/>
              <w:jc w:val="left"/>
              <w:jc w:val="center"/>
            </w:pPr>
            <w:r>
              <w:t xml:space="preserve">1,40 (1,12–1,75)</w:t>
            </w:r>
          </w:p>
        </w:tc>
        <w:tc>
          <w:tcPr>
            <w:tcW w:w="1922" w:type="dxa"/>
          </w:tcPr>
          <w:p>
            <w:pPr>
              <w:pStyle w:val="Compact"/>
              <w:jc w:val="left"/>
              <w:jc w:val="center"/>
            </w:pPr>
            <w:r>
              <w:t xml:space="preserve">0,626 (0,565–0,684)</w:t>
            </w:r>
          </w:p>
        </w:tc>
      </w:tr>
      <w:tr>
        <w:tc>
          <w:tcPr>
            <w:tcW w:w="997" w:type="dxa"/>
          </w:tcPr>
          <w:p>
            <w:pPr>
              <w:pStyle w:val="Compact"/>
              <w:jc w:val="left"/>
              <w:jc w:val="center"/>
            </w:pPr>
            <w:r>
              <w:t xml:space="preserve">GSE1456**</w:t>
            </w:r>
          </w:p>
        </w:tc>
        <w:tc>
          <w:tcPr>
            <w:tcW w:w="964" w:type="dxa"/>
          </w:tcPr>
          <w:p>
            <w:pPr>
              <w:pStyle w:val="Compact"/>
              <w:jc w:val="center"/>
              <w:jc w:val="center"/>
            </w:pPr>
            <w:r>
              <w:t xml:space="preserve">OS</w:t>
            </w:r>
          </w:p>
        </w:tc>
        <w:tc>
          <w:tcPr>
            <w:tcW w:w="1173" w:type="dxa"/>
          </w:tcPr>
          <w:p>
            <w:pPr>
              <w:pStyle w:val="Compact"/>
              <w:jc w:val="center"/>
              <w:jc w:val="center"/>
            </w:pPr>
            <w:r>
              <w:t xml:space="preserve">159 / 40</w:t>
            </w:r>
          </w:p>
        </w:tc>
        <w:tc>
          <w:tcPr>
            <w:tcW w:w="1792" w:type="dxa"/>
          </w:tcPr>
          <w:p>
            <w:pPr>
              <w:pStyle w:val="Compact"/>
              <w:jc w:val="left"/>
              <w:jc w:val="center"/>
            </w:pPr>
            <w:r>
              <w:t xml:space="preserve">1,71 (1,23–2,38); p = 0,001</w:t>
            </w:r>
          </w:p>
        </w:tc>
        <w:tc>
          <w:tcPr>
            <w:tcW w:w="1792" w:type="dxa"/>
          </w:tcPr>
          <w:p>
            <w:pPr>
              <w:pStyle w:val="Compact"/>
              <w:jc w:val="left"/>
              <w:jc w:val="center"/>
            </w:pPr>
            <w:r>
              <w:t xml:space="preserve">—</w:t>
            </w:r>
          </w:p>
        </w:tc>
        <w:tc>
          <w:tcPr>
            <w:tcW w:w="1922" w:type="dxa"/>
          </w:tcPr>
          <w:p>
            <w:pPr>
              <w:pStyle w:val="Compact"/>
              <w:jc w:val="left"/>
              <w:jc w:val="center"/>
            </w:pPr>
            <w:r>
              <w:t xml:space="preserve">0,661 (0,582–0,741)</w:t>
            </w:r>
          </w:p>
        </w:tc>
      </w:tr>
    </w:tbl>
    <w:bookmarkEnd w:id="113"/>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com o eixo horizontal indicando o tempo em meses desde o diagnóstico e o eixo vertical a fração de pacientes ainda vivos (ou livres de evento, no caso da METABRIC, que usa sobrevida doença-específica). A curva vermelha superior corresponde ao subgrupo classificado como alto risco pelo CorePAM (escore acima da mediana intra-coorte), e a azul inferior ao subgrupo de baixo risco. A distância vertical entre as duas curvas em qualquer ponto do tempo traduz diretamente a diferença absoluta de sobrevida entre os grupos, e o</w:t>
      </w:r>
      <w:r>
        <w:t xml:space="preserve"> </w:t>
      </w:r>
      <w:r>
        <w:rPr>
          <w:i/>
          <w:iCs/>
        </w:rPr>
        <w:t xml:space="preserve">hazard ratio</w:t>
      </w:r>
      <w:r>
        <w:t xml:space="preserve"> </w:t>
      </w:r>
      <w:r>
        <w:t xml:space="preserve">reportado quantifica essa separação em escala relativa multiplicativa. A consistência da estratificação — observada inclusive em populações geograficamente e plataforma-distintas, como Taiwan (GSE20685) e Estocolmo (GSE1456) — é o que sustenta a alegação de transportabilidade da assinatura.</w:t>
      </w:r>
    </w:p>
    <w:p>
      <w:pPr>
        <w:pStyle w:val="Compact"/>
        <w:jc w:val="center"/>
      </w:pPr>
      <w:bookmarkStart w:id="117" w:name="fig-km-multipanel"/>
      <w:r>
        <w:drawing>
          <wp:inline>
            <wp:extent cx="5399999" cy="7199999"/>
            <wp:effectExtent b="0" l="0" r="0" t="0"/>
            <wp:docPr descr="" title="" id="115" name="Picture"/>
            <a:graphic>
              <a:graphicData uri="http://schemas.openxmlformats.org/drawingml/2006/picture">
                <pic:pic>
                  <pic:nvPicPr>
                    <pic:cNvPr descr="../figures/main/pt/png/Fig2_KM_MultiPanel_PT.png" id="116" name="Picture"/>
                    <pic:cNvPicPr>
                      <a:picLocks noChangeArrowheads="1" noChangeAspect="1"/>
                    </pic:cNvPicPr>
                  </pic:nvPicPr>
                  <pic:blipFill>
                    <a:blip r:embed="rId114"/>
                    <a:stretch>
                      <a:fillRect/>
                    </a:stretch>
                  </pic:blipFill>
                  <pic:spPr bwMode="auto">
                    <a:xfrm>
                      <a:off x="0" y="0"/>
                      <a:ext cx="5399999" cy="7199999"/>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p>
    <w:bookmarkEnd w:id="117"/>
    <w:p>
      <w:r>
        <w:br w:type="page"/>
      </w:r>
    </w:p>
    <w:p>
      <w:pPr>
        <w:pStyle w:val="Compact"/>
        <w:jc w:val="center"/>
      </w:pPr>
      <w:bookmarkStart w:id="121" w:name="fig-km-scanb"/>
      <w:r>
        <w:drawing>
          <wp:inline>
            <wp:extent cx="5399999" cy="4049999"/>
            <wp:effectExtent b="0" l="0" r="0" t="0"/>
            <wp:docPr descr="" title="" id="119" name="Picture"/>
            <a:graphic>
              <a:graphicData uri="http://schemas.openxmlformats.org/drawingml/2006/picture">
                <pic:pic>
                  <pic:nvPicPr>
                    <pic:cNvPr descr="../figures/main/pt/png/Fig3_KM_SCANB_OS_CorePAM_PT.png" id="120" name="Picture"/>
                    <pic:cNvPicPr>
                      <a:picLocks noChangeArrowheads="1" noChangeAspect="1"/>
                    </pic:cNvPicPr>
                  </pic:nvPicPr>
                  <pic:blipFill>
                    <a:blip r:embed="rId118"/>
                    <a:stretch>
                      <a:fillRect/>
                    </a:stretch>
                  </pic:blipFill>
                  <pic:spPr bwMode="auto">
                    <a:xfrm>
                      <a:off x="0" y="0"/>
                      <a:ext cx="5399999" cy="4049999"/>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1"/>
    <w:p>
      <w:r>
        <w:br w:type="page"/>
      </w:r>
    </w:p>
    <w:p>
      <w:pPr>
        <w:pStyle w:val="Compact"/>
        <w:jc w:val="center"/>
      </w:pPr>
      <w:bookmarkStart w:id="125" w:name="fig-km-tcga"/>
      <w:r>
        <w:drawing>
          <wp:inline>
            <wp:extent cx="5399999" cy="4049999"/>
            <wp:effectExtent b="0" l="0" r="0" t="0"/>
            <wp:docPr descr="" title="" id="123" name="Picture"/>
            <a:graphic>
              <a:graphicData uri="http://schemas.openxmlformats.org/drawingml/2006/picture">
                <pic:pic>
                  <pic:nvPicPr>
                    <pic:cNvPr descr="../figures/main/pt/png/Fig2_KM_TCGA_BRCA_OS_PT.png" id="124" name="Picture"/>
                    <pic:cNvPicPr>
                      <a:picLocks noChangeArrowheads="1" noChangeAspect="1"/>
                    </pic:cNvPicPr>
                  </pic:nvPicPr>
                  <pic:blipFill>
                    <a:blip r:embed="rId122"/>
                    <a:stretch>
                      <a:fillRect/>
                    </a:stretch>
                  </pic:blipFill>
                  <pic:spPr bwMode="auto">
                    <a:xfrm>
                      <a:off x="0" y="0"/>
                      <a:ext cx="5399999" cy="4049999"/>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5"/>
    <w:p>
      <w:r>
        <w:br w:type="page"/>
      </w:r>
    </w:p>
    <w:p>
      <w:pPr>
        <w:pStyle w:val="Compact"/>
        <w:jc w:val="center"/>
      </w:pPr>
      <w:bookmarkStart w:id="129" w:name="fig-km-metabric"/>
      <w:r>
        <w:drawing>
          <wp:inline>
            <wp:extent cx="5399999" cy="4049999"/>
            <wp:effectExtent b="0" l="0" r="0" t="0"/>
            <wp:docPr descr="" title="" id="127" name="Picture"/>
            <a:graphic>
              <a:graphicData uri="http://schemas.openxmlformats.org/drawingml/2006/picture">
                <pic:pic>
                  <pic:nvPicPr>
                    <pic:cNvPr descr="../figures/main/pt/png/Fig2_KM_METABRIC_DSS_PT.png" id="128" name="Picture"/>
                    <pic:cNvPicPr>
                      <a:picLocks noChangeArrowheads="1" noChangeAspect="1"/>
                    </pic:cNvPicPr>
                  </pic:nvPicPr>
                  <pic:blipFill>
                    <a:blip r:embed="rId126"/>
                    <a:stretch>
                      <a:fillRect/>
                    </a:stretch>
                  </pic:blipFill>
                  <pic:spPr bwMode="auto">
                    <a:xfrm>
                      <a:off x="0" y="0"/>
                      <a:ext cx="5399999" cy="4049999"/>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29"/>
    <w:p>
      <w:r>
        <w:br w:type="page"/>
      </w:r>
    </w:p>
    <w:p>
      <w:pPr>
        <w:pStyle w:val="Compact"/>
        <w:jc w:val="center"/>
      </w:pPr>
      <w:bookmarkStart w:id="133" w:name="fig-km-gse20685"/>
      <w:r>
        <w:drawing>
          <wp:inline>
            <wp:extent cx="5399999" cy="4049999"/>
            <wp:effectExtent b="0" l="0" r="0" t="0"/>
            <wp:docPr descr="" title="" id="131" name="Picture"/>
            <a:graphic>
              <a:graphicData uri="http://schemas.openxmlformats.org/drawingml/2006/picture">
                <pic:pic>
                  <pic:nvPicPr>
                    <pic:cNvPr descr="../figures/main/pt/png/Fig2_KM_GSE20685_OS_PT.png" id="132" name="Picture"/>
                    <pic:cNvPicPr>
                      <a:picLocks noChangeArrowheads="1" noChangeAspect="1"/>
                    </pic:cNvPicPr>
                  </pic:nvPicPr>
                  <pic:blipFill>
                    <a:blip r:embed="rId130"/>
                    <a:stretch>
                      <a:fillRect/>
                    </a:stretch>
                  </pic:blipFill>
                  <pic:spPr bwMode="auto">
                    <a:xfrm>
                      <a:off x="0" y="0"/>
                      <a:ext cx="5399999" cy="4049999"/>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3"/>
    <w:p>
      <w:r>
        <w:br w:type="page"/>
      </w:r>
    </w:p>
    <w:bookmarkEnd w:id="134"/>
    <w:bookmarkStart w:id="140" w:name="meta-análise-de-sobrevida"/>
    <w:p>
      <w:pPr>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5" w:name="tbl-meta-survival"/>
      <w:r>
        <w:t xml:space="preserve">Tabela 7 — Meta-análise de efeitos aleatórios — sobrevida (K = 4)</w:t>
      </w:r>
    </w:p>
    <w:tbl>
      <w:tblPr>
        <w:tblStyle w:val="Table"/>
        <w:tblW w:type="dxa" w:w="8640"/>
        <w:tblLayout w:type="fixed"/>
        <w:tblLook w:firstRow="1" w:lastRow="0" w:firstColumn="0" w:lastColumn="0" w:noHBand="0" w:noVBand="0" w:val="0020"/>
      </w:tblPr>
      <w:tblGrid>
        <w:gridCol w:w="2263"/>
        <w:gridCol w:w="2040"/>
        <w:gridCol w:w="1370"/>
        <w:gridCol w:w="1370"/>
        <w:gridCol w:w="1597"/>
      </w:tblGrid>
      <w:tr>
        <w:trPr>
          <w:tblHeader w:val="on"/>
        </w:trPr>
        <w:tc>
          <w:tcPr>
            <w:tcW w:w="2263" w:type="dxa"/>
          </w:tcPr>
          <w:p>
            <w:pPr>
              <w:pStyle w:val="Compact"/>
              <w:jc w:val="left"/>
              <w:jc w:val="center"/>
            </w:pPr>
            <w:r>
              <w:t xml:space="preserve">Análise</w:t>
            </w:r>
          </w:p>
        </w:tc>
        <w:tc>
          <w:tcPr>
            <w:tcW w:w="2040" w:type="dxa"/>
          </w:tcPr>
          <w:p>
            <w:pPr>
              <w:pStyle w:val="Compact"/>
              <w:jc w:val="left"/>
              <w:jc w:val="center"/>
            </w:pPr>
            <w:r>
              <w:t xml:space="preserve">HR (IC 95%)</w:t>
            </w:r>
          </w:p>
        </w:tc>
        <w:tc>
          <w:tcPr>
            <w:tcW w:w="1370" w:type="dxa"/>
          </w:tcPr>
          <w:p>
            <w:pPr>
              <w:pStyle w:val="Compact"/>
              <w:jc w:val="right"/>
              <w:jc w:val="center"/>
            </w:pPr>
            <w:r>
              <w:t xml:space="preserve">p</w:t>
            </w:r>
          </w:p>
        </w:tc>
        <w:tc>
          <w:tcPr>
            <w:tcW w:w="1370" w:type="dxa"/>
          </w:tcPr>
          <w:p>
            <w:pPr>
              <w:pStyle w:val="Compact"/>
              <w:jc w:val="center"/>
              <w:jc w:val="center"/>
            </w:pPr>
            <w:r>
              <w:t xml:space="preserve">I-quadrado</w:t>
            </w:r>
          </w:p>
        </w:tc>
        <w:tc>
          <w:tcPr>
            <w:tcW w:w="1597" w:type="dxa"/>
          </w:tcPr>
          <w:p>
            <w:pPr>
              <w:pStyle w:val="Compact"/>
              <w:jc w:val="center"/>
              <w:jc w:val="center"/>
            </w:pPr>
            <w:r>
              <w:t xml:space="preserve">tau-quadrado</w:t>
            </w:r>
          </w:p>
        </w:tc>
      </w:tr>
      <w:tr>
        <w:tc>
          <w:tcPr>
            <w:tcW w:w="2263" w:type="dxa"/>
          </w:tcPr>
          <w:p>
            <w:pPr>
              <w:pStyle w:val="Compact"/>
              <w:jc w:val="left"/>
              <w:jc w:val="center"/>
            </w:pPr>
            <w:r>
              <w:t xml:space="preserve">Primária RE (REML)</w:t>
            </w:r>
          </w:p>
        </w:tc>
        <w:tc>
          <w:tcPr>
            <w:tcW w:w="2040" w:type="dxa"/>
          </w:tcPr>
          <w:p>
            <w:pPr>
              <w:pStyle w:val="Compact"/>
              <w:jc w:val="left"/>
              <w:jc w:val="center"/>
            </w:pPr>
            <w:r>
              <w:t xml:space="preserve">1,37 (1,24–1,52)</w:t>
            </w:r>
          </w:p>
        </w:tc>
        <w:tc>
          <w:tcPr>
            <w:tcW w:w="1370" w:type="dxa"/>
          </w:tcPr>
          <w:p>
            <w:pPr>
              <w:pStyle w:val="Compact"/>
              <w:jc w:val="right"/>
              <w:jc w:val="center"/>
            </w:pPr>
            <w:r>
              <w:t xml:space="preserve">1,6 × 10⁻⁹</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Hartung–Knapp</w:t>
            </w:r>
          </w:p>
        </w:tc>
        <w:tc>
          <w:tcPr>
            <w:tcW w:w="2040" w:type="dxa"/>
          </w:tcPr>
          <w:p>
            <w:pPr>
              <w:pStyle w:val="Compact"/>
              <w:jc w:val="left"/>
              <w:jc w:val="center"/>
            </w:pPr>
            <w:r>
              <w:t xml:space="preserve">1,37 (1,15–1,64)</w:t>
            </w:r>
          </w:p>
        </w:tc>
        <w:tc>
          <w:tcPr>
            <w:tcW w:w="1370" w:type="dxa"/>
          </w:tcPr>
          <w:p>
            <w:pPr>
              <w:pStyle w:val="Compact"/>
              <w:jc w:val="right"/>
              <w:jc w:val="center"/>
            </w:pPr>
            <w:r>
              <w:t xml:space="preserve">0,011</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OS-harmonizada</w:t>
            </w:r>
          </w:p>
        </w:tc>
        <w:tc>
          <w:tcPr>
            <w:tcW w:w="2040" w:type="dxa"/>
          </w:tcPr>
          <w:p>
            <w:pPr>
              <w:pStyle w:val="Compact"/>
              <w:jc w:val="left"/>
              <w:jc w:val="center"/>
            </w:pPr>
            <w:r>
              <w:t xml:space="preserve">1,36 (1,13–1,64)</w:t>
            </w:r>
          </w:p>
        </w:tc>
        <w:tc>
          <w:tcPr>
            <w:tcW w:w="1370" w:type="dxa"/>
          </w:tcPr>
          <w:p>
            <w:pPr>
              <w:pStyle w:val="Compact"/>
              <w:jc w:val="right"/>
              <w:jc w:val="center"/>
            </w:pPr>
            <w:r>
              <w:t xml:space="preserve">&lt;0,001</w:t>
            </w:r>
          </w:p>
        </w:tc>
        <w:tc>
          <w:tcPr>
            <w:tcW w:w="1370" w:type="dxa"/>
          </w:tcPr>
          <w:p>
            <w:pPr>
              <w:pStyle w:val="Compact"/>
              <w:jc w:val="center"/>
              <w:jc w:val="center"/>
            </w:pPr>
            <w:r>
              <w:t xml:space="preserve">50,5%</w:t>
            </w:r>
          </w:p>
        </w:tc>
        <w:tc>
          <w:tcPr>
            <w:tcW w:w="1597" w:type="dxa"/>
          </w:tcPr>
          <w:p>
            <w:pPr>
              <w:pStyle w:val="Compact"/>
              <w:jc w:val="center"/>
              <w:jc w:val="center"/>
            </w:pPr>
            <w:r>
              <w:t xml:space="preserve">0,0151</w:t>
            </w:r>
          </w:p>
        </w:tc>
      </w:tr>
    </w:tbl>
    <w:bookmarkEnd w:id="135"/>
    <w:p/>
    <w:bookmarkStart w:id="139" w:name="fig-forest-survival"/>
    <w:p>
      <w:pPr>
        <w:pStyle w:val="Compact"/>
        <w:jc w:val="center"/>
      </w:pPr>
      <w:r>
        <w:drawing>
          <wp:inline>
            <wp:extent cx="5399999" cy="2699999"/>
            <wp:effectExtent b="0" l="0" r="0" t="0"/>
            <wp:docPr descr="" title="" id="137" name="Picture"/>
            <a:graphic>
              <a:graphicData uri="http://schemas.openxmlformats.org/drawingml/2006/picture">
                <pic:pic>
                  <pic:nvPicPr>
                    <pic:cNvPr descr="../figures/main/pt/png/Fig4_Meta_Forest_HR_per1SD_CorePAM_PT.png" id="138" name="Picture"/>
                    <pic:cNvPicPr>
                      <a:picLocks noChangeArrowheads="1" noChangeAspect="1"/>
                    </pic:cNvPicPr>
                  </pic:nvPicPr>
                  <pic:blipFill>
                    <a:blip r:embed="rId136"/>
                    <a:stretch>
                      <a:fillRect/>
                    </a:stretch>
                  </pic:blipFill>
                  <pic:spPr bwMode="auto">
                    <a:xfrm>
                      <a:off x="0" y="0"/>
                      <a:ext cx="5399999" cy="2699999"/>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39"/>
    <w:p>
      <w:r>
        <w:br w:type="page"/>
      </w:r>
    </w:p>
    <w:bookmarkEnd w:id="140"/>
    <w:bookmarkStart w:id="150" w:name="Xc37726a09f9bc8822faf77bb6f0d2c56d4f1721"/>
    <w:p>
      <w:pPr>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estrogeno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1"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8640"/>
        <w:tblLayout w:type="fixed"/>
        <w:tblLook w:firstRow="1" w:lastRow="0" w:firstColumn="0" w:lastColumn="0" w:noHBand="0" w:noVBand="0" w:val="0020"/>
      </w:tblPr>
      <w:tblGrid>
        <w:gridCol w:w="1063"/>
        <w:gridCol w:w="1911"/>
        <w:gridCol w:w="686"/>
        <w:gridCol w:w="1157"/>
        <w:gridCol w:w="1911"/>
        <w:gridCol w:w="1912"/>
      </w:tblGrid>
      <w:tr>
        <w:trPr>
          <w:tblHeader w:val="on"/>
        </w:trPr>
        <w:tc>
          <w:tcPr>
            <w:tcW w:w="1063" w:type="dxa"/>
          </w:tcPr>
          <w:p>
            <w:pPr>
              <w:pStyle w:val="Compact"/>
              <w:jc w:val="left"/>
              <w:jc w:val="center"/>
            </w:pPr>
            <w:r>
              <w:t xml:space="preserve">Coorte</w:t>
            </w:r>
          </w:p>
        </w:tc>
        <w:tc>
          <w:tcPr>
            <w:tcW w:w="1911" w:type="dxa"/>
          </w:tcPr>
          <w:p>
            <w:pPr>
              <w:pStyle w:val="Compact"/>
              <w:jc w:val="left"/>
              <w:jc w:val="center"/>
            </w:pPr>
            <w:r>
              <w:t xml:space="preserve">Covariáveis CORE-A</w:t>
            </w:r>
          </w:p>
        </w:tc>
        <w:tc>
          <w:tcPr>
            <w:tcW w:w="686" w:type="dxa"/>
          </w:tcPr>
          <w:p>
            <w:pPr>
              <w:pStyle w:val="Compact"/>
              <w:jc w:val="right"/>
              <w:jc w:val="center"/>
            </w:pPr>
            <w:r>
              <w:t xml:space="preserve">N</w:t>
            </w:r>
          </w:p>
        </w:tc>
        <w:tc>
          <w:tcPr>
            <w:tcW w:w="1157" w:type="dxa"/>
          </w:tcPr>
          <w:p>
            <w:pPr>
              <w:pStyle w:val="Compact"/>
              <w:jc w:val="center"/>
              <w:jc w:val="center"/>
            </w:pPr>
            <w:r>
              <w:t xml:space="preserve">C (CORE-A)</w:t>
            </w:r>
          </w:p>
        </w:tc>
        <w:tc>
          <w:tcPr>
            <w:tcW w:w="1911" w:type="dxa"/>
          </w:tcPr>
          <w:p>
            <w:pPr>
              <w:pStyle w:val="Compact"/>
              <w:jc w:val="center"/>
              <w:jc w:val="center"/>
            </w:pPr>
            <w:r>
              <w:t xml:space="preserve">C (CORE-A + CorePAM)</w:t>
            </w:r>
          </w:p>
        </w:tc>
        <w:tc>
          <w:tcPr>
            <w:tcW w:w="1912" w:type="dxa"/>
          </w:tcPr>
          <w:p>
            <w:pPr>
              <w:pStyle w:val="Compact"/>
              <w:jc w:val="left"/>
              <w:jc w:val="center"/>
            </w:pPr>
            <w:r>
              <w:t xml:space="preserve">Delta-C (IC 95%)</w:t>
            </w:r>
          </w:p>
        </w:tc>
      </w:tr>
      <w:tr>
        <w:tc>
          <w:tcPr>
            <w:tcW w:w="1063" w:type="dxa"/>
          </w:tcPr>
          <w:p>
            <w:pPr>
              <w:pStyle w:val="Compact"/>
              <w:jc w:val="left"/>
              <w:jc w:val="center"/>
            </w:pPr>
            <w:r>
              <w:t xml:space="preserve">SCAN-B</w:t>
            </w:r>
          </w:p>
        </w:tc>
        <w:tc>
          <w:tcPr>
            <w:tcW w:w="1911" w:type="dxa"/>
          </w:tcPr>
          <w:p>
            <w:pPr>
              <w:pStyle w:val="Compact"/>
              <w:jc w:val="left"/>
              <w:jc w:val="center"/>
            </w:pPr>
            <w:r>
              <w:t xml:space="preserve">idade + RE</w:t>
            </w:r>
          </w:p>
        </w:tc>
        <w:tc>
          <w:tcPr>
            <w:tcW w:w="686" w:type="dxa"/>
          </w:tcPr>
          <w:p>
            <w:pPr>
              <w:pStyle w:val="Compact"/>
              <w:jc w:val="right"/>
              <w:jc w:val="center"/>
            </w:pPr>
            <w:r>
              <w:t xml:space="preserve">3 069</w:t>
            </w:r>
          </w:p>
        </w:tc>
        <w:tc>
          <w:tcPr>
            <w:tcW w:w="1157" w:type="dxa"/>
          </w:tcPr>
          <w:p>
            <w:pPr>
              <w:pStyle w:val="Compact"/>
              <w:jc w:val="center"/>
              <w:jc w:val="center"/>
            </w:pPr>
            <w:r>
              <w:t xml:space="preserve">0,750</w:t>
            </w:r>
          </w:p>
        </w:tc>
        <w:tc>
          <w:tcPr>
            <w:tcW w:w="1911" w:type="dxa"/>
          </w:tcPr>
          <w:p>
            <w:pPr>
              <w:pStyle w:val="Compact"/>
              <w:jc w:val="center"/>
              <w:jc w:val="center"/>
            </w:pPr>
            <w:r>
              <w:t xml:space="preserve">0,780</w:t>
            </w:r>
          </w:p>
        </w:tc>
        <w:tc>
          <w:tcPr>
            <w:tcW w:w="1912" w:type="dxa"/>
          </w:tcPr>
          <w:p>
            <w:pPr>
              <w:pStyle w:val="Compact"/>
              <w:jc w:val="left"/>
              <w:jc w:val="center"/>
            </w:pPr>
            <w:r>
              <w:t xml:space="preserve">+0,030 (0,014–0,049)</w:t>
            </w:r>
          </w:p>
        </w:tc>
      </w:tr>
      <w:tr>
        <w:tc>
          <w:tcPr>
            <w:tcW w:w="1063" w:type="dxa"/>
          </w:tcPr>
          <w:p>
            <w:pPr>
              <w:pStyle w:val="Compact"/>
              <w:jc w:val="left"/>
              <w:jc w:val="center"/>
            </w:pPr>
            <w:r>
              <w:t xml:space="preserve">TCGA-BRCA</w:t>
            </w:r>
          </w:p>
        </w:tc>
        <w:tc>
          <w:tcPr>
            <w:tcW w:w="1911" w:type="dxa"/>
          </w:tcPr>
          <w:p>
            <w:pPr>
              <w:pStyle w:val="Compact"/>
              <w:jc w:val="left"/>
              <w:jc w:val="center"/>
            </w:pPr>
            <w:r>
              <w:t xml:space="preserve">idade</w:t>
            </w:r>
          </w:p>
        </w:tc>
        <w:tc>
          <w:tcPr>
            <w:tcW w:w="686" w:type="dxa"/>
          </w:tcPr>
          <w:p>
            <w:pPr>
              <w:pStyle w:val="Compact"/>
              <w:jc w:val="right"/>
              <w:jc w:val="center"/>
            </w:pPr>
            <w:r>
              <w:t xml:space="preserve">1 072</w:t>
            </w:r>
          </w:p>
        </w:tc>
        <w:tc>
          <w:tcPr>
            <w:tcW w:w="1157" w:type="dxa"/>
          </w:tcPr>
          <w:p>
            <w:pPr>
              <w:pStyle w:val="Compact"/>
              <w:jc w:val="center"/>
              <w:jc w:val="center"/>
            </w:pPr>
            <w:r>
              <w:t xml:space="preserve">0,638</w:t>
            </w:r>
          </w:p>
        </w:tc>
        <w:tc>
          <w:tcPr>
            <w:tcW w:w="1911" w:type="dxa"/>
          </w:tcPr>
          <w:p>
            <w:pPr>
              <w:pStyle w:val="Compact"/>
              <w:jc w:val="center"/>
              <w:jc w:val="center"/>
            </w:pPr>
            <w:r>
              <w:t xml:space="preserve">0,676</w:t>
            </w:r>
          </w:p>
        </w:tc>
        <w:tc>
          <w:tcPr>
            <w:tcW w:w="1912" w:type="dxa"/>
          </w:tcPr>
          <w:p>
            <w:pPr>
              <w:pStyle w:val="Compact"/>
              <w:jc w:val="left"/>
              <w:jc w:val="center"/>
            </w:pPr>
            <w:r>
              <w:t xml:space="preserve">+0,038 (0,011–0,086)</w:t>
            </w:r>
          </w:p>
        </w:tc>
      </w:tr>
      <w:tr>
        <w:tc>
          <w:tcPr>
            <w:tcW w:w="1063" w:type="dxa"/>
          </w:tcPr>
          <w:p>
            <w:pPr>
              <w:pStyle w:val="Compact"/>
              <w:jc w:val="left"/>
              <w:jc w:val="center"/>
            </w:pPr>
            <w:r>
              <w:t xml:space="preserve">METABRIC</w:t>
            </w:r>
          </w:p>
        </w:tc>
        <w:tc>
          <w:tcPr>
            <w:tcW w:w="1911" w:type="dxa"/>
          </w:tcPr>
          <w:p>
            <w:pPr>
              <w:pStyle w:val="Compact"/>
              <w:jc w:val="left"/>
              <w:jc w:val="center"/>
            </w:pPr>
            <w:r>
              <w:t xml:space="preserve">idade + RE</w:t>
            </w:r>
          </w:p>
        </w:tc>
        <w:tc>
          <w:tcPr>
            <w:tcW w:w="686" w:type="dxa"/>
          </w:tcPr>
          <w:p>
            <w:pPr>
              <w:pStyle w:val="Compact"/>
              <w:jc w:val="right"/>
              <w:jc w:val="center"/>
            </w:pPr>
            <w:r>
              <w:t xml:space="preserve">1 978</w:t>
            </w:r>
          </w:p>
        </w:tc>
        <w:tc>
          <w:tcPr>
            <w:tcW w:w="1157" w:type="dxa"/>
          </w:tcPr>
          <w:p>
            <w:pPr>
              <w:pStyle w:val="Compact"/>
              <w:jc w:val="center"/>
              <w:jc w:val="center"/>
            </w:pPr>
            <w:r>
              <w:t xml:space="preserve">0,603</w:t>
            </w:r>
          </w:p>
        </w:tc>
        <w:tc>
          <w:tcPr>
            <w:tcW w:w="1911" w:type="dxa"/>
          </w:tcPr>
          <w:p>
            <w:pPr>
              <w:pStyle w:val="Compact"/>
              <w:jc w:val="center"/>
              <w:jc w:val="center"/>
            </w:pPr>
            <w:r>
              <w:t xml:space="preserve">0,646</w:t>
            </w:r>
          </w:p>
        </w:tc>
        <w:tc>
          <w:tcPr>
            <w:tcW w:w="1912" w:type="dxa"/>
          </w:tcPr>
          <w:p>
            <w:pPr>
              <w:pStyle w:val="Compact"/>
              <w:jc w:val="left"/>
              <w:jc w:val="center"/>
            </w:pPr>
            <w:r>
              <w:t xml:space="preserve">+0,043 (0,025–0,066)</w:t>
            </w:r>
          </w:p>
        </w:tc>
      </w:tr>
      <w:tr>
        <w:tc>
          <w:tcPr>
            <w:tcW w:w="1063" w:type="dxa"/>
          </w:tcPr>
          <w:p>
            <w:pPr>
              <w:pStyle w:val="Compact"/>
              <w:jc w:val="left"/>
              <w:jc w:val="center"/>
            </w:pPr>
            <w:r>
              <w:t xml:space="preserve">GSE20685</w:t>
            </w:r>
          </w:p>
        </w:tc>
        <w:tc>
          <w:tcPr>
            <w:tcW w:w="1911" w:type="dxa"/>
          </w:tcPr>
          <w:p>
            <w:pPr>
              <w:pStyle w:val="Compact"/>
              <w:jc w:val="left"/>
              <w:jc w:val="center"/>
            </w:pPr>
            <w:r>
              <w:t xml:space="preserve">idade</w:t>
            </w:r>
          </w:p>
        </w:tc>
        <w:tc>
          <w:tcPr>
            <w:tcW w:w="686" w:type="dxa"/>
          </w:tcPr>
          <w:p>
            <w:pPr>
              <w:pStyle w:val="Compact"/>
              <w:jc w:val="right"/>
              <w:jc w:val="center"/>
            </w:pPr>
            <w:r>
              <w:t xml:space="preserve">327</w:t>
            </w:r>
          </w:p>
        </w:tc>
        <w:tc>
          <w:tcPr>
            <w:tcW w:w="1157" w:type="dxa"/>
          </w:tcPr>
          <w:p>
            <w:pPr>
              <w:pStyle w:val="Compact"/>
              <w:jc w:val="center"/>
              <w:jc w:val="center"/>
            </w:pPr>
            <w:r>
              <w:t xml:space="preserve">0,536</w:t>
            </w:r>
          </w:p>
        </w:tc>
        <w:tc>
          <w:tcPr>
            <w:tcW w:w="1911" w:type="dxa"/>
          </w:tcPr>
          <w:p>
            <w:pPr>
              <w:pStyle w:val="Compact"/>
              <w:jc w:val="center"/>
              <w:jc w:val="center"/>
            </w:pPr>
            <w:r>
              <w:t xml:space="preserve">0,630</w:t>
            </w:r>
          </w:p>
        </w:tc>
        <w:tc>
          <w:tcPr>
            <w:tcW w:w="1912" w:type="dxa"/>
          </w:tcPr>
          <w:p>
            <w:pPr>
              <w:pStyle w:val="Compact"/>
              <w:jc w:val="left"/>
              <w:jc w:val="center"/>
            </w:pPr>
            <w:r>
              <w:t xml:space="preserve">+0,094 (0,021–0,175)</w:t>
            </w:r>
          </w:p>
        </w:tc>
      </w:tr>
    </w:tbl>
    <w:bookmarkEnd w:id="141"/>
    <w:p/>
    <w:bookmarkStart w:id="145" w:name="fig-delta-c"/>
    <w:p>
      <w:pPr>
        <w:pStyle w:val="Compact"/>
        <w:jc w:val="center"/>
      </w:pPr>
      <w:r>
        <w:drawing>
          <wp:inline>
            <wp:extent cx="5399999" cy="3374999"/>
            <wp:effectExtent b="0" l="0" r="0" t="0"/>
            <wp:docPr descr="" title="" id="143" name="Picture"/>
            <a:graphic>
              <a:graphicData uri="http://schemas.openxmlformats.org/drawingml/2006/picture">
                <pic:pic>
                  <pic:nvPicPr>
                    <pic:cNvPr descr="../figures/main/pt/png/Fig5_DeltaCindex_COREA_vs_COREAplus_CorePAM_PT.png" id="144" name="Picture"/>
                    <pic:cNvPicPr>
                      <a:picLocks noChangeArrowheads="1" noChangeAspect="1"/>
                    </pic:cNvPicPr>
                  </pic:nvPicPr>
                  <pic:blipFill>
                    <a:blip r:embed="rId142"/>
                    <a:stretch>
                      <a:fillRect/>
                    </a:stretch>
                  </pic:blipFill>
                  <pic:spPr bwMode="auto">
                    <a:xfrm>
                      <a:off x="0" y="0"/>
                      <a:ext cx="5399999" cy="3374999"/>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5"/>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w:t>
      </w:r>
      <w:r>
        <w:t xml:space="preserve"> </w:t>
      </w:r>
      <w:r>
        <w:rPr>
          <w:i/>
          <w:iCs/>
        </w:rPr>
        <w:t xml:space="preserve">calibração</w:t>
      </w:r>
      <w:r>
        <w:t xml:space="preserve"> </w:t>
      </w:r>
      <w:r>
        <w:t xml:space="preserve">— conceito distinto de</w:t>
      </w:r>
      <w:r>
        <w:t xml:space="preserve"> </w:t>
      </w:r>
      <w:r>
        <w:rPr>
          <w:i/>
          <w:iCs/>
        </w:rPr>
        <w:t xml:space="preserve">discriminação</w:t>
      </w:r>
      <w:r>
        <w:t xml:space="preserve"> </w:t>
      </w:r>
      <w:r>
        <w:t xml:space="preserve">(capturada pelo</w:t>
      </w:r>
      <w:r>
        <w:t xml:space="preserve"> </w:t>
      </w:r>
      <w:r>
        <w:rPr>
          <w:i/>
          <w:iCs/>
        </w:rPr>
        <w:t xml:space="preserve">C-index</w:t>
      </w:r>
      <w:r>
        <w:t xml:space="preserve">). Enquanto a discriminação mede a capacidade de ordenar pacientes de menor para maior risco, a calibração avalia se os riscos previstos em escala absoluta correspondem aos riscos observados. Em cada painel, o eixo horizontal mostra o risco predito pelo modelo e o eixo vertical a frequência observada de eventos; a diagonal representa a calibração perfeita. O SCAN-B (coorte de desenvolvimento) apresenta</w:t>
      </w:r>
      <w:r>
        <w:t xml:space="preserve"> </w:t>
      </w:r>
      <w:r>
        <w:rPr>
          <w:i/>
          <w:iCs/>
        </w:rPr>
        <w:t xml:space="preserve">slope</w:t>
      </w:r>
      <w:r>
        <w:t xml:space="preserve"> </w:t>
      </w:r>
      <w:r>
        <w:t xml:space="preserve">próximo do ideal (0,96), confirmando que o modelo foi bem calibrado no treinamento. Nas coortes externas, os</w:t>
      </w:r>
      <w:r>
        <w:t xml:space="preserve"> </w:t>
      </w:r>
      <w:r>
        <w:rPr>
          <w:i/>
          <w:iCs/>
        </w:rPr>
        <w:t xml:space="preserve">slopes</w:t>
      </w:r>
      <w:r>
        <w:t xml:space="preserve"> </w:t>
      </w:r>
      <w:r>
        <w:t xml:space="preserve">maiores que 1 (1,57 a 2,74) indicam</w:t>
      </w:r>
      <w:r>
        <w:t xml:space="preserve"> </w:t>
      </w:r>
      <w:r>
        <w:rPr>
          <w:i/>
          <w:iCs/>
        </w:rPr>
        <w:t xml:space="preserve">subconfiança</w:t>
      </w:r>
      <w:r>
        <w:t xml:space="preserve"> </w:t>
      </w:r>
      <w:r>
        <w:t xml:space="preserve">— o modelo subestima a magnitude das diferenças de risco entre pacientes, embora os ordene corretamente. Do ponto de vista clínico, isso significa que as probabilidades absolutas produzidas pelo CorePAM em coortes novas não devem ser interpretadas literalmente sem recalibração local, mas a estratificação relativa (baixo/intermediário/alto risco) permanece válida e robusta.</w:t>
      </w:r>
    </w:p>
    <w:p>
      <w:pPr>
        <w:pStyle w:val="Compact"/>
        <w:jc w:val="center"/>
      </w:pPr>
      <w:bookmarkStart w:id="149" w:name="fig-calibration"/>
      <w:r>
        <w:drawing>
          <wp:inline>
            <wp:extent cx="5399999" cy="3239999"/>
            <wp:effectExtent b="0" l="0" r="0" t="0"/>
            <wp:docPr descr="" title="" id="147" name="Picture"/>
            <a:graphic>
              <a:graphicData uri="http://schemas.openxmlformats.org/drawingml/2006/picture">
                <pic:pic>
                  <pic:nvPicPr>
                    <pic:cNvPr descr="../figures/main/pt/png/Fig5_Calibration_60m_Panels_CorePAM_PT.png" id="148" name="Picture"/>
                    <pic:cNvPicPr>
                      <a:picLocks noChangeArrowheads="1" noChangeAspect="1"/>
                    </pic:cNvPicPr>
                  </pic:nvPicPr>
                  <pic:blipFill>
                    <a:blip r:embed="rId146"/>
                    <a:stretch>
                      <a:fillRect/>
                    </a:stretch>
                  </pic:blipFill>
                  <pic:spPr bwMode="auto">
                    <a:xfrm>
                      <a:off x="0" y="0"/>
                      <a:ext cx="5399999" cy="323999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p>
    <w:bookmarkEnd w:id="149"/>
    <w:p>
      <w:r>
        <w:br w:type="page"/>
      </w:r>
    </w:p>
    <w:bookmarkEnd w:id="150"/>
    <w:bookmarkStart w:id="153" w:name="X1817a4fc7f9706a60fbc04f7a53f8ec6077e0e8"/>
    <w:p>
      <w:pPr>
        <w:pStyle w:val="Heading2"/>
      </w:pPr>
      <w:r>
        <w:t xml:space="preserve">4.5 Independência do estadiamento clínico-patológico</w:t>
      </w:r>
    </w:p>
    <w:p>
      <w:pPr>
        <w:jc w:val="left"/>
        <w:spacing w:before="200"/>
        <w:pStyle w:val="ImageCaption"/>
      </w:pPr>
      <w:bookmarkStart w:id="151" w:name="tbl-expanded-model"/>
      <w:r>
        <w:t xml:space="preserve">Tabela 9 — Modelo clínico expandido com estadiamento anatômico</w:t>
      </w:r>
    </w:p>
    <w:tbl>
      <w:tblPr>
        <w:tblStyle w:val="Table"/>
        <w:tblW w:type="dxa" w:w="8640"/>
        <w:tblLayout w:type="fixed"/>
        <w:tblLook w:firstRow="1" w:lastRow="0" w:firstColumn="0" w:lastColumn="0" w:noHBand="0" w:noVBand="0" w:val="0020"/>
      </w:tblPr>
      <w:tblGrid>
        <w:gridCol w:w="992"/>
        <w:gridCol w:w="650"/>
        <w:gridCol w:w="1255"/>
        <w:gridCol w:w="1783"/>
        <w:gridCol w:w="728"/>
        <w:gridCol w:w="992"/>
        <w:gridCol w:w="1431"/>
        <w:gridCol w:w="809"/>
      </w:tblGrid>
      <w:tr>
        <w:trPr>
          <w:tblHeader w:val="on"/>
        </w:trPr>
        <w:tc>
          <w:tcPr>
            <w:tcW w:w="992" w:type="dxa"/>
          </w:tcPr>
          <w:p>
            <w:pPr>
              <w:pStyle w:val="Compact"/>
              <w:jc w:val="center"/>
            </w:pPr>
            <w:r>
              <w:t xml:space="preserve">Coorte</w:t>
            </w:r>
          </w:p>
        </w:tc>
        <w:tc>
          <w:tcPr>
            <w:tcW w:w="650" w:type="dxa"/>
          </w:tcPr>
          <w:p>
            <w:pPr>
              <w:pStyle w:val="Compact"/>
              <w:jc w:val="center"/>
            </w:pPr>
            <w:r>
              <w:t xml:space="preserve">N</w:t>
            </w:r>
          </w:p>
        </w:tc>
        <w:tc>
          <w:tcPr>
            <w:tcW w:w="1255" w:type="dxa"/>
          </w:tcPr>
          <w:p>
            <w:pPr>
              <w:pStyle w:val="Compact"/>
              <w:jc w:val="center"/>
            </w:pPr>
            <w:r>
              <w:t xml:space="preserve">Covariáveis</w:t>
            </w:r>
          </w:p>
        </w:tc>
        <w:tc>
          <w:tcPr>
            <w:tcW w:w="1783" w:type="dxa"/>
          </w:tcPr>
          <w:p>
            <w:pPr>
              <w:pStyle w:val="Compact"/>
              <w:jc w:val="center"/>
            </w:pPr>
            <w:r>
              <w:t xml:space="preserve">HR CorePAM (IC 95%)</w:t>
            </w:r>
          </w:p>
        </w:tc>
        <w:tc>
          <w:tcPr>
            <w:tcW w:w="728" w:type="dxa"/>
          </w:tcPr>
          <w:p>
            <w:pPr>
              <w:pStyle w:val="Compact"/>
              <w:jc w:val="center"/>
            </w:pPr>
            <w:r>
              <w:t xml:space="preserve">p</w:t>
            </w:r>
          </w:p>
        </w:tc>
        <w:tc>
          <w:tcPr>
            <w:tcW w:w="992" w:type="dxa"/>
          </w:tcPr>
          <w:p>
            <w:pPr>
              <w:pStyle w:val="Compact"/>
              <w:jc w:val="center"/>
            </w:pPr>
            <w:r>
              <w:t xml:space="preserve">C clínico</w:t>
            </w:r>
          </w:p>
        </w:tc>
        <w:tc>
          <w:tcPr>
            <w:tcW w:w="1431" w:type="dxa"/>
          </w:tcPr>
          <w:p>
            <w:pPr>
              <w:pStyle w:val="Compact"/>
              <w:jc w:val="center"/>
            </w:pPr>
            <w:r>
              <w:t xml:space="preserve">C clin+CorePAM</w:t>
            </w:r>
          </w:p>
        </w:tc>
        <w:tc>
          <w:tcPr>
            <w:tcW w:w="809" w:type="dxa"/>
          </w:tcPr>
          <w:p>
            <w:pPr>
              <w:pStyle w:val="Compact"/>
              <w:jc w:val="center"/>
            </w:pPr>
            <w:r>
              <w:t xml:space="preserve">Delta-C</w:t>
            </w:r>
          </w:p>
        </w:tc>
      </w:tr>
      <w:tr>
        <w:tc>
          <w:tcPr>
            <w:tcW w:w="992" w:type="dxa"/>
          </w:tcPr>
          <w:p>
            <w:pPr>
              <w:pStyle w:val="Compact"/>
              <w:jc w:val="center"/>
            </w:pPr>
            <w:r>
              <w:t xml:space="preserve">SCAN-B</w:t>
            </w:r>
          </w:p>
        </w:tc>
        <w:tc>
          <w:tcPr>
            <w:tcW w:w="650" w:type="dxa"/>
          </w:tcPr>
          <w:p>
            <w:pPr>
              <w:pStyle w:val="Compact"/>
              <w:jc w:val="center"/>
            </w:pPr>
            <w:r>
              <w:t xml:space="preserve">2 948</w:t>
            </w:r>
          </w:p>
        </w:tc>
        <w:tc>
          <w:tcPr>
            <w:tcW w:w="1255" w:type="dxa"/>
          </w:tcPr>
          <w:p>
            <w:pPr>
              <w:pStyle w:val="Compact"/>
              <w:jc w:val="center"/>
            </w:pPr>
            <w:r>
              <w:t xml:space="preserve">idade+RE+T+N</w:t>
            </w:r>
          </w:p>
        </w:tc>
        <w:tc>
          <w:tcPr>
            <w:tcW w:w="1783" w:type="dxa"/>
          </w:tcPr>
          <w:p>
            <w:pPr>
              <w:pStyle w:val="Compact"/>
              <w:jc w:val="center"/>
            </w:pPr>
            <w:r>
              <w:t xml:space="preserve">1,79 (1,57-2,05)</w:t>
            </w:r>
          </w:p>
        </w:tc>
        <w:tc>
          <w:tcPr>
            <w:tcW w:w="728" w:type="dxa"/>
          </w:tcPr>
          <w:p>
            <w:pPr>
              <w:pStyle w:val="Compact"/>
              <w:jc w:val="center"/>
            </w:pPr>
            <w:r>
              <w:t xml:space="preserve">&lt;0,001</w:t>
            </w:r>
          </w:p>
        </w:tc>
        <w:tc>
          <w:tcPr>
            <w:tcW w:w="992" w:type="dxa"/>
          </w:tcPr>
          <w:p>
            <w:pPr>
              <w:pStyle w:val="Compact"/>
              <w:jc w:val="center"/>
            </w:pPr>
            <w:r>
              <w:t xml:space="preserve">0,766</w:t>
            </w:r>
          </w:p>
        </w:tc>
        <w:tc>
          <w:tcPr>
            <w:tcW w:w="1431" w:type="dxa"/>
          </w:tcPr>
          <w:p>
            <w:pPr>
              <w:pStyle w:val="Compact"/>
              <w:jc w:val="center"/>
            </w:pPr>
            <w:r>
              <w:t xml:space="preserve">0,788</w:t>
            </w:r>
          </w:p>
        </w:tc>
        <w:tc>
          <w:tcPr>
            <w:tcW w:w="809" w:type="dxa"/>
          </w:tcPr>
          <w:p>
            <w:pPr>
              <w:pStyle w:val="Compact"/>
              <w:jc w:val="center"/>
            </w:pPr>
            <w:r>
              <w:t xml:space="preserve">+0,022</w:t>
            </w:r>
          </w:p>
        </w:tc>
      </w:tr>
      <w:tr>
        <w:tc>
          <w:tcPr>
            <w:tcW w:w="992" w:type="dxa"/>
          </w:tcPr>
          <w:p>
            <w:pPr>
              <w:pStyle w:val="Compact"/>
              <w:jc w:val="center"/>
            </w:pPr>
            <w:r>
              <w:t xml:space="preserve">TCGA-BRCA</w:t>
            </w:r>
          </w:p>
        </w:tc>
        <w:tc>
          <w:tcPr>
            <w:tcW w:w="650" w:type="dxa"/>
          </w:tcPr>
          <w:p>
            <w:pPr>
              <w:pStyle w:val="Compact"/>
              <w:jc w:val="center"/>
            </w:pPr>
            <w:r>
              <w:t xml:space="preserve">1 054</w:t>
            </w:r>
          </w:p>
        </w:tc>
        <w:tc>
          <w:tcPr>
            <w:tcW w:w="1255" w:type="dxa"/>
          </w:tcPr>
          <w:p>
            <w:pPr>
              <w:pStyle w:val="Compact"/>
              <w:jc w:val="center"/>
            </w:pPr>
            <w:r>
              <w:t xml:space="preserve">idade+T+N</w:t>
            </w:r>
          </w:p>
        </w:tc>
        <w:tc>
          <w:tcPr>
            <w:tcW w:w="1783" w:type="dxa"/>
          </w:tcPr>
          <w:p>
            <w:pPr>
              <w:pStyle w:val="Compact"/>
              <w:jc w:val="center"/>
            </w:pPr>
            <w:r>
              <w:t xml:space="preserve">1,35 (1,15-1,58)</w:t>
            </w:r>
          </w:p>
        </w:tc>
        <w:tc>
          <w:tcPr>
            <w:tcW w:w="728" w:type="dxa"/>
          </w:tcPr>
          <w:p>
            <w:pPr>
              <w:pStyle w:val="Compact"/>
              <w:jc w:val="center"/>
            </w:pPr>
            <w:r>
              <w:t xml:space="preserve">&lt;0,001</w:t>
            </w:r>
          </w:p>
        </w:tc>
        <w:tc>
          <w:tcPr>
            <w:tcW w:w="992" w:type="dxa"/>
          </w:tcPr>
          <w:p>
            <w:pPr>
              <w:pStyle w:val="Compact"/>
              <w:jc w:val="center"/>
            </w:pPr>
            <w:r>
              <w:t xml:space="preserve">0,719</w:t>
            </w:r>
          </w:p>
        </w:tc>
        <w:tc>
          <w:tcPr>
            <w:tcW w:w="1431" w:type="dxa"/>
          </w:tcPr>
          <w:p>
            <w:pPr>
              <w:pStyle w:val="Compact"/>
              <w:jc w:val="center"/>
            </w:pPr>
            <w:r>
              <w:t xml:space="preserve">0,746</w:t>
            </w:r>
          </w:p>
        </w:tc>
        <w:tc>
          <w:tcPr>
            <w:tcW w:w="809" w:type="dxa"/>
          </w:tcPr>
          <w:p>
            <w:pPr>
              <w:pStyle w:val="Compact"/>
              <w:jc w:val="center"/>
            </w:pPr>
            <w:r>
              <w:t xml:space="preserve">+0,027</w:t>
            </w:r>
          </w:p>
        </w:tc>
      </w:tr>
      <w:tr>
        <w:tc>
          <w:tcPr>
            <w:tcW w:w="992" w:type="dxa"/>
          </w:tcPr>
          <w:p>
            <w:pPr>
              <w:pStyle w:val="Compact"/>
              <w:jc w:val="center"/>
            </w:pPr>
            <w:r>
              <w:t xml:space="preserve">METABRIC</w:t>
            </w:r>
          </w:p>
        </w:tc>
        <w:tc>
          <w:tcPr>
            <w:tcW w:w="650" w:type="dxa"/>
          </w:tcPr>
          <w:p>
            <w:pPr>
              <w:pStyle w:val="Compact"/>
              <w:jc w:val="center"/>
            </w:pPr>
            <w:r>
              <w:t xml:space="preserve">1 883</w:t>
            </w:r>
          </w:p>
        </w:tc>
        <w:tc>
          <w:tcPr>
            <w:tcW w:w="1255" w:type="dxa"/>
          </w:tcPr>
          <w:p>
            <w:pPr>
              <w:pStyle w:val="Compact"/>
              <w:jc w:val="center"/>
            </w:pPr>
            <w:r>
              <w:t xml:space="preserve">idade+RE+T+N</w:t>
            </w:r>
          </w:p>
        </w:tc>
        <w:tc>
          <w:tcPr>
            <w:tcW w:w="1783" w:type="dxa"/>
          </w:tcPr>
          <w:p>
            <w:pPr>
              <w:pStyle w:val="Compact"/>
              <w:jc w:val="center"/>
            </w:pPr>
            <w:r>
              <w:t xml:space="preserve">1,34 (1,23-1,46)</w:t>
            </w:r>
          </w:p>
        </w:tc>
        <w:tc>
          <w:tcPr>
            <w:tcW w:w="728" w:type="dxa"/>
          </w:tcPr>
          <w:p>
            <w:pPr>
              <w:pStyle w:val="Compact"/>
              <w:jc w:val="center"/>
            </w:pPr>
            <w:r>
              <w:t xml:space="preserve">&lt;0,001</w:t>
            </w:r>
          </w:p>
        </w:tc>
        <w:tc>
          <w:tcPr>
            <w:tcW w:w="992" w:type="dxa"/>
          </w:tcPr>
          <w:p>
            <w:pPr>
              <w:pStyle w:val="Compact"/>
              <w:jc w:val="center"/>
            </w:pPr>
            <w:r>
              <w:t xml:space="preserve">0,663</w:t>
            </w:r>
          </w:p>
        </w:tc>
        <w:tc>
          <w:tcPr>
            <w:tcW w:w="1431" w:type="dxa"/>
          </w:tcPr>
          <w:p>
            <w:pPr>
              <w:pStyle w:val="Compact"/>
              <w:jc w:val="center"/>
            </w:pPr>
            <w:r>
              <w:t xml:space="preserve">0,688</w:t>
            </w:r>
          </w:p>
        </w:tc>
        <w:tc>
          <w:tcPr>
            <w:tcW w:w="809" w:type="dxa"/>
          </w:tcPr>
          <w:p>
            <w:pPr>
              <w:pStyle w:val="Compact"/>
              <w:jc w:val="center"/>
            </w:pPr>
            <w:r>
              <w:t xml:space="preserve">+0,026</w:t>
            </w:r>
          </w:p>
        </w:tc>
      </w:tr>
      <w:tr>
        <w:tc>
          <w:tcPr>
            <w:tcW w:w="992" w:type="dxa"/>
          </w:tcPr>
          <w:p>
            <w:pPr>
              <w:pStyle w:val="Compact"/>
              <w:jc w:val="center"/>
            </w:pPr>
            <w:r>
              <w:t xml:space="preserve">GSE20685</w:t>
            </w:r>
          </w:p>
        </w:tc>
        <w:tc>
          <w:tcPr>
            <w:tcW w:w="650" w:type="dxa"/>
          </w:tcPr>
          <w:p>
            <w:pPr>
              <w:pStyle w:val="Compact"/>
              <w:jc w:val="center"/>
            </w:pPr>
            <w:r>
              <w:t xml:space="preserve">327</w:t>
            </w:r>
          </w:p>
        </w:tc>
        <w:tc>
          <w:tcPr>
            <w:tcW w:w="1255" w:type="dxa"/>
          </w:tcPr>
          <w:p>
            <w:pPr>
              <w:pStyle w:val="Compact"/>
              <w:jc w:val="center"/>
            </w:pPr>
            <w:r>
              <w:t xml:space="preserve">idade+T+N</w:t>
            </w:r>
          </w:p>
        </w:tc>
        <w:tc>
          <w:tcPr>
            <w:tcW w:w="1783" w:type="dxa"/>
          </w:tcPr>
          <w:p>
            <w:pPr>
              <w:pStyle w:val="Compact"/>
              <w:jc w:val="center"/>
            </w:pPr>
            <w:r>
              <w:t xml:space="preserve">1,45 (1,15-1,84)</w:t>
            </w:r>
          </w:p>
        </w:tc>
        <w:tc>
          <w:tcPr>
            <w:tcW w:w="728" w:type="dxa"/>
          </w:tcPr>
          <w:p>
            <w:pPr>
              <w:pStyle w:val="Compact"/>
              <w:jc w:val="center"/>
            </w:pPr>
            <w:r>
              <w:t xml:space="preserve">0,002</w:t>
            </w:r>
          </w:p>
        </w:tc>
        <w:tc>
          <w:tcPr>
            <w:tcW w:w="992" w:type="dxa"/>
          </w:tcPr>
          <w:p>
            <w:pPr>
              <w:pStyle w:val="Compact"/>
              <w:jc w:val="center"/>
            </w:pPr>
            <w:r>
              <w:t xml:space="preserve">0,697</w:t>
            </w:r>
          </w:p>
        </w:tc>
        <w:tc>
          <w:tcPr>
            <w:tcW w:w="1431" w:type="dxa"/>
          </w:tcPr>
          <w:p>
            <w:pPr>
              <w:pStyle w:val="Compact"/>
              <w:jc w:val="center"/>
            </w:pPr>
            <w:r>
              <w:t xml:space="preserve">0,724</w:t>
            </w:r>
          </w:p>
        </w:tc>
        <w:tc>
          <w:tcPr>
            <w:tcW w:w="809" w:type="dxa"/>
          </w:tcPr>
          <w:p>
            <w:pPr>
              <w:pStyle w:val="Compact"/>
              <w:jc w:val="center"/>
            </w:pPr>
            <w:r>
              <w:t xml:space="preserve">+0,026</w:t>
            </w:r>
          </w:p>
        </w:tc>
      </w:tr>
    </w:tbl>
    <w:bookmarkEnd w:id="151"/>
    <w:p/>
    <w:p>
      <w:pPr>
        <w:pStyle w:val="BodyText"/>
      </w:pPr>
      <w:r>
        <w:t xml:space="preserve"> </w:t>
      </w:r>
    </w:p>
    <w:p>
      <w:pPr>
        <w:jc w:val="left"/>
        <w:spacing w:before="200"/>
        <w:pStyle w:val="ImageCaption"/>
      </w:pPr>
      <w:bookmarkStart w:id="152" w:name="tbl-full-model"/>
      <w:r>
        <w:t xml:space="preserve">Tabela 10 — Modelo clínico completo (6 variáveis) com e sem CorePAM</w:t>
      </w:r>
    </w:p>
    <w:tbl>
      <w:tblPr>
        <w:tblStyle w:val="Table"/>
        <w:tblW w:type="dxa" w:w="8640"/>
        <w:tblLayout w:type="fixed"/>
        <w:tblLook w:firstRow="1" w:lastRow="0" w:firstColumn="0" w:lastColumn="0" w:noHBand="0" w:noVBand="0" w:val="0020"/>
      </w:tblPr>
      <w:tblGrid>
        <w:gridCol w:w="1362"/>
        <w:gridCol w:w="944"/>
        <w:gridCol w:w="650"/>
        <w:gridCol w:w="944"/>
        <w:gridCol w:w="1362"/>
        <w:gridCol w:w="776"/>
        <w:gridCol w:w="1529"/>
        <w:gridCol w:w="1073"/>
      </w:tblGrid>
      <w:tr>
        <w:trPr>
          <w:tblHeader w:val="on"/>
        </w:trPr>
        <w:tc>
          <w:tcPr>
            <w:tcW w:w="1362" w:type="dxa"/>
          </w:tcPr>
          <w:p>
            <w:pPr>
              <w:pStyle w:val="Compact"/>
              <w:jc w:val="center"/>
            </w:pPr>
            <w:r>
              <w:t xml:space="preserve">Coorte</w:t>
            </w:r>
          </w:p>
        </w:tc>
        <w:tc>
          <w:tcPr>
            <w:tcW w:w="944" w:type="dxa"/>
          </w:tcPr>
          <w:p>
            <w:pPr>
              <w:pStyle w:val="Compact"/>
              <w:jc w:val="center"/>
            </w:pPr>
            <w:r>
              <w:t xml:space="preserve">População</w:t>
            </w:r>
          </w:p>
        </w:tc>
        <w:tc>
          <w:tcPr>
            <w:tcW w:w="650" w:type="dxa"/>
          </w:tcPr>
          <w:p>
            <w:pPr>
              <w:pStyle w:val="Compact"/>
              <w:jc w:val="center"/>
            </w:pPr>
            <w:r>
              <w:t xml:space="preserve">N</w:t>
            </w:r>
          </w:p>
        </w:tc>
        <w:tc>
          <w:tcPr>
            <w:tcW w:w="944" w:type="dxa"/>
          </w:tcPr>
          <w:p>
            <w:pPr>
              <w:pStyle w:val="Compact"/>
              <w:jc w:val="center"/>
            </w:pPr>
            <w:r>
              <w:t xml:space="preserve">C clínico</w:t>
            </w:r>
          </w:p>
        </w:tc>
        <w:tc>
          <w:tcPr>
            <w:tcW w:w="1362" w:type="dxa"/>
          </w:tcPr>
          <w:p>
            <w:pPr>
              <w:pStyle w:val="Compact"/>
              <w:jc w:val="center"/>
            </w:pPr>
            <w:r>
              <w:t xml:space="preserve">C clin+CorePAM</w:t>
            </w:r>
          </w:p>
        </w:tc>
        <w:tc>
          <w:tcPr>
            <w:tcW w:w="776" w:type="dxa"/>
          </w:tcPr>
          <w:p>
            <w:pPr>
              <w:pStyle w:val="Compact"/>
              <w:jc w:val="center"/>
            </w:pPr>
            <w:r>
              <w:t xml:space="preserve">Delta-C</w:t>
            </w:r>
          </w:p>
        </w:tc>
        <w:tc>
          <w:tcPr>
            <w:tcW w:w="1529" w:type="dxa"/>
          </w:tcPr>
          <w:p>
            <w:pPr>
              <w:pStyle w:val="Compact"/>
              <w:jc w:val="center"/>
            </w:pPr>
            <w:r>
              <w:t xml:space="preserve">HR</w:t>
            </w:r>
            <w:r>
              <w:rPr>
                <w:vertAlign w:val="subscript"/>
              </w:rPr>
              <w:t xml:space="preserve">adj</w:t>
            </w:r>
            <w:r>
              <w:t xml:space="preserve"> </w:t>
            </w:r>
            <w:r>
              <w:t xml:space="preserve">(IC 95%)</w:t>
            </w:r>
          </w:p>
        </w:tc>
        <w:tc>
          <w:tcPr>
            <w:tcW w:w="1073" w:type="dxa"/>
          </w:tcPr>
          <w:p>
            <w:pPr>
              <w:pStyle w:val="Compact"/>
              <w:jc w:val="center"/>
            </w:pPr>
            <w:r>
              <w:t xml:space="preserve">LRT p</w:t>
            </w:r>
          </w:p>
        </w:tc>
      </w:tr>
      <w:tr>
        <w:tc>
          <w:tcPr>
            <w:tcW w:w="1362" w:type="dxa"/>
          </w:tcPr>
          <w:p>
            <w:pPr>
              <w:pStyle w:val="Compact"/>
              <w:jc w:val="center"/>
            </w:pPr>
            <w:r>
              <w:t xml:space="preserve">SCAN-B (OS)</w:t>
            </w:r>
          </w:p>
        </w:tc>
        <w:tc>
          <w:tcPr>
            <w:tcW w:w="944" w:type="dxa"/>
          </w:tcPr>
          <w:p>
            <w:pPr>
              <w:pStyle w:val="Compact"/>
              <w:jc w:val="center"/>
            </w:pPr>
            <w:r>
              <w:t xml:space="preserve">Todos</w:t>
            </w:r>
          </w:p>
        </w:tc>
        <w:tc>
          <w:tcPr>
            <w:tcW w:w="650" w:type="dxa"/>
          </w:tcPr>
          <w:p>
            <w:pPr>
              <w:pStyle w:val="Compact"/>
              <w:jc w:val="center"/>
            </w:pPr>
            <w:r>
              <w:t xml:space="preserve">2 649</w:t>
            </w:r>
          </w:p>
        </w:tc>
        <w:tc>
          <w:tcPr>
            <w:tcW w:w="944" w:type="dxa"/>
          </w:tcPr>
          <w:p>
            <w:pPr>
              <w:pStyle w:val="Compact"/>
              <w:jc w:val="center"/>
            </w:pPr>
            <w:r>
              <w:t xml:space="preserve">0,770</w:t>
            </w:r>
          </w:p>
        </w:tc>
        <w:tc>
          <w:tcPr>
            <w:tcW w:w="1362" w:type="dxa"/>
          </w:tcPr>
          <w:p>
            <w:pPr>
              <w:pStyle w:val="Compact"/>
              <w:jc w:val="center"/>
            </w:pPr>
            <w:r>
              <w:t xml:space="preserve">0,787</w:t>
            </w:r>
          </w:p>
        </w:tc>
        <w:tc>
          <w:tcPr>
            <w:tcW w:w="776" w:type="dxa"/>
          </w:tcPr>
          <w:p>
            <w:pPr>
              <w:pStyle w:val="Compact"/>
              <w:jc w:val="center"/>
            </w:pPr>
            <w:r>
              <w:t xml:space="preserve">+0,017</w:t>
            </w:r>
          </w:p>
        </w:tc>
        <w:tc>
          <w:tcPr>
            <w:tcW w:w="1529" w:type="dxa"/>
          </w:tcPr>
          <w:p>
            <w:pPr>
              <w:pStyle w:val="Compact"/>
              <w:jc w:val="center"/>
            </w:pPr>
            <w:r>
              <w:t xml:space="preserve">1,75 (1,51-2,03)</w:t>
            </w:r>
          </w:p>
        </w:tc>
        <w:tc>
          <w:tcPr>
            <w:tcW w:w="1073" w:type="dxa"/>
          </w:tcPr>
          <w:p>
            <w:pPr>
              <w:pStyle w:val="Compact"/>
              <w:jc w:val="center"/>
            </w:pPr>
            <w:r>
              <w:t xml:space="preserve">4,9 x 10</w:t>
            </w:r>
            <w:r>
              <w:rPr>
                <w:vertAlign w:val="superscript"/>
              </w:rPr>
              <w:t xml:space="preserve">-13</w:t>
            </w:r>
          </w:p>
        </w:tc>
      </w:tr>
      <w:tr>
        <w:tc>
          <w:tcPr>
            <w:tcW w:w="1362" w:type="dxa"/>
          </w:tcPr>
          <w:p>
            <w:pPr>
              <w:pStyle w:val="Compact"/>
              <w:jc w:val="center"/>
            </w:pPr>
            <w:r>
              <w:t xml:space="preserve">SCAN-B (OS)</w:t>
            </w:r>
          </w:p>
        </w:tc>
        <w:tc>
          <w:tcPr>
            <w:tcW w:w="944" w:type="dxa"/>
          </w:tcPr>
          <w:p>
            <w:pPr>
              <w:pStyle w:val="Compact"/>
              <w:jc w:val="center"/>
            </w:pPr>
            <w:r>
              <w:t xml:space="preserve">RE+</w:t>
            </w:r>
          </w:p>
        </w:tc>
        <w:tc>
          <w:tcPr>
            <w:tcW w:w="650" w:type="dxa"/>
          </w:tcPr>
          <w:p>
            <w:pPr>
              <w:pStyle w:val="Compact"/>
              <w:jc w:val="center"/>
            </w:pPr>
            <w:r>
              <w:t xml:space="preserve">2 450</w:t>
            </w:r>
          </w:p>
        </w:tc>
        <w:tc>
          <w:tcPr>
            <w:tcW w:w="944" w:type="dxa"/>
          </w:tcPr>
          <w:p>
            <w:pPr>
              <w:pStyle w:val="Compact"/>
              <w:jc w:val="center"/>
            </w:pPr>
            <w:r>
              <w:t xml:space="preserve">0,770</w:t>
            </w:r>
          </w:p>
        </w:tc>
        <w:tc>
          <w:tcPr>
            <w:tcW w:w="1362" w:type="dxa"/>
          </w:tcPr>
          <w:p>
            <w:pPr>
              <w:pStyle w:val="Compact"/>
              <w:jc w:val="center"/>
            </w:pPr>
            <w:r>
              <w:t xml:space="preserve">0,784</w:t>
            </w:r>
          </w:p>
        </w:tc>
        <w:tc>
          <w:tcPr>
            <w:tcW w:w="776" w:type="dxa"/>
          </w:tcPr>
          <w:p>
            <w:pPr>
              <w:pStyle w:val="Compact"/>
              <w:jc w:val="center"/>
            </w:pPr>
            <w:r>
              <w:t xml:space="preserve">+0,014</w:t>
            </w:r>
          </w:p>
        </w:tc>
        <w:tc>
          <w:tcPr>
            <w:tcW w:w="1529" w:type="dxa"/>
          </w:tcPr>
          <w:p>
            <w:pPr>
              <w:pStyle w:val="Compact"/>
              <w:jc w:val="center"/>
            </w:pPr>
            <w:r>
              <w:t xml:space="preserve">1,68 (1,43-1,97)</w:t>
            </w:r>
          </w:p>
        </w:tc>
        <w:tc>
          <w:tcPr>
            <w:tcW w:w="1073" w:type="dxa"/>
          </w:tcPr>
          <w:p>
            <w:pPr>
              <w:pStyle w:val="Compact"/>
              <w:jc w:val="center"/>
            </w:pPr>
            <w:r>
              <w:t xml:space="preserve">1,1 x 10</w:t>
            </w:r>
            <w:r>
              <w:rPr>
                <w:vertAlign w:val="superscript"/>
              </w:rPr>
              <w:t xml:space="preserve">-10</w:t>
            </w:r>
          </w:p>
        </w:tc>
      </w:tr>
      <w:tr>
        <w:tc>
          <w:tcPr>
            <w:tcW w:w="1362" w:type="dxa"/>
          </w:tcPr>
          <w:p>
            <w:pPr>
              <w:pStyle w:val="Compact"/>
              <w:jc w:val="center"/>
            </w:pPr>
            <w:r>
              <w:t xml:space="preserve">METABRIC (DSS)</w:t>
            </w:r>
          </w:p>
        </w:tc>
        <w:tc>
          <w:tcPr>
            <w:tcW w:w="944" w:type="dxa"/>
          </w:tcPr>
          <w:p>
            <w:pPr>
              <w:pStyle w:val="Compact"/>
              <w:jc w:val="center"/>
            </w:pPr>
            <w:r>
              <w:t xml:space="preserve">Todos</w:t>
            </w:r>
          </w:p>
        </w:tc>
        <w:tc>
          <w:tcPr>
            <w:tcW w:w="650" w:type="dxa"/>
          </w:tcPr>
          <w:p>
            <w:pPr>
              <w:pStyle w:val="Compact"/>
              <w:jc w:val="center"/>
            </w:pPr>
            <w:r>
              <w:t xml:space="preserve">1 792</w:t>
            </w:r>
          </w:p>
        </w:tc>
        <w:tc>
          <w:tcPr>
            <w:tcW w:w="944" w:type="dxa"/>
          </w:tcPr>
          <w:p>
            <w:pPr>
              <w:pStyle w:val="Compact"/>
              <w:jc w:val="center"/>
            </w:pPr>
            <w:r>
              <w:t xml:space="preserve">0,678</w:t>
            </w:r>
          </w:p>
        </w:tc>
        <w:tc>
          <w:tcPr>
            <w:tcW w:w="1362" w:type="dxa"/>
          </w:tcPr>
          <w:p>
            <w:pPr>
              <w:pStyle w:val="Compact"/>
              <w:jc w:val="center"/>
            </w:pPr>
            <w:r>
              <w:t xml:space="preserve">0,693</w:t>
            </w:r>
          </w:p>
        </w:tc>
        <w:tc>
          <w:tcPr>
            <w:tcW w:w="776" w:type="dxa"/>
          </w:tcPr>
          <w:p>
            <w:pPr>
              <w:pStyle w:val="Compact"/>
              <w:jc w:val="center"/>
            </w:pPr>
            <w:r>
              <w:t xml:space="preserve">+0,015</w:t>
            </w:r>
          </w:p>
        </w:tc>
        <w:tc>
          <w:tcPr>
            <w:tcW w:w="1529" w:type="dxa"/>
          </w:tcPr>
          <w:p>
            <w:pPr>
              <w:pStyle w:val="Compact"/>
              <w:jc w:val="center"/>
            </w:pPr>
            <w:r>
              <w:t xml:space="preserve">1,25 (1,14-1,38)</w:t>
            </w:r>
          </w:p>
        </w:tc>
        <w:tc>
          <w:tcPr>
            <w:tcW w:w="1073" w:type="dxa"/>
          </w:tcPr>
          <w:p>
            <w:pPr>
              <w:pStyle w:val="Compact"/>
              <w:jc w:val="center"/>
            </w:pPr>
            <w:r>
              <w:t xml:space="preserve">6,1 x 10</w:t>
            </w:r>
            <w:r>
              <w:rPr>
                <w:vertAlign w:val="superscript"/>
              </w:rPr>
              <w:t xml:space="preserve">-6</w:t>
            </w:r>
          </w:p>
        </w:tc>
      </w:tr>
      <w:tr>
        <w:tc>
          <w:tcPr>
            <w:tcW w:w="1362" w:type="dxa"/>
          </w:tcPr>
          <w:p>
            <w:pPr>
              <w:pStyle w:val="Compact"/>
              <w:jc w:val="center"/>
            </w:pPr>
            <w:r>
              <w:t xml:space="preserve">METABRIC (DSS)</w:t>
            </w:r>
          </w:p>
        </w:tc>
        <w:tc>
          <w:tcPr>
            <w:tcW w:w="944" w:type="dxa"/>
          </w:tcPr>
          <w:p>
            <w:pPr>
              <w:pStyle w:val="Compact"/>
              <w:jc w:val="center"/>
            </w:pPr>
            <w:r>
              <w:t xml:space="preserve">RE+</w:t>
            </w:r>
          </w:p>
        </w:tc>
        <w:tc>
          <w:tcPr>
            <w:tcW w:w="650" w:type="dxa"/>
          </w:tcPr>
          <w:p>
            <w:pPr>
              <w:pStyle w:val="Compact"/>
              <w:jc w:val="center"/>
            </w:pPr>
            <w:r>
              <w:t xml:space="preserve">1 377</w:t>
            </w:r>
          </w:p>
        </w:tc>
        <w:tc>
          <w:tcPr>
            <w:tcW w:w="944" w:type="dxa"/>
          </w:tcPr>
          <w:p>
            <w:pPr>
              <w:pStyle w:val="Compact"/>
              <w:jc w:val="center"/>
            </w:pPr>
            <w:r>
              <w:t xml:space="preserve">0,674</w:t>
            </w:r>
          </w:p>
        </w:tc>
        <w:tc>
          <w:tcPr>
            <w:tcW w:w="1362" w:type="dxa"/>
          </w:tcPr>
          <w:p>
            <w:pPr>
              <w:pStyle w:val="Compact"/>
              <w:jc w:val="center"/>
            </w:pPr>
            <w:r>
              <w:t xml:space="preserve">0,707</w:t>
            </w:r>
          </w:p>
        </w:tc>
        <w:tc>
          <w:tcPr>
            <w:tcW w:w="776" w:type="dxa"/>
          </w:tcPr>
          <w:p>
            <w:pPr>
              <w:pStyle w:val="Compact"/>
              <w:jc w:val="center"/>
            </w:pPr>
            <w:r>
              <w:t xml:space="preserve">+0,032</w:t>
            </w:r>
          </w:p>
        </w:tc>
        <w:tc>
          <w:tcPr>
            <w:tcW w:w="1529" w:type="dxa"/>
          </w:tcPr>
          <w:p>
            <w:pPr>
              <w:pStyle w:val="Compact"/>
              <w:jc w:val="center"/>
            </w:pPr>
            <w:r>
              <w:t xml:space="preserve">1,47 (1,31-1,65)</w:t>
            </w:r>
          </w:p>
        </w:tc>
        <w:tc>
          <w:tcPr>
            <w:tcW w:w="1073" w:type="dxa"/>
          </w:tcPr>
          <w:p>
            <w:pPr>
              <w:pStyle w:val="Compact"/>
              <w:jc w:val="center"/>
            </w:pPr>
            <w:r>
              <w:t xml:space="preserve">1,0 x 10</w:t>
            </w:r>
            <w:r>
              <w:rPr>
                <w:vertAlign w:val="superscript"/>
              </w:rPr>
              <w:t xml:space="preserve">-10</w:t>
            </w:r>
          </w:p>
        </w:tc>
      </w:tr>
    </w:tbl>
    <w:bookmarkEnd w:id="152"/>
    <w:p/>
    <w:bookmarkEnd w:id="153"/>
    <w:bookmarkStart w:id="169" w:name="análises-de-sensibilidade"/>
    <w:p>
      <w:pPr>
        <w:pStyle w:val="Heading2"/>
      </w:pPr>
      <w:r>
        <w:t xml:space="preserve">4.6 Análises de sensibilidade</w:t>
      </w:r>
    </w:p>
    <w:p>
      <w:pPr>
        <w:jc w:val="left"/>
        <w:spacing w:before="200"/>
        <w:pStyle w:val="ImageCaption"/>
      </w:pPr>
      <w:bookmarkStart w:id="154"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8640"/>
        <w:tblLayout w:type="fixed"/>
        <w:tblLook w:firstRow="1" w:lastRow="0" w:firstColumn="0" w:lastColumn="0" w:noHBand="0" w:noVBand="0" w:val="0020"/>
      </w:tblPr>
      <w:tblGrid>
        <w:gridCol w:w="1227"/>
        <w:gridCol w:w="792"/>
        <w:gridCol w:w="2362"/>
        <w:gridCol w:w="1445"/>
        <w:gridCol w:w="1009"/>
        <w:gridCol w:w="1009"/>
        <w:gridCol w:w="796"/>
      </w:tblGrid>
      <w:tr>
        <w:trPr>
          <w:tblHeader w:val="on"/>
        </w:trPr>
        <w:tc>
          <w:tcPr>
            <w:tcW w:w="1227" w:type="dxa"/>
          </w:tcPr>
          <w:p>
            <w:pPr>
              <w:pStyle w:val="Compact"/>
              <w:jc w:val="center"/>
            </w:pPr>
            <w:r>
              <w:t xml:space="preserve">Coorte</w:t>
            </w:r>
          </w:p>
        </w:tc>
        <w:tc>
          <w:tcPr>
            <w:tcW w:w="792" w:type="dxa"/>
          </w:tcPr>
          <w:p>
            <w:pPr>
              <w:pStyle w:val="Compact"/>
              <w:jc w:val="center"/>
            </w:pPr>
            <w:r>
              <w:t xml:space="preserve">N</w:t>
            </w:r>
          </w:p>
        </w:tc>
        <w:tc>
          <w:tcPr>
            <w:tcW w:w="2362" w:type="dxa"/>
          </w:tcPr>
          <w:p>
            <w:pPr>
              <w:pStyle w:val="Compact"/>
              <w:jc w:val="center"/>
            </w:pPr>
            <w:r>
              <w:t xml:space="preserve">Plataforma</w:t>
            </w:r>
          </w:p>
        </w:tc>
        <w:tc>
          <w:tcPr>
            <w:tcW w:w="1445" w:type="dxa"/>
          </w:tcPr>
          <w:p>
            <w:pPr>
              <w:pStyle w:val="Compact"/>
              <w:jc w:val="center"/>
            </w:pPr>
            <w:r>
              <w:t xml:space="preserve">C congelado</w:t>
            </w:r>
          </w:p>
        </w:tc>
        <w:tc>
          <w:tcPr>
            <w:tcW w:w="1009" w:type="dxa"/>
          </w:tcPr>
          <w:p>
            <w:pPr>
              <w:pStyle w:val="Compact"/>
              <w:jc w:val="center"/>
            </w:pPr>
            <w:r>
              <w:t xml:space="preserve">C intra</w:t>
            </w:r>
          </w:p>
        </w:tc>
        <w:tc>
          <w:tcPr>
            <w:tcW w:w="1009" w:type="dxa"/>
          </w:tcPr>
          <w:p>
            <w:pPr>
              <w:pStyle w:val="Compact"/>
              <w:jc w:val="center"/>
            </w:pPr>
            <w:r>
              <w:t xml:space="preserve">Delta-C</w:t>
            </w:r>
          </w:p>
        </w:tc>
        <w:tc>
          <w:tcPr>
            <w:tcW w:w="796" w:type="dxa"/>
          </w:tcPr>
          <w:p>
            <w:pPr>
              <w:pStyle w:val="Compact"/>
              <w:jc w:val="center"/>
            </w:pPr>
            <w:r>
              <w:t xml:space="preserve">r</w:t>
            </w:r>
          </w:p>
        </w:tc>
      </w:tr>
      <w:tr>
        <w:tc>
          <w:tcPr>
            <w:tcW w:w="1227" w:type="dxa"/>
          </w:tcPr>
          <w:p>
            <w:pPr>
              <w:pStyle w:val="Compact"/>
              <w:jc w:val="center"/>
            </w:pPr>
            <w:r>
              <w:t xml:space="preserve">SCAN-B</w:t>
            </w:r>
          </w:p>
        </w:tc>
        <w:tc>
          <w:tcPr>
            <w:tcW w:w="792" w:type="dxa"/>
          </w:tcPr>
          <w:p>
            <w:pPr>
              <w:pStyle w:val="Compact"/>
              <w:jc w:val="center"/>
            </w:pPr>
            <w:r>
              <w:t xml:space="preserve">3 069</w:t>
            </w:r>
          </w:p>
        </w:tc>
        <w:tc>
          <w:tcPr>
            <w:tcW w:w="2362" w:type="dxa"/>
          </w:tcPr>
          <w:p>
            <w:pPr>
              <w:pStyle w:val="Compact"/>
              <w:jc w:val="center"/>
            </w:pPr>
            <w:r>
              <w:rPr>
                <w:i/>
                <w:iCs/>
              </w:rPr>
              <w:t xml:space="preserve">RNA-seq</w:t>
            </w:r>
          </w:p>
        </w:tc>
        <w:tc>
          <w:tcPr>
            <w:tcW w:w="1445" w:type="dxa"/>
          </w:tcPr>
          <w:p>
            <w:pPr>
              <w:pStyle w:val="Compact"/>
              <w:jc w:val="center"/>
            </w:pPr>
            <w:r>
              <w:t xml:space="preserve">0,698</w:t>
            </w:r>
          </w:p>
        </w:tc>
        <w:tc>
          <w:tcPr>
            <w:tcW w:w="1009" w:type="dxa"/>
          </w:tcPr>
          <w:p>
            <w:pPr>
              <w:pStyle w:val="Compact"/>
              <w:jc w:val="center"/>
            </w:pPr>
            <w:r>
              <w:t xml:space="preserve">0,698</w:t>
            </w:r>
          </w:p>
        </w:tc>
        <w:tc>
          <w:tcPr>
            <w:tcW w:w="1009" w:type="dxa"/>
          </w:tcPr>
          <w:p>
            <w:pPr>
              <w:pStyle w:val="Compact"/>
              <w:jc w:val="center"/>
            </w:pPr>
            <w:r>
              <w:t xml:space="preserve">0,0000</w:t>
            </w:r>
          </w:p>
        </w:tc>
        <w:tc>
          <w:tcPr>
            <w:tcW w:w="796" w:type="dxa"/>
          </w:tcPr>
          <w:p>
            <w:pPr>
              <w:pStyle w:val="Compact"/>
              <w:jc w:val="center"/>
            </w:pPr>
            <w:r>
              <w:t xml:space="preserve">1,000</w:t>
            </w:r>
          </w:p>
        </w:tc>
      </w:tr>
      <w:tr>
        <w:tc>
          <w:tcPr>
            <w:tcW w:w="1227" w:type="dxa"/>
          </w:tcPr>
          <w:p>
            <w:pPr>
              <w:pStyle w:val="Compact"/>
              <w:jc w:val="center"/>
            </w:pPr>
            <w:r>
              <w:t xml:space="preserve">TCGA-BRCA</w:t>
            </w:r>
          </w:p>
        </w:tc>
        <w:tc>
          <w:tcPr>
            <w:tcW w:w="792" w:type="dxa"/>
          </w:tcPr>
          <w:p>
            <w:pPr>
              <w:pStyle w:val="Compact"/>
              <w:jc w:val="center"/>
            </w:pPr>
            <w:r>
              <w:t xml:space="preserve">1 072</w:t>
            </w:r>
          </w:p>
        </w:tc>
        <w:tc>
          <w:tcPr>
            <w:tcW w:w="2362" w:type="dxa"/>
          </w:tcPr>
          <w:p>
            <w:pPr>
              <w:pStyle w:val="Compact"/>
              <w:jc w:val="center"/>
            </w:pPr>
            <w:r>
              <w:rPr>
                <w:i/>
                <w:iCs/>
              </w:rPr>
              <w:t xml:space="preserve">RNA-seq</w:t>
            </w:r>
          </w:p>
        </w:tc>
        <w:tc>
          <w:tcPr>
            <w:tcW w:w="1445" w:type="dxa"/>
          </w:tcPr>
          <w:p>
            <w:pPr>
              <w:pStyle w:val="Compact"/>
              <w:jc w:val="center"/>
            </w:pPr>
            <w:r>
              <w:t xml:space="preserve">0,624</w:t>
            </w:r>
          </w:p>
        </w:tc>
        <w:tc>
          <w:tcPr>
            <w:tcW w:w="1009" w:type="dxa"/>
          </w:tcPr>
          <w:p>
            <w:pPr>
              <w:pStyle w:val="Compact"/>
              <w:jc w:val="center"/>
            </w:pPr>
            <w:r>
              <w:t xml:space="preserve">0,624</w:t>
            </w:r>
          </w:p>
        </w:tc>
        <w:tc>
          <w:tcPr>
            <w:tcW w:w="1009" w:type="dxa"/>
          </w:tcPr>
          <w:p>
            <w:pPr>
              <w:pStyle w:val="Compact"/>
              <w:jc w:val="center"/>
            </w:pPr>
            <w:r>
              <w:t xml:space="preserve">+0,0002</w:t>
            </w:r>
          </w:p>
        </w:tc>
        <w:tc>
          <w:tcPr>
            <w:tcW w:w="796" w:type="dxa"/>
          </w:tcPr>
          <w:p>
            <w:pPr>
              <w:pStyle w:val="Compact"/>
              <w:jc w:val="center"/>
            </w:pPr>
            <w:r>
              <w:t xml:space="preserve">0,999</w:t>
            </w:r>
          </w:p>
        </w:tc>
      </w:tr>
      <w:tr>
        <w:tc>
          <w:tcPr>
            <w:tcW w:w="1227" w:type="dxa"/>
          </w:tcPr>
          <w:p>
            <w:pPr>
              <w:pStyle w:val="Compact"/>
              <w:jc w:val="center"/>
            </w:pPr>
            <w:r>
              <w:t xml:space="preserve">METABRIC</w:t>
            </w:r>
          </w:p>
        </w:tc>
        <w:tc>
          <w:tcPr>
            <w:tcW w:w="792" w:type="dxa"/>
          </w:tcPr>
          <w:p>
            <w:pPr>
              <w:pStyle w:val="Compact"/>
              <w:jc w:val="center"/>
            </w:pPr>
            <w:r>
              <w:t xml:space="preserve">1 978</w:t>
            </w:r>
          </w:p>
        </w:tc>
        <w:tc>
          <w:tcPr>
            <w:tcW w:w="2362" w:type="dxa"/>
          </w:tcPr>
          <w:p>
            <w:pPr>
              <w:pStyle w:val="Compact"/>
              <w:jc w:val="center"/>
            </w:pPr>
            <w:r>
              <w:t xml:space="preserve">Microarray</w:t>
            </w:r>
            <w:r>
              <w:t xml:space="preserve"> </w:t>
            </w:r>
            <w:r>
              <w:rPr>
                <w:i/>
                <w:iCs/>
              </w:rPr>
              <w:t xml:space="preserve">Illumina</w:t>
            </w:r>
          </w:p>
        </w:tc>
        <w:tc>
          <w:tcPr>
            <w:tcW w:w="1445" w:type="dxa"/>
          </w:tcPr>
          <w:p>
            <w:pPr>
              <w:pStyle w:val="Compact"/>
              <w:jc w:val="center"/>
            </w:pPr>
            <w:r>
              <w:t xml:space="preserve">0,638</w:t>
            </w:r>
          </w:p>
        </w:tc>
        <w:tc>
          <w:tcPr>
            <w:tcW w:w="1009" w:type="dxa"/>
          </w:tcPr>
          <w:p>
            <w:pPr>
              <w:pStyle w:val="Compact"/>
              <w:jc w:val="center"/>
            </w:pPr>
            <w:r>
              <w:t xml:space="preserve">0,638</w:t>
            </w:r>
          </w:p>
        </w:tc>
        <w:tc>
          <w:tcPr>
            <w:tcW w:w="1009" w:type="dxa"/>
          </w:tcPr>
          <w:p>
            <w:pPr>
              <w:pStyle w:val="Compact"/>
              <w:jc w:val="center"/>
            </w:pPr>
            <w:r>
              <w:t xml:space="preserve">+0,0007</w:t>
            </w:r>
          </w:p>
        </w:tc>
        <w:tc>
          <w:tcPr>
            <w:tcW w:w="796" w:type="dxa"/>
          </w:tcPr>
          <w:p>
            <w:pPr>
              <w:pStyle w:val="Compact"/>
              <w:jc w:val="center"/>
            </w:pPr>
            <w:r>
              <w:t xml:space="preserve">0,958</w:t>
            </w:r>
          </w:p>
        </w:tc>
      </w:tr>
      <w:tr>
        <w:tc>
          <w:tcPr>
            <w:tcW w:w="1227" w:type="dxa"/>
          </w:tcPr>
          <w:p>
            <w:pPr>
              <w:pStyle w:val="Compact"/>
              <w:jc w:val="center"/>
            </w:pPr>
            <w:r>
              <w:t xml:space="preserve">GSE20685</w:t>
            </w:r>
          </w:p>
        </w:tc>
        <w:tc>
          <w:tcPr>
            <w:tcW w:w="792" w:type="dxa"/>
          </w:tcPr>
          <w:p>
            <w:pPr>
              <w:pStyle w:val="Compact"/>
              <w:jc w:val="center"/>
            </w:pPr>
            <w:r>
              <w:t xml:space="preserve">327</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0,591</w:t>
            </w:r>
          </w:p>
        </w:tc>
        <w:tc>
          <w:tcPr>
            <w:tcW w:w="1009" w:type="dxa"/>
          </w:tcPr>
          <w:p>
            <w:pPr>
              <w:pStyle w:val="Compact"/>
              <w:jc w:val="center"/>
            </w:pPr>
            <w:r>
              <w:t xml:space="preserve">0,626</w:t>
            </w:r>
          </w:p>
        </w:tc>
        <w:tc>
          <w:tcPr>
            <w:tcW w:w="1009" w:type="dxa"/>
          </w:tcPr>
          <w:p>
            <w:pPr>
              <w:pStyle w:val="Compact"/>
              <w:jc w:val="center"/>
            </w:pPr>
            <w:r>
              <w:t xml:space="preserve">-0,036</w:t>
            </w:r>
          </w:p>
        </w:tc>
        <w:tc>
          <w:tcPr>
            <w:tcW w:w="796" w:type="dxa"/>
          </w:tcPr>
          <w:p>
            <w:pPr>
              <w:pStyle w:val="Compact"/>
              <w:jc w:val="center"/>
            </w:pPr>
            <w:r>
              <w:t xml:space="preserve">0,923</w:t>
            </w:r>
          </w:p>
        </w:tc>
      </w:tr>
      <w:tr>
        <w:tc>
          <w:tcPr>
            <w:tcW w:w="1227" w:type="dxa"/>
          </w:tcPr>
          <w:p>
            <w:pPr>
              <w:pStyle w:val="Compact"/>
              <w:jc w:val="center"/>
            </w:pPr>
            <w:r>
              <w:t xml:space="preserve">GSE1456</w:t>
            </w:r>
          </w:p>
        </w:tc>
        <w:tc>
          <w:tcPr>
            <w:tcW w:w="792" w:type="dxa"/>
          </w:tcPr>
          <w:p>
            <w:pPr>
              <w:pStyle w:val="Compact"/>
              <w:jc w:val="center"/>
            </w:pPr>
            <w:r>
              <w:t xml:space="preserve">159</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0,622</w:t>
            </w:r>
          </w:p>
        </w:tc>
        <w:tc>
          <w:tcPr>
            <w:tcW w:w="1009" w:type="dxa"/>
          </w:tcPr>
          <w:p>
            <w:pPr>
              <w:pStyle w:val="Compact"/>
              <w:jc w:val="center"/>
            </w:pPr>
            <w:r>
              <w:t xml:space="preserve">0,661</w:t>
            </w:r>
          </w:p>
        </w:tc>
        <w:tc>
          <w:tcPr>
            <w:tcW w:w="1009" w:type="dxa"/>
          </w:tcPr>
          <w:p>
            <w:pPr>
              <w:pStyle w:val="Compact"/>
              <w:jc w:val="center"/>
            </w:pPr>
            <w:r>
              <w:t xml:space="preserve">-0,040</w:t>
            </w:r>
          </w:p>
        </w:tc>
        <w:tc>
          <w:tcPr>
            <w:tcW w:w="796" w:type="dxa"/>
          </w:tcPr>
          <w:p>
            <w:pPr>
              <w:pStyle w:val="Compact"/>
              <w:jc w:val="center"/>
            </w:pPr>
            <w:r>
              <w:t xml:space="preserve">0,916</w:t>
            </w:r>
          </w:p>
        </w:tc>
      </w:tr>
    </w:tbl>
    <w:bookmarkEnd w:id="154"/>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 RNA-seq).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 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8" w:name="fig-correlation"/>
      <w:r>
        <w:drawing>
          <wp:inline>
            <wp:extent cx="5399999" cy="4628571"/>
            <wp:effectExtent b="0" l="0" r="0" t="0"/>
            <wp:docPr descr="" title="" id="156" name="Picture"/>
            <a:graphic>
              <a:graphicData uri="http://schemas.openxmlformats.org/drawingml/2006/picture">
                <pic:pic>
                  <pic:nvPicPr>
                    <pic:cNvPr descr="../figures/supp/pt/png/FigS3_Correlation_OffDiagonal_PT.png" id="157" name="Picture"/>
                    <pic:cNvPicPr>
                      <a:picLocks noChangeArrowheads="1" noChangeAspect="1"/>
                    </pic:cNvPicPr>
                  </pic:nvPicPr>
                  <pic:blipFill>
                    <a:blip r:embed="rId155"/>
                    <a:stretch>
                      <a:fillRect/>
                    </a:stretch>
                  </pic:blipFill>
                  <pic:spPr bwMode="auto">
                    <a:xfrm>
                      <a:off x="0" y="0"/>
                      <a:ext cx="5399999" cy="4628571"/>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p>
    <w:bookmarkEnd w:id="158"/>
    <w:p>
      <w:r>
        <w:br w:type="page"/>
      </w:r>
    </w:p>
    <w:p>
      <w:pPr>
        <w:jc w:val="left"/>
        <w:spacing w:before="200"/>
        <w:pStyle w:val="ImageCaption"/>
      </w:pPr>
      <w:bookmarkStart w:id="159" w:name="tbl-uno-tdauc"/>
      <w:r>
        <w:t xml:space="preserve">Tabela 12 — Estatística C de Uno e AUC tempo-dependente</w:t>
      </w:r>
    </w:p>
    <w:tbl>
      <w:tblPr>
        <w:tblStyle w:val="Table"/>
        <w:tblW w:type="dxa" w:w="8640"/>
        <w:tblLayout w:type="fixed"/>
        <w:tblLook w:firstRow="1" w:lastRow="0" w:firstColumn="0" w:lastColumn="0" w:noHBand="0" w:noVBand="0" w:val="0020"/>
      </w:tblPr>
      <w:tblGrid>
        <w:gridCol w:w="1305"/>
        <w:gridCol w:w="842"/>
        <w:gridCol w:w="1305"/>
        <w:gridCol w:w="1189"/>
        <w:gridCol w:w="2345"/>
        <w:gridCol w:w="1654"/>
      </w:tblGrid>
      <w:tr>
        <w:trPr>
          <w:tblHeader w:val="on"/>
        </w:trPr>
        <w:tc>
          <w:tcPr>
            <w:tcW w:w="1305" w:type="dxa"/>
          </w:tcPr>
          <w:p>
            <w:pPr>
              <w:pStyle w:val="Compact"/>
              <w:jc w:val="center"/>
            </w:pPr>
            <w:r>
              <w:t xml:space="preserve">Coorte</w:t>
            </w:r>
          </w:p>
        </w:tc>
        <w:tc>
          <w:tcPr>
            <w:tcW w:w="842" w:type="dxa"/>
          </w:tcPr>
          <w:p>
            <w:pPr>
              <w:pStyle w:val="Compact"/>
              <w:jc w:val="center"/>
            </w:pPr>
            <w:r>
              <w:t xml:space="preserve">N</w:t>
            </w:r>
          </w:p>
        </w:tc>
        <w:tc>
          <w:tcPr>
            <w:tcW w:w="1305" w:type="dxa"/>
          </w:tcPr>
          <w:p>
            <w:pPr>
              <w:pStyle w:val="Compact"/>
              <w:jc w:val="center"/>
            </w:pPr>
            <w:r>
              <w:t xml:space="preserve">Horizonte</w:t>
            </w:r>
          </w:p>
        </w:tc>
        <w:tc>
          <w:tcPr>
            <w:tcW w:w="1189" w:type="dxa"/>
          </w:tcPr>
          <w:p>
            <w:pPr>
              <w:pStyle w:val="Compact"/>
              <w:jc w:val="center"/>
            </w:pPr>
            <w:r>
              <w:t xml:space="preserve">C de Uno</w:t>
            </w:r>
          </w:p>
        </w:tc>
        <w:tc>
          <w:tcPr>
            <w:tcW w:w="2345" w:type="dxa"/>
          </w:tcPr>
          <w:p>
            <w:pPr>
              <w:pStyle w:val="Compact"/>
              <w:jc w:val="center"/>
            </w:pPr>
            <w:r>
              <w:t xml:space="preserve">tdAUC (IC 95%)</w:t>
            </w:r>
          </w:p>
        </w:tc>
        <w:tc>
          <w:tcPr>
            <w:tcW w:w="1654" w:type="dxa"/>
          </w:tcPr>
          <w:p>
            <w:pPr>
              <w:pStyle w:val="Compact"/>
              <w:jc w:val="center"/>
            </w:pPr>
            <w:r>
              <w:t xml:space="preserve">C de Harrell</w:t>
            </w:r>
          </w:p>
        </w:tc>
      </w:tr>
      <w:tr>
        <w:tc>
          <w:tcPr>
            <w:tcW w:w="1305" w:type="dxa"/>
          </w:tcPr>
          <w:p>
            <w:pPr>
              <w:pStyle w:val="Compact"/>
              <w:jc w:val="center"/>
            </w:pPr>
            <w:r>
              <w:t xml:space="preserve">SCAN-B</w:t>
            </w:r>
          </w:p>
        </w:tc>
        <w:tc>
          <w:tcPr>
            <w:tcW w:w="842" w:type="dxa"/>
          </w:tcPr>
          <w:p>
            <w:pPr>
              <w:pStyle w:val="Compact"/>
              <w:jc w:val="center"/>
            </w:pPr>
            <w:r>
              <w:t xml:space="preserve">3 069</w:t>
            </w:r>
          </w:p>
        </w:tc>
        <w:tc>
          <w:tcPr>
            <w:tcW w:w="1305" w:type="dxa"/>
          </w:tcPr>
          <w:p>
            <w:pPr>
              <w:pStyle w:val="Compact"/>
              <w:jc w:val="center"/>
            </w:pPr>
            <w:r>
              <w:t xml:space="preserve">60m</w:t>
            </w:r>
          </w:p>
        </w:tc>
        <w:tc>
          <w:tcPr>
            <w:tcW w:w="1189" w:type="dxa"/>
          </w:tcPr>
          <w:p>
            <w:pPr>
              <w:pStyle w:val="Compact"/>
              <w:jc w:val="center"/>
            </w:pPr>
            <w:r>
              <w:t xml:space="preserve">0,674</w:t>
            </w:r>
          </w:p>
        </w:tc>
        <w:tc>
          <w:tcPr>
            <w:tcW w:w="2345" w:type="dxa"/>
          </w:tcPr>
          <w:p>
            <w:pPr>
              <w:pStyle w:val="Compact"/>
              <w:jc w:val="center"/>
            </w:pPr>
            <w:r>
              <w:t xml:space="preserve">0,679 (0,643-0,715)</w:t>
            </w:r>
          </w:p>
        </w:tc>
        <w:tc>
          <w:tcPr>
            <w:tcW w:w="1654" w:type="dxa"/>
          </w:tcPr>
          <w:p>
            <w:pPr>
              <w:pStyle w:val="Compact"/>
              <w:jc w:val="center"/>
            </w:pPr>
            <w:r>
              <w:t xml:space="preserve">0,698</w:t>
            </w:r>
          </w:p>
        </w:tc>
      </w:tr>
      <w:tr>
        <w:tc>
          <w:tcPr>
            <w:tcW w:w="1305" w:type="dxa"/>
          </w:tcPr>
          <w:p>
            <w:pPr>
              <w:pStyle w:val="Compact"/>
              <w:jc w:val="center"/>
            </w:pPr>
            <w:r>
              <w:t xml:space="preserve">TCGA-BRCA</w:t>
            </w:r>
          </w:p>
        </w:tc>
        <w:tc>
          <w:tcPr>
            <w:tcW w:w="842" w:type="dxa"/>
          </w:tcPr>
          <w:p>
            <w:pPr>
              <w:pStyle w:val="Compact"/>
              <w:jc w:val="center"/>
            </w:pPr>
            <w:r>
              <w:t xml:space="preserve">1 072</w:t>
            </w:r>
          </w:p>
        </w:tc>
        <w:tc>
          <w:tcPr>
            <w:tcW w:w="1305" w:type="dxa"/>
          </w:tcPr>
          <w:p>
            <w:pPr>
              <w:pStyle w:val="Compact"/>
              <w:jc w:val="center"/>
            </w:pPr>
            <w:r>
              <w:t xml:space="preserve">24m</w:t>
            </w:r>
          </w:p>
        </w:tc>
        <w:tc>
          <w:tcPr>
            <w:tcW w:w="1189" w:type="dxa"/>
          </w:tcPr>
          <w:p>
            <w:pPr>
              <w:pStyle w:val="Compact"/>
              <w:jc w:val="center"/>
            </w:pPr>
            <w:r>
              <w:t xml:space="preserve">0,669</w:t>
            </w:r>
          </w:p>
        </w:tc>
        <w:tc>
          <w:tcPr>
            <w:tcW w:w="2345" w:type="dxa"/>
          </w:tcPr>
          <w:p>
            <w:pPr>
              <w:pStyle w:val="Compact"/>
              <w:jc w:val="center"/>
            </w:pPr>
            <w:r>
              <w:t xml:space="preserve">0,673 (0,598-0,748)</w:t>
            </w:r>
          </w:p>
        </w:tc>
        <w:tc>
          <w:tcPr>
            <w:tcW w:w="1654" w:type="dxa"/>
          </w:tcPr>
          <w:p>
            <w:pPr>
              <w:pStyle w:val="Compact"/>
              <w:jc w:val="center"/>
            </w:pPr>
            <w:r>
              <w:t xml:space="preserve">0,624</w:t>
            </w:r>
          </w:p>
        </w:tc>
      </w:tr>
      <w:tr>
        <w:tc>
          <w:tcPr>
            <w:tcW w:w="1305" w:type="dxa"/>
          </w:tcPr>
          <w:p>
            <w:pPr>
              <w:pStyle w:val="Compact"/>
              <w:jc w:val="center"/>
            </w:pPr>
            <w:r>
              <w:t xml:space="preserve">METABRIC</w:t>
            </w:r>
          </w:p>
        </w:tc>
        <w:tc>
          <w:tcPr>
            <w:tcW w:w="842" w:type="dxa"/>
          </w:tcPr>
          <w:p>
            <w:pPr>
              <w:pStyle w:val="Compact"/>
              <w:jc w:val="center"/>
            </w:pPr>
            <w:r>
              <w:t xml:space="preserve">1 978</w:t>
            </w:r>
          </w:p>
        </w:tc>
        <w:tc>
          <w:tcPr>
            <w:tcW w:w="1305" w:type="dxa"/>
          </w:tcPr>
          <w:p>
            <w:pPr>
              <w:pStyle w:val="Compact"/>
              <w:jc w:val="center"/>
            </w:pPr>
            <w:r>
              <w:t xml:space="preserve">60m</w:t>
            </w:r>
          </w:p>
        </w:tc>
        <w:tc>
          <w:tcPr>
            <w:tcW w:w="1189" w:type="dxa"/>
          </w:tcPr>
          <w:p>
            <w:pPr>
              <w:pStyle w:val="Compact"/>
              <w:jc w:val="center"/>
            </w:pPr>
            <w:r>
              <w:t xml:space="preserve">0,681</w:t>
            </w:r>
          </w:p>
        </w:tc>
        <w:tc>
          <w:tcPr>
            <w:tcW w:w="2345" w:type="dxa"/>
          </w:tcPr>
          <w:p>
            <w:pPr>
              <w:pStyle w:val="Compact"/>
              <w:jc w:val="center"/>
            </w:pPr>
            <w:r>
              <w:t xml:space="preserve">0,695 (0,665-0,725)</w:t>
            </w:r>
          </w:p>
        </w:tc>
        <w:tc>
          <w:tcPr>
            <w:tcW w:w="1654" w:type="dxa"/>
          </w:tcPr>
          <w:p>
            <w:pPr>
              <w:pStyle w:val="Compact"/>
              <w:jc w:val="center"/>
            </w:pPr>
            <w:r>
              <w:t xml:space="preserve">0,638</w:t>
            </w:r>
          </w:p>
        </w:tc>
      </w:tr>
      <w:tr>
        <w:tc>
          <w:tcPr>
            <w:tcW w:w="1305" w:type="dxa"/>
          </w:tcPr>
          <w:p>
            <w:pPr>
              <w:pStyle w:val="Compact"/>
              <w:jc w:val="center"/>
            </w:pPr>
            <w:r>
              <w:t xml:space="preserve">GSE20685</w:t>
            </w:r>
          </w:p>
        </w:tc>
        <w:tc>
          <w:tcPr>
            <w:tcW w:w="842" w:type="dxa"/>
          </w:tcPr>
          <w:p>
            <w:pPr>
              <w:pStyle w:val="Compact"/>
              <w:jc w:val="center"/>
            </w:pPr>
            <w:r>
              <w:t xml:space="preserve">327</w:t>
            </w:r>
          </w:p>
        </w:tc>
        <w:tc>
          <w:tcPr>
            <w:tcW w:w="1305" w:type="dxa"/>
          </w:tcPr>
          <w:p>
            <w:pPr>
              <w:pStyle w:val="Compact"/>
              <w:jc w:val="center"/>
            </w:pPr>
            <w:r>
              <w:t xml:space="preserve">60m</w:t>
            </w:r>
          </w:p>
        </w:tc>
        <w:tc>
          <w:tcPr>
            <w:tcW w:w="1189" w:type="dxa"/>
          </w:tcPr>
          <w:p>
            <w:pPr>
              <w:pStyle w:val="Compact"/>
              <w:jc w:val="center"/>
            </w:pPr>
            <w:r>
              <w:t xml:space="preserve">0,668</w:t>
            </w:r>
          </w:p>
        </w:tc>
        <w:tc>
          <w:tcPr>
            <w:tcW w:w="2345" w:type="dxa"/>
          </w:tcPr>
          <w:p>
            <w:pPr>
              <w:pStyle w:val="Compact"/>
              <w:jc w:val="center"/>
            </w:pPr>
            <w:r>
              <w:t xml:space="preserve">0,675 (0,596-0,754)</w:t>
            </w:r>
          </w:p>
        </w:tc>
        <w:tc>
          <w:tcPr>
            <w:tcW w:w="1654" w:type="dxa"/>
          </w:tcPr>
          <w:p>
            <w:pPr>
              <w:pStyle w:val="Compact"/>
              <w:jc w:val="center"/>
            </w:pPr>
            <w:r>
              <w:t xml:space="preserve">0,626</w:t>
            </w:r>
          </w:p>
        </w:tc>
      </w:tr>
    </w:tbl>
    <w:bookmarkEnd w:id="159"/>
    <w:p/>
    <w:p>
      <w:pPr>
        <w:pStyle w:val="BodyText"/>
      </w:pPr>
      <w:r>
        <w:t xml:space="preserve"> </w:t>
      </w:r>
    </w:p>
    <w:p>
      <w:pPr>
        <w:jc w:val="left"/>
        <w:spacing w:before="200"/>
        <w:pStyle w:val="ImageCaption"/>
      </w:pPr>
      <w:bookmarkStart w:id="160" w:name="tbl-calibration-formal"/>
      <w:r>
        <w:t xml:space="preserve">Tabela 13 — Calibração formal por coorte</w:t>
      </w:r>
    </w:p>
    <w:tbl>
      <w:tblPr>
        <w:tblStyle w:val="Table"/>
        <w:tblW w:type="dxa" w:w="8640"/>
        <w:tblLayout w:type="fixed"/>
        <w:tblLook w:firstRow="1" w:lastRow="0" w:firstColumn="0" w:lastColumn="0" w:noHBand="0" w:noVBand="0" w:val="0020"/>
      </w:tblPr>
      <w:tblGrid>
        <w:gridCol w:w="1392"/>
        <w:gridCol w:w="899"/>
        <w:gridCol w:w="1392"/>
        <w:gridCol w:w="1639"/>
        <w:gridCol w:w="1639"/>
        <w:gridCol w:w="775"/>
        <w:gridCol w:w="904"/>
      </w:tblGrid>
      <w:tr>
        <w:trPr>
          <w:tblHeader w:val="on"/>
        </w:trPr>
        <w:tc>
          <w:tcPr>
            <w:tcW w:w="1392" w:type="dxa"/>
          </w:tcPr>
          <w:p>
            <w:pPr>
              <w:pStyle w:val="Compact"/>
              <w:jc w:val="center"/>
            </w:pPr>
            <w:r>
              <w:t xml:space="preserve">Coorte</w:t>
            </w:r>
          </w:p>
        </w:tc>
        <w:tc>
          <w:tcPr>
            <w:tcW w:w="899" w:type="dxa"/>
          </w:tcPr>
          <w:p>
            <w:pPr>
              <w:pStyle w:val="Compact"/>
              <w:jc w:val="center"/>
            </w:pPr>
            <w:r>
              <w:t xml:space="preserve">N</w:t>
            </w:r>
          </w:p>
        </w:tc>
        <w:tc>
          <w:tcPr>
            <w:tcW w:w="1392" w:type="dxa"/>
          </w:tcPr>
          <w:p>
            <w:pPr>
              <w:pStyle w:val="Compact"/>
              <w:jc w:val="center"/>
            </w:pPr>
            <w:r>
              <w:t xml:space="preserve">Horizonte</w:t>
            </w:r>
          </w:p>
        </w:tc>
        <w:tc>
          <w:tcPr>
            <w:tcW w:w="1639" w:type="dxa"/>
          </w:tcPr>
          <w:p>
            <w:pPr>
              <w:pStyle w:val="Compact"/>
              <w:jc w:val="center"/>
            </w:pPr>
            <w:r>
              <w:t xml:space="preserve">alpha (EP)</w:t>
            </w:r>
          </w:p>
        </w:tc>
        <w:tc>
          <w:tcPr>
            <w:tcW w:w="1639" w:type="dxa"/>
          </w:tcPr>
          <w:p>
            <w:pPr>
              <w:pStyle w:val="Compact"/>
              <w:jc w:val="center"/>
            </w:pPr>
            <w:r>
              <w:t xml:space="preserve">beta (EP)</w:t>
            </w:r>
          </w:p>
        </w:tc>
        <w:tc>
          <w:tcPr>
            <w:tcW w:w="775" w:type="dxa"/>
          </w:tcPr>
          <w:p>
            <w:pPr>
              <w:pStyle w:val="Compact"/>
              <w:jc w:val="center"/>
            </w:pPr>
            <w:r>
              <w:t xml:space="preserve">E/O</w:t>
            </w:r>
          </w:p>
        </w:tc>
        <w:tc>
          <w:tcPr>
            <w:tcW w:w="904" w:type="dxa"/>
          </w:tcPr>
          <w:p>
            <w:pPr>
              <w:pStyle w:val="Compact"/>
              <w:jc w:val="center"/>
            </w:pPr>
            <w:r>
              <w:t xml:space="preserve">Brier</w:t>
            </w:r>
          </w:p>
        </w:tc>
      </w:tr>
      <w:tr>
        <w:tc>
          <w:tcPr>
            <w:tcW w:w="1392" w:type="dxa"/>
          </w:tcPr>
          <w:p>
            <w:pPr>
              <w:pStyle w:val="Compact"/>
              <w:jc w:val="center"/>
            </w:pPr>
            <w:r>
              <w:t xml:space="preserve">SCAN-B</w:t>
            </w:r>
          </w:p>
        </w:tc>
        <w:tc>
          <w:tcPr>
            <w:tcW w:w="899" w:type="dxa"/>
          </w:tcPr>
          <w:p>
            <w:pPr>
              <w:pStyle w:val="Compact"/>
              <w:jc w:val="center"/>
            </w:pPr>
            <w:r>
              <w:t xml:space="preserve">3 069</w:t>
            </w:r>
          </w:p>
        </w:tc>
        <w:tc>
          <w:tcPr>
            <w:tcW w:w="1392" w:type="dxa"/>
          </w:tcPr>
          <w:p>
            <w:pPr>
              <w:pStyle w:val="Compact"/>
              <w:jc w:val="center"/>
            </w:pPr>
            <w:r>
              <w:t xml:space="preserve">60m</w:t>
            </w:r>
          </w:p>
        </w:tc>
        <w:tc>
          <w:tcPr>
            <w:tcW w:w="1639" w:type="dxa"/>
          </w:tcPr>
          <w:p>
            <w:pPr>
              <w:pStyle w:val="Compact"/>
              <w:jc w:val="center"/>
            </w:pPr>
            <w:r>
              <w:t xml:space="preserve">0,56 (0,18)</w:t>
            </w:r>
          </w:p>
        </w:tc>
        <w:tc>
          <w:tcPr>
            <w:tcW w:w="1639" w:type="dxa"/>
          </w:tcPr>
          <w:p>
            <w:pPr>
              <w:pStyle w:val="Compact"/>
              <w:jc w:val="center"/>
            </w:pPr>
            <w:r>
              <w:t xml:space="preserve">0,96 (0,09)</w:t>
            </w:r>
          </w:p>
        </w:tc>
        <w:tc>
          <w:tcPr>
            <w:tcW w:w="775" w:type="dxa"/>
          </w:tcPr>
          <w:p>
            <w:pPr>
              <w:pStyle w:val="Compact"/>
              <w:jc w:val="center"/>
            </w:pPr>
            <w:r>
              <w:t xml:space="preserve">0,61</w:t>
            </w:r>
          </w:p>
        </w:tc>
        <w:tc>
          <w:tcPr>
            <w:tcW w:w="904" w:type="dxa"/>
          </w:tcPr>
          <w:p>
            <w:pPr>
              <w:pStyle w:val="Compact"/>
              <w:jc w:val="center"/>
            </w:pPr>
            <w:r>
              <w:t xml:space="preserve">0,158</w:t>
            </w:r>
          </w:p>
        </w:tc>
      </w:tr>
      <w:tr>
        <w:tc>
          <w:tcPr>
            <w:tcW w:w="1392" w:type="dxa"/>
          </w:tcPr>
          <w:p>
            <w:pPr>
              <w:pStyle w:val="Compact"/>
              <w:jc w:val="center"/>
            </w:pPr>
            <w:r>
              <w:t xml:space="preserve">TCGA-BRCA</w:t>
            </w:r>
          </w:p>
        </w:tc>
        <w:tc>
          <w:tcPr>
            <w:tcW w:w="899" w:type="dxa"/>
          </w:tcPr>
          <w:p>
            <w:pPr>
              <w:pStyle w:val="Compact"/>
              <w:jc w:val="center"/>
            </w:pPr>
            <w:r>
              <w:t xml:space="preserve">1 072</w:t>
            </w:r>
          </w:p>
        </w:tc>
        <w:tc>
          <w:tcPr>
            <w:tcW w:w="1392" w:type="dxa"/>
          </w:tcPr>
          <w:p>
            <w:pPr>
              <w:pStyle w:val="Compact"/>
              <w:jc w:val="center"/>
            </w:pPr>
            <w:r>
              <w:t xml:space="preserve">24m</w:t>
            </w:r>
          </w:p>
        </w:tc>
        <w:tc>
          <w:tcPr>
            <w:tcW w:w="1639" w:type="dxa"/>
          </w:tcPr>
          <w:p>
            <w:pPr>
              <w:pStyle w:val="Compact"/>
              <w:jc w:val="center"/>
            </w:pPr>
            <w:r>
              <w:t xml:space="preserve">5,40 (2,29)</w:t>
            </w:r>
          </w:p>
        </w:tc>
        <w:tc>
          <w:tcPr>
            <w:tcW w:w="1639" w:type="dxa"/>
          </w:tcPr>
          <w:p>
            <w:pPr>
              <w:pStyle w:val="Compact"/>
              <w:jc w:val="center"/>
            </w:pPr>
            <w:r>
              <w:t xml:space="preserve">2,74 (0,79)</w:t>
            </w:r>
          </w:p>
        </w:tc>
        <w:tc>
          <w:tcPr>
            <w:tcW w:w="775" w:type="dxa"/>
          </w:tcPr>
          <w:p>
            <w:pPr>
              <w:pStyle w:val="Compact"/>
              <w:jc w:val="center"/>
            </w:pPr>
            <w:r>
              <w:t xml:space="preserve">0,74</w:t>
            </w:r>
          </w:p>
        </w:tc>
        <w:tc>
          <w:tcPr>
            <w:tcW w:w="904" w:type="dxa"/>
          </w:tcPr>
          <w:p>
            <w:pPr>
              <w:pStyle w:val="Compact"/>
              <w:jc w:val="center"/>
            </w:pPr>
            <w:r>
              <w:t xml:space="preserve">0,061</w:t>
            </w:r>
          </w:p>
        </w:tc>
      </w:tr>
      <w:tr>
        <w:tc>
          <w:tcPr>
            <w:tcW w:w="1392" w:type="dxa"/>
          </w:tcPr>
          <w:p>
            <w:pPr>
              <w:pStyle w:val="Compact"/>
              <w:jc w:val="center"/>
            </w:pPr>
            <w:r>
              <w:t xml:space="preserve">METABRIC</w:t>
            </w:r>
          </w:p>
        </w:tc>
        <w:tc>
          <w:tcPr>
            <w:tcW w:w="899" w:type="dxa"/>
          </w:tcPr>
          <w:p>
            <w:pPr>
              <w:pStyle w:val="Compact"/>
              <w:jc w:val="center"/>
            </w:pPr>
            <w:r>
              <w:t xml:space="preserve">1 978</w:t>
            </w:r>
          </w:p>
        </w:tc>
        <w:tc>
          <w:tcPr>
            <w:tcW w:w="1392" w:type="dxa"/>
          </w:tcPr>
          <w:p>
            <w:pPr>
              <w:pStyle w:val="Compact"/>
              <w:jc w:val="center"/>
            </w:pPr>
            <w:r>
              <w:t xml:space="preserve">60m</w:t>
            </w:r>
          </w:p>
        </w:tc>
        <w:tc>
          <w:tcPr>
            <w:tcW w:w="1639" w:type="dxa"/>
          </w:tcPr>
          <w:p>
            <w:pPr>
              <w:pStyle w:val="Compact"/>
              <w:jc w:val="center"/>
            </w:pPr>
            <w:r>
              <w:t xml:space="preserve">1,15 (0,25)</w:t>
            </w:r>
          </w:p>
        </w:tc>
        <w:tc>
          <w:tcPr>
            <w:tcW w:w="1639" w:type="dxa"/>
          </w:tcPr>
          <w:p>
            <w:pPr>
              <w:pStyle w:val="Compact"/>
              <w:jc w:val="center"/>
            </w:pPr>
            <w:r>
              <w:t xml:space="preserve">1,77 (0,17)</w:t>
            </w:r>
          </w:p>
        </w:tc>
        <w:tc>
          <w:tcPr>
            <w:tcW w:w="775" w:type="dxa"/>
          </w:tcPr>
          <w:p>
            <w:pPr>
              <w:pStyle w:val="Compact"/>
              <w:jc w:val="center"/>
            </w:pPr>
            <w:r>
              <w:t xml:space="preserve">0,97</w:t>
            </w:r>
          </w:p>
        </w:tc>
        <w:tc>
          <w:tcPr>
            <w:tcW w:w="904" w:type="dxa"/>
          </w:tcPr>
          <w:p>
            <w:pPr>
              <w:pStyle w:val="Compact"/>
              <w:jc w:val="center"/>
            </w:pPr>
            <w:r>
              <w:t xml:space="preserve">0,143</w:t>
            </w:r>
          </w:p>
        </w:tc>
      </w:tr>
      <w:tr>
        <w:tc>
          <w:tcPr>
            <w:tcW w:w="1392" w:type="dxa"/>
          </w:tcPr>
          <w:p>
            <w:pPr>
              <w:pStyle w:val="Compact"/>
              <w:jc w:val="center"/>
            </w:pPr>
            <w:r>
              <w:t xml:space="preserve">GSE20685</w:t>
            </w:r>
          </w:p>
        </w:tc>
        <w:tc>
          <w:tcPr>
            <w:tcW w:w="899" w:type="dxa"/>
          </w:tcPr>
          <w:p>
            <w:pPr>
              <w:pStyle w:val="Compact"/>
              <w:jc w:val="center"/>
            </w:pPr>
            <w:r>
              <w:t xml:space="preserve">327</w:t>
            </w:r>
          </w:p>
        </w:tc>
        <w:tc>
          <w:tcPr>
            <w:tcW w:w="1392" w:type="dxa"/>
          </w:tcPr>
          <w:p>
            <w:pPr>
              <w:pStyle w:val="Compact"/>
              <w:jc w:val="center"/>
            </w:pPr>
            <w:r>
              <w:t xml:space="preserve">60m</w:t>
            </w:r>
          </w:p>
        </w:tc>
        <w:tc>
          <w:tcPr>
            <w:tcW w:w="1639" w:type="dxa"/>
          </w:tcPr>
          <w:p>
            <w:pPr>
              <w:pStyle w:val="Compact"/>
              <w:jc w:val="center"/>
            </w:pPr>
            <w:r>
              <w:t xml:space="preserve">0,93 (0,75)</w:t>
            </w:r>
          </w:p>
        </w:tc>
        <w:tc>
          <w:tcPr>
            <w:tcW w:w="1639" w:type="dxa"/>
          </w:tcPr>
          <w:p>
            <w:pPr>
              <w:pStyle w:val="Compact"/>
              <w:jc w:val="center"/>
            </w:pPr>
            <w:r>
              <w:t xml:space="preserve">1,57 (0,46)</w:t>
            </w:r>
          </w:p>
        </w:tc>
        <w:tc>
          <w:tcPr>
            <w:tcW w:w="775" w:type="dxa"/>
          </w:tcPr>
          <w:p>
            <w:pPr>
              <w:pStyle w:val="Compact"/>
              <w:jc w:val="center"/>
            </w:pPr>
            <w:r>
              <w:t xml:space="preserve">0,98</w:t>
            </w:r>
          </w:p>
        </w:tc>
        <w:tc>
          <w:tcPr>
            <w:tcW w:w="904" w:type="dxa"/>
          </w:tcPr>
          <w:p>
            <w:pPr>
              <w:pStyle w:val="Compact"/>
              <w:jc w:val="center"/>
            </w:pPr>
            <w:r>
              <w:t xml:space="preserve">0,130</w:t>
            </w:r>
          </w:p>
        </w:tc>
      </w:tr>
    </w:tbl>
    <w:bookmarkEnd w:id="160"/>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4" w:name="fig-dca"/>
      <w:r>
        <w:drawing>
          <wp:inline>
            <wp:extent cx="5399999" cy="4049999"/>
            <wp:effectExtent b="0" l="0" r="0" t="0"/>
            <wp:docPr descr="" title="" id="162" name="Picture"/>
            <a:graphic>
              <a:graphicData uri="http://schemas.openxmlformats.org/drawingml/2006/picture">
                <pic:pic>
                  <pic:nvPicPr>
                    <pic:cNvPr descr="../figures/supp/pt/png/FigS_DCA_OS_PT.png" id="163" name="Picture"/>
                    <pic:cNvPicPr>
                      <a:picLocks noChangeArrowheads="1" noChangeAspect="1"/>
                    </pic:cNvPicPr>
                  </pic:nvPicPr>
                  <pic:blipFill>
                    <a:blip r:embed="rId161"/>
                    <a:stretch>
                      <a:fillRect/>
                    </a:stretch>
                  </pic:blipFill>
                  <pic:spPr bwMode="auto">
                    <a:xfrm>
                      <a:off x="0" y="0"/>
                      <a:ext cx="5399999" cy="4049999"/>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4"/>
    <w:p>
      <w:r>
        <w:br w:type="page"/>
      </w:r>
    </w:p>
    <w:p>
      <w:pPr>
        <w:pStyle w:val="Compact"/>
        <w:jc w:val="center"/>
      </w:pPr>
      <w:bookmarkStart w:id="168" w:name="fig-pca-metabric"/>
      <w:r>
        <w:drawing>
          <wp:inline>
            <wp:extent cx="5399999" cy="1928571"/>
            <wp:effectExtent b="0" l="0" r="0" t="0"/>
            <wp:docPr descr="" title="" id="166" name="Picture"/>
            <a:graphic>
              <a:graphicData uri="http://schemas.openxmlformats.org/drawingml/2006/picture">
                <pic:pic>
                  <pic:nvPicPr>
                    <pic:cNvPr descr="../figures/supp/pt/png/FigS4_METABRIC_PCA_forensics_PT.png" id="167" name="Picture"/>
                    <pic:cNvPicPr>
                      <a:picLocks noChangeArrowheads="1" noChangeAspect="1"/>
                    </pic:cNvPicPr>
                  </pic:nvPicPr>
                  <pic:blipFill>
                    <a:blip r:embed="rId165"/>
                    <a:stretch>
                      <a:fillRect/>
                    </a:stretch>
                  </pic:blipFill>
                  <pic:spPr bwMode="auto">
                    <a:xfrm>
                      <a:off x="0" y="0"/>
                      <a:ext cx="5399999" cy="1928571"/>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8"/>
    <w:p>
      <w:r>
        <w:br w:type="page"/>
      </w:r>
    </w:p>
    <w:bookmarkEnd w:id="169"/>
    <w:bookmarkStart w:id="177" w:name="análise-de-subgrupo-por-status-de-re"/>
    <w:p>
      <w:pPr>
        <w:pStyle w:val="Heading2"/>
      </w:pPr>
      <w:r>
        <w:t xml:space="preserve">4.7 Análise de subgrupo por status de RE</w:t>
      </w:r>
    </w:p>
    <w:p>
      <w:pPr>
        <w:pStyle w:val="FirstParagraph"/>
      </w:pPr>
      <w:r>
        <w:t xml:space="preserve">A heterogeneidade biológica do câncer de mama se reflete, sobretudo, na dicotomia por status de receptor de estrogeno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0" w:name="scan-b-n-2-870-os"/>
    <w:p>
      <w:pPr>
        <w:pStyle w:val="Heading3"/>
      </w:pPr>
      <w:r>
        <w:t xml:space="preserve">4.7.1 SCAN-B (N = 2 870; OS)</w:t>
      </w:r>
    </w:p>
    <w:tbl>
      <w:tblPr>
        <w:tblStyle w:val="Table"/>
        <w:tblW w:type="auto" w:w="0"/>
        <w:tblLook w:firstRow="1" w:lastRow="0" w:firstColumn="0" w:lastColumn="0" w:noHBand="0" w:noVBand="0" w:val="0020"/>
      </w:tblPr>
      <w:tblGrid>
        <w:gridCol w:w="1681"/>
        <w:gridCol w:w="922"/>
        <w:gridCol w:w="1175"/>
        <w:gridCol w:w="2314"/>
        <w:gridCol w:w="1301"/>
        <w:gridCol w:w="1247"/>
      </w:tblGrid>
      <w:tr>
        <w:trPr>
          <w:tblHeader w:val="on"/>
        </w:trPr>
        <w:tc>
          <w:tcPr>
            <w:tcW w:w="1681" w:type="dxa"/>
          </w:tcPr>
          <w:p>
            <w:pPr>
              <w:pStyle w:val="Compact"/>
            </w:pPr>
            <w:r>
              <w:t xml:space="preserve">Subgrupo</w:t>
            </w:r>
          </w:p>
        </w:tc>
        <w:tc>
          <w:tcPr>
            <w:tcW w:w="922" w:type="dxa"/>
          </w:tcPr>
          <w:p>
            <w:pPr>
              <w:pStyle w:val="Compact"/>
            </w:pPr>
            <w:r>
              <w:t xml:space="preserve">N</w:t>
            </w:r>
          </w:p>
        </w:tc>
        <w:tc>
          <w:tcPr>
            <w:tcW w:w="1175" w:type="dxa"/>
          </w:tcPr>
          <w:p>
            <w:pPr>
              <w:pStyle w:val="Compact"/>
            </w:pPr>
            <w:r>
              <w:t xml:space="preserve">Eventos</w:t>
            </w:r>
          </w:p>
        </w:tc>
        <w:tc>
          <w:tcPr>
            <w:tcW w:w="2314" w:type="dxa"/>
          </w:tcPr>
          <w:p>
            <w:pPr>
              <w:pStyle w:val="Compact"/>
            </w:pPr>
            <w:r>
              <w:t xml:space="preserve">HR (IC 95%)</w:t>
            </w:r>
          </w:p>
        </w:tc>
        <w:tc>
          <w:tcPr>
            <w:tcW w:w="1301" w:type="dxa"/>
          </w:tcPr>
          <w:p>
            <w:pPr>
              <w:pStyle w:val="Compact"/>
            </w:pPr>
            <w:r>
              <w:t xml:space="preserve">p</w:t>
            </w:r>
          </w:p>
        </w:tc>
        <w:tc>
          <w:tcPr>
            <w:tcW w:w="1247" w:type="dxa"/>
          </w:tcPr>
          <w:p>
            <w:pPr>
              <w:pStyle w:val="Compact"/>
            </w:pPr>
            <w:r>
              <w:rPr>
                <w:i/>
                <w:iCs/>
              </w:rPr>
              <w:t xml:space="preserve">C-index</w:t>
            </w:r>
          </w:p>
        </w:tc>
      </w:tr>
      <w:tr>
        <w:tc>
          <w:tcPr>
            <w:tcW w:w="1681" w:type="dxa"/>
          </w:tcPr>
          <w:p>
            <w:pPr>
              <w:pStyle w:val="Compact"/>
            </w:pPr>
            <w:r>
              <w:t xml:space="preserve">RE-positivo</w:t>
            </w:r>
          </w:p>
        </w:tc>
        <w:tc>
          <w:tcPr>
            <w:tcW w:w="922" w:type="dxa"/>
          </w:tcPr>
          <w:p>
            <w:pPr>
              <w:pStyle w:val="Compact"/>
            </w:pPr>
            <w:r>
              <w:t xml:space="preserve">2 646</w:t>
            </w:r>
          </w:p>
        </w:tc>
        <w:tc>
          <w:tcPr>
            <w:tcW w:w="1175" w:type="dxa"/>
          </w:tcPr>
          <w:p>
            <w:pPr>
              <w:pStyle w:val="Compact"/>
            </w:pPr>
            <w:r>
              <w:t xml:space="preserve">287</w:t>
            </w:r>
          </w:p>
        </w:tc>
        <w:tc>
          <w:tcPr>
            <w:tcW w:w="2314" w:type="dxa"/>
          </w:tcPr>
          <w:p>
            <w:pPr>
              <w:pStyle w:val="Compact"/>
            </w:pPr>
            <w:r>
              <w:t xml:space="preserve">1,92 (1,69-2,17)</w:t>
            </w:r>
          </w:p>
        </w:tc>
        <w:tc>
          <w:tcPr>
            <w:tcW w:w="1301" w:type="dxa"/>
          </w:tcPr>
          <w:p>
            <w:pPr>
              <w:pStyle w:val="Compact"/>
            </w:pPr>
            <w:r>
              <w:t xml:space="preserve">&lt;0,001</w:t>
            </w:r>
          </w:p>
        </w:tc>
        <w:tc>
          <w:tcPr>
            <w:tcW w:w="1247" w:type="dxa"/>
          </w:tcPr>
          <w:p>
            <w:pPr>
              <w:pStyle w:val="Compact"/>
            </w:pPr>
            <w:r>
              <w:t xml:space="preserve">0,700</w:t>
            </w:r>
          </w:p>
        </w:tc>
      </w:tr>
      <w:tr>
        <w:tc>
          <w:tcPr>
            <w:tcW w:w="1681" w:type="dxa"/>
          </w:tcPr>
          <w:p>
            <w:pPr>
              <w:pStyle w:val="Compact"/>
            </w:pPr>
            <w:r>
              <w:t xml:space="preserve">RE-negativo</w:t>
            </w:r>
          </w:p>
        </w:tc>
        <w:tc>
          <w:tcPr>
            <w:tcW w:w="922" w:type="dxa"/>
          </w:tcPr>
          <w:p>
            <w:pPr>
              <w:pStyle w:val="Compact"/>
            </w:pPr>
            <w:r>
              <w:t xml:space="preserve">224</w:t>
            </w:r>
          </w:p>
        </w:tc>
        <w:tc>
          <w:tcPr>
            <w:tcW w:w="1175" w:type="dxa"/>
          </w:tcPr>
          <w:p>
            <w:pPr>
              <w:pStyle w:val="Compact"/>
            </w:pPr>
            <w:r>
              <w:t xml:space="preserve">35</w:t>
            </w:r>
          </w:p>
        </w:tc>
        <w:tc>
          <w:tcPr>
            <w:tcW w:w="2314" w:type="dxa"/>
          </w:tcPr>
          <w:p>
            <w:pPr>
              <w:pStyle w:val="Compact"/>
            </w:pPr>
            <w:r>
              <w:t xml:space="preserve">2,53 (1,51-4,25)</w:t>
            </w:r>
          </w:p>
        </w:tc>
        <w:tc>
          <w:tcPr>
            <w:tcW w:w="1301" w:type="dxa"/>
          </w:tcPr>
          <w:p>
            <w:pPr>
              <w:pStyle w:val="Compact"/>
            </w:pPr>
            <w:r>
              <w:t xml:space="preserve">&lt;0,001</w:t>
            </w:r>
          </w:p>
        </w:tc>
        <w:tc>
          <w:tcPr>
            <w:tcW w:w="1247" w:type="dxa"/>
          </w:tcPr>
          <w:p>
            <w:pPr>
              <w:pStyle w:val="Compact"/>
            </w:pPr>
            <w:r>
              <w:t xml:space="preserve">0,697</w:t>
            </w:r>
          </w:p>
        </w:tc>
      </w:tr>
      <w:tr>
        <w:tc>
          <w:tcPr>
            <w:tcW w:w="1681" w:type="dxa"/>
          </w:tcPr>
          <w:p>
            <w:pPr>
              <w:pStyle w:val="Compact"/>
            </w:pPr>
            <w:r>
              <w:t xml:space="preserve">Interação</w:t>
            </w:r>
          </w:p>
        </w:tc>
        <w:tc>
          <w:tcPr>
            <w:tcW w:w="922" w:type="dxa"/>
          </w:tcPr>
          <w:p>
            <w:pPr>
              <w:pStyle w:val="Compact"/>
            </w:pPr>
            <w:r>
              <w:t xml:space="preserve">—</w:t>
            </w:r>
          </w:p>
        </w:tc>
        <w:tc>
          <w:tcPr>
            <w:tcW w:w="1175" w:type="dxa"/>
          </w:tcPr>
          <w:p>
            <w:pPr>
              <w:pStyle w:val="Compact"/>
            </w:pPr>
            <w:r>
              <w:t xml:space="preserve">—</w:t>
            </w:r>
          </w:p>
        </w:tc>
        <w:tc>
          <w:tcPr>
            <w:tcW w:w="2314" w:type="dxa"/>
          </w:tcPr>
          <w:p>
            <w:pPr>
              <w:pStyle w:val="Compact"/>
            </w:pPr>
            <w:r>
              <w:t xml:space="preserve">—</w:t>
            </w:r>
          </w:p>
        </w:tc>
        <w:tc>
          <w:tcPr>
            <w:tcW w:w="1301" w:type="dxa"/>
          </w:tcPr>
          <w:p>
            <w:pPr>
              <w:pStyle w:val="Compact"/>
            </w:pPr>
            <w:r>
              <w:t xml:space="preserve">p = 0,25</w:t>
            </w:r>
          </w:p>
        </w:tc>
        <w:tc>
          <w:tcPr>
            <w:tcW w:w="1247" w:type="dxa"/>
          </w:tcPr>
          <w:p>
            <w:pPr>
              <w:pStyle w:val="Compact"/>
            </w:pPr>
            <w:r>
              <w:t xml:space="preserve">—</w:t>
            </w:r>
          </w:p>
        </w:tc>
      </w:tr>
    </w:tbl>
    <w:bookmarkEnd w:id="170"/>
    <w:bookmarkStart w:id="176" w:name="metabric-n-1-936-dss"/>
    <w:p>
      <w:pPr>
        <w:pStyle w:val="Heading3"/>
      </w:pPr>
      <w:r>
        <w:t xml:space="preserve">4.7.2 METABRIC (N = 1 936; DSS)</w:t>
      </w:r>
    </w:p>
    <w:p>
      <w:pPr>
        <w:jc w:val="left"/>
        <w:spacing w:before="200"/>
        <w:pStyle w:val="ImageCaption"/>
      </w:pPr>
      <w:bookmarkStart w:id="171" w:name="tbl-er-subgroup"/>
      <w:r>
        <w:t xml:space="preserve">Tabela 14 — Análise de subgrupo por status de RE</w:t>
      </w:r>
    </w:p>
    <w:tbl>
      <w:tblPr>
        <w:tblStyle w:val="Table"/>
        <w:tblW w:type="auto" w:w="0"/>
        <w:tblLook w:firstRow="1" w:lastRow="0" w:firstColumn="0" w:lastColumn="0" w:noHBand="0" w:noVBand="0" w:val="0020"/>
      </w:tblPr>
      <w:tblGrid>
        <w:gridCol w:w="1545"/>
        <w:gridCol w:w="847"/>
        <w:gridCol w:w="1080"/>
        <w:gridCol w:w="2127"/>
        <w:gridCol w:w="1894"/>
        <w:gridCol w:w="1147"/>
      </w:tblGrid>
      <w:tr>
        <w:trPr>
          <w:tblHeader w:val="on"/>
        </w:trPr>
        <w:tc>
          <w:tcPr>
            <w:tcW w:w="1545" w:type="dxa"/>
          </w:tcPr>
          <w:p>
            <w:pPr>
              <w:pStyle w:val="Compact"/>
              <w:jc w:val="center"/>
            </w:pPr>
            <w:r>
              <w:t xml:space="preserve">Subgrupo</w:t>
            </w:r>
          </w:p>
        </w:tc>
        <w:tc>
          <w:tcPr>
            <w:tcW w:w="847" w:type="dxa"/>
          </w:tcPr>
          <w:p>
            <w:pPr>
              <w:pStyle w:val="Compact"/>
              <w:jc w:val="center"/>
            </w:pPr>
            <w:r>
              <w:t xml:space="preserve">N</w:t>
            </w:r>
          </w:p>
        </w:tc>
        <w:tc>
          <w:tcPr>
            <w:tcW w:w="1080" w:type="dxa"/>
          </w:tcPr>
          <w:p>
            <w:pPr>
              <w:pStyle w:val="Compact"/>
              <w:jc w:val="center"/>
            </w:pPr>
            <w:r>
              <w:t xml:space="preserve">Eventos</w:t>
            </w:r>
          </w:p>
        </w:tc>
        <w:tc>
          <w:tcPr>
            <w:tcW w:w="2127" w:type="dxa"/>
          </w:tcPr>
          <w:p>
            <w:pPr>
              <w:pStyle w:val="Compact"/>
              <w:jc w:val="center"/>
            </w:pPr>
            <w:r>
              <w:t xml:space="preserve">HR (IC 95%)</w:t>
            </w:r>
          </w:p>
        </w:tc>
        <w:tc>
          <w:tcPr>
            <w:tcW w:w="1894" w:type="dxa"/>
          </w:tcPr>
          <w:p>
            <w:pPr>
              <w:pStyle w:val="Compact"/>
              <w:jc w:val="center"/>
            </w:pPr>
            <w:r>
              <w:t xml:space="preserve">p</w:t>
            </w:r>
          </w:p>
        </w:tc>
        <w:tc>
          <w:tcPr>
            <w:tcW w:w="1147" w:type="dxa"/>
          </w:tcPr>
          <w:p>
            <w:pPr>
              <w:pStyle w:val="Compact"/>
              <w:jc w:val="center"/>
            </w:pPr>
            <w:r>
              <w:rPr>
                <w:i/>
                <w:iCs/>
              </w:rPr>
              <w:t xml:space="preserve">C-index</w:t>
            </w:r>
          </w:p>
        </w:tc>
      </w:tr>
      <w:tr>
        <w:tc>
          <w:tcPr>
            <w:tcW w:w="1545" w:type="dxa"/>
          </w:tcPr>
          <w:p>
            <w:pPr>
              <w:pStyle w:val="Compact"/>
              <w:jc w:val="center"/>
            </w:pPr>
            <w:r>
              <w:t xml:space="preserve">RE-positivo</w:t>
            </w:r>
          </w:p>
        </w:tc>
        <w:tc>
          <w:tcPr>
            <w:tcW w:w="847" w:type="dxa"/>
          </w:tcPr>
          <w:p>
            <w:pPr>
              <w:pStyle w:val="Compact"/>
              <w:jc w:val="center"/>
            </w:pPr>
            <w:r>
              <w:t xml:space="preserve">1 497</w:t>
            </w:r>
          </w:p>
        </w:tc>
        <w:tc>
          <w:tcPr>
            <w:tcW w:w="1080" w:type="dxa"/>
          </w:tcPr>
          <w:p>
            <w:pPr>
              <w:pStyle w:val="Compact"/>
              <w:jc w:val="center"/>
            </w:pPr>
            <w:r>
              <w:t xml:space="preserve">460</w:t>
            </w:r>
          </w:p>
        </w:tc>
        <w:tc>
          <w:tcPr>
            <w:tcW w:w="2127" w:type="dxa"/>
          </w:tcPr>
          <w:p>
            <w:pPr>
              <w:pStyle w:val="Compact"/>
              <w:jc w:val="center"/>
            </w:pPr>
            <w:r>
              <w:t xml:space="preserve">1,59 (1,44-1,76)</w:t>
            </w:r>
          </w:p>
        </w:tc>
        <w:tc>
          <w:tcPr>
            <w:tcW w:w="1894" w:type="dxa"/>
          </w:tcPr>
          <w:p>
            <w:pPr>
              <w:pStyle w:val="Compact"/>
              <w:jc w:val="center"/>
            </w:pPr>
            <w:r>
              <w:t xml:space="preserve">&lt;0,001</w:t>
            </w:r>
          </w:p>
        </w:tc>
        <w:tc>
          <w:tcPr>
            <w:tcW w:w="1147" w:type="dxa"/>
          </w:tcPr>
          <w:p>
            <w:pPr>
              <w:pStyle w:val="Compact"/>
              <w:jc w:val="center"/>
            </w:pPr>
            <w:r>
              <w:t xml:space="preserve">0,638</w:t>
            </w:r>
          </w:p>
        </w:tc>
      </w:tr>
      <w:tr>
        <w:tc>
          <w:tcPr>
            <w:tcW w:w="1545" w:type="dxa"/>
          </w:tcPr>
          <w:p>
            <w:pPr>
              <w:pStyle w:val="Compact"/>
              <w:jc w:val="center"/>
            </w:pPr>
            <w:r>
              <w:t xml:space="preserve">RE-negativo</w:t>
            </w:r>
          </w:p>
        </w:tc>
        <w:tc>
          <w:tcPr>
            <w:tcW w:w="847" w:type="dxa"/>
          </w:tcPr>
          <w:p>
            <w:pPr>
              <w:pStyle w:val="Compact"/>
              <w:jc w:val="center"/>
            </w:pPr>
            <w:r>
              <w:t xml:space="preserve">439</w:t>
            </w:r>
          </w:p>
        </w:tc>
        <w:tc>
          <w:tcPr>
            <w:tcW w:w="1080" w:type="dxa"/>
          </w:tcPr>
          <w:p>
            <w:pPr>
              <w:pStyle w:val="Compact"/>
              <w:jc w:val="center"/>
            </w:pPr>
            <w:r>
              <w:t xml:space="preserve">186</w:t>
            </w:r>
          </w:p>
        </w:tc>
        <w:tc>
          <w:tcPr>
            <w:tcW w:w="2127" w:type="dxa"/>
          </w:tcPr>
          <w:p>
            <w:pPr>
              <w:pStyle w:val="Compact"/>
              <w:jc w:val="center"/>
            </w:pPr>
            <w:r>
              <w:t xml:space="preserve">0,97 (0,82-1,15)</w:t>
            </w:r>
          </w:p>
        </w:tc>
        <w:tc>
          <w:tcPr>
            <w:tcW w:w="1894" w:type="dxa"/>
          </w:tcPr>
          <w:p>
            <w:pPr>
              <w:pStyle w:val="Compact"/>
              <w:jc w:val="center"/>
            </w:pPr>
            <w:r>
              <w:t xml:space="preserve">0,75</w:t>
            </w:r>
          </w:p>
        </w:tc>
        <w:tc>
          <w:tcPr>
            <w:tcW w:w="1147" w:type="dxa"/>
          </w:tcPr>
          <w:p>
            <w:pPr>
              <w:pStyle w:val="Compact"/>
              <w:jc w:val="center"/>
            </w:pPr>
            <w:r>
              <w:t xml:space="preserve">0,502</w:t>
            </w:r>
          </w:p>
        </w:tc>
      </w:tr>
      <w:tr>
        <w:tc>
          <w:tcPr>
            <w:tcW w:w="1545" w:type="dxa"/>
          </w:tcPr>
          <w:p>
            <w:pPr>
              <w:pStyle w:val="Compact"/>
              <w:jc w:val="center"/>
            </w:pPr>
            <w:r>
              <w:t xml:space="preserve">Interação</w:t>
            </w:r>
          </w:p>
        </w:tc>
        <w:tc>
          <w:tcPr>
            <w:tcW w:w="847" w:type="dxa"/>
          </w:tcPr>
          <w:p>
            <w:pPr>
              <w:pStyle w:val="Compact"/>
              <w:jc w:val="center"/>
            </w:pPr>
            <w:r>
              <w:t xml:space="preserve">—</w:t>
            </w:r>
          </w:p>
        </w:tc>
        <w:tc>
          <w:tcPr>
            <w:tcW w:w="1080" w:type="dxa"/>
          </w:tcPr>
          <w:p>
            <w:pPr>
              <w:pStyle w:val="Compact"/>
              <w:jc w:val="center"/>
            </w:pPr>
            <w:r>
              <w:t xml:space="preserve">—</w:t>
            </w:r>
          </w:p>
        </w:tc>
        <w:tc>
          <w:tcPr>
            <w:tcW w:w="2127" w:type="dxa"/>
          </w:tcPr>
          <w:p>
            <w:pPr>
              <w:pStyle w:val="Compact"/>
              <w:jc w:val="center"/>
            </w:pPr>
            <w:r>
              <w:t xml:space="preserve">—</w:t>
            </w:r>
          </w:p>
        </w:tc>
        <w:tc>
          <w:tcPr>
            <w:tcW w:w="1894" w:type="dxa"/>
          </w:tcPr>
          <w:p>
            <w:pPr>
              <w:pStyle w:val="Compact"/>
              <w:jc w:val="center"/>
            </w:pPr>
            <w:r>
              <w:t xml:space="preserve">p = 3,2 x 10</w:t>
            </w:r>
            <w:r>
              <w:rPr>
                <w:vertAlign w:val="superscript"/>
              </w:rPr>
              <w:t xml:space="preserve">-7</w:t>
            </w:r>
          </w:p>
        </w:tc>
        <w:tc>
          <w:tcPr>
            <w:tcW w:w="1147" w:type="dxa"/>
          </w:tcPr>
          <w:p>
            <w:pPr>
              <w:pStyle w:val="Compact"/>
              <w:jc w:val="center"/>
            </w:pPr>
            <w:r>
              <w:t xml:space="preserve">—</w:t>
            </w:r>
          </w:p>
        </w:tc>
      </w:tr>
    </w:tbl>
    <w:bookmarkEnd w:id="171"/>
    <w:p/>
    <w:bookmarkStart w:id="175" w:name="fig-er-forest"/>
    <w:p>
      <w:pPr>
        <w:pStyle w:val="Compact"/>
        <w:jc w:val="center"/>
      </w:pPr>
      <w:r>
        <w:drawing>
          <wp:inline>
            <wp:extent cx="5399999" cy="3239999"/>
            <wp:effectExtent b="0" l="0" r="0" t="0"/>
            <wp:docPr descr="" title="" id="173" name="Picture"/>
            <a:graphic>
              <a:graphicData uri="http://schemas.openxmlformats.org/drawingml/2006/picture">
                <pic:pic>
                  <pic:nvPicPr>
                    <pic:cNvPr descr="../figures/supp/pt/png/FigS_ER_Stratified_Forest_PT.png" id="174" name="Picture"/>
                    <pic:cNvPicPr>
                      <a:picLocks noChangeArrowheads="1" noChangeAspect="1"/>
                    </pic:cNvPicPr>
                  </pic:nvPicPr>
                  <pic:blipFill>
                    <a:blip r:embed="rId172"/>
                    <a:stretch>
                      <a:fillRect/>
                    </a:stretch>
                  </pic:blipFill>
                  <pic:spPr bwMode="auto">
                    <a:xfrm>
                      <a:off x="0" y="0"/>
                      <a:ext cx="5399999" cy="3239999"/>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estrogeno (ER-positivo e ER-negativo). No METABRIC (análise com maior poder), o sinal prognóstico está fortemente concentrado em RE+ (HR = 1,59) com ausência de sinal em RE- (HR = 0,97).</w:t>
      </w:r>
    </w:p>
    <w:bookmarkEnd w:id="175"/>
    <w:p>
      <w:r>
        <w:br w:type="page"/>
      </w:r>
    </w:p>
    <w:bookmarkEnd w:id="176"/>
    <w:bookmarkEnd w:id="177"/>
    <w:bookmarkStart w:id="195" w:name="resposta-patológica-completa-pcr"/>
    <w:p>
      <w:pPr>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 microarray 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8" w:name="tbl-pcr"/>
      <w:r>
        <w:t xml:space="preserve">Tabela 15 — Predição de pCR por coorte neoadjuvante. I-quadrado = 0%.</w:t>
      </w:r>
    </w:p>
    <w:tbl>
      <w:tblPr>
        <w:tblStyle w:val="Table"/>
        <w:tblW w:type="dxa" w:w="8640"/>
        <w:tblLayout w:type="fixed"/>
        <w:tblLook w:firstRow="1" w:lastRow="0" w:firstColumn="0" w:lastColumn="0" w:noHBand="0" w:noVBand="0" w:val="0020"/>
      </w:tblPr>
      <w:tblGrid>
        <w:gridCol w:w="1946"/>
        <w:gridCol w:w="650"/>
        <w:gridCol w:w="1095"/>
        <w:gridCol w:w="2049"/>
        <w:gridCol w:w="1228"/>
        <w:gridCol w:w="1672"/>
      </w:tblGrid>
      <w:tr>
        <w:trPr>
          <w:tblHeader w:val="on"/>
        </w:trPr>
        <w:tc>
          <w:tcPr>
            <w:tcW w:w="1946" w:type="dxa"/>
          </w:tcPr>
          <w:p>
            <w:pPr>
              <w:pStyle w:val="Compact"/>
              <w:jc w:val="center"/>
            </w:pPr>
            <w:r>
              <w:t xml:space="preserve">Coorte</w:t>
            </w:r>
          </w:p>
        </w:tc>
        <w:tc>
          <w:tcPr>
            <w:tcW w:w="650" w:type="dxa"/>
          </w:tcPr>
          <w:p>
            <w:pPr>
              <w:pStyle w:val="Compact"/>
              <w:jc w:val="center"/>
            </w:pPr>
            <w:r>
              <w:t xml:space="preserve">N</w:t>
            </w:r>
          </w:p>
        </w:tc>
        <w:tc>
          <w:tcPr>
            <w:tcW w:w="1095" w:type="dxa"/>
          </w:tcPr>
          <w:p>
            <w:pPr>
              <w:pStyle w:val="Compact"/>
              <w:jc w:val="center"/>
            </w:pPr>
            <w:r>
              <w:t xml:space="preserve">pCR n (%)</w:t>
            </w:r>
          </w:p>
        </w:tc>
        <w:tc>
          <w:tcPr>
            <w:tcW w:w="2049" w:type="dxa"/>
          </w:tcPr>
          <w:p>
            <w:pPr>
              <w:pStyle w:val="Compact"/>
              <w:jc w:val="center"/>
            </w:pPr>
            <w:r>
              <w:t xml:space="preserve">OR por 1 DP (IC 95%)</w:t>
            </w:r>
          </w:p>
        </w:tc>
        <w:tc>
          <w:tcPr>
            <w:tcW w:w="1228" w:type="dxa"/>
          </w:tcPr>
          <w:p>
            <w:pPr>
              <w:pStyle w:val="Compact"/>
              <w:jc w:val="center"/>
            </w:pPr>
            <w:r>
              <w:t xml:space="preserve">p</w:t>
            </w:r>
          </w:p>
        </w:tc>
        <w:tc>
          <w:tcPr>
            <w:tcW w:w="1672" w:type="dxa"/>
          </w:tcPr>
          <w:p>
            <w:pPr>
              <w:pStyle w:val="Compact"/>
              <w:jc w:val="center"/>
            </w:pPr>
            <w:r>
              <w:t xml:space="preserve">AUC (IC 95%)</w:t>
            </w:r>
          </w:p>
        </w:tc>
      </w:tr>
      <w:tr>
        <w:tc>
          <w:tcPr>
            <w:tcW w:w="1946" w:type="dxa"/>
          </w:tcPr>
          <w:p>
            <w:pPr>
              <w:pStyle w:val="Compact"/>
              <w:jc w:val="center"/>
            </w:pPr>
            <w:r>
              <w:t xml:space="preserve">GSE25066</w:t>
            </w:r>
          </w:p>
        </w:tc>
        <w:tc>
          <w:tcPr>
            <w:tcW w:w="650" w:type="dxa"/>
          </w:tcPr>
          <w:p>
            <w:pPr>
              <w:pStyle w:val="Compact"/>
              <w:jc w:val="center"/>
            </w:pPr>
            <w:r>
              <w:t xml:space="preserve">182</w:t>
            </w:r>
          </w:p>
        </w:tc>
        <w:tc>
          <w:tcPr>
            <w:tcW w:w="1095" w:type="dxa"/>
          </w:tcPr>
          <w:p>
            <w:pPr>
              <w:pStyle w:val="Compact"/>
              <w:jc w:val="center"/>
            </w:pPr>
            <w:r>
              <w:t xml:space="preserve">42 (23,1%)</w:t>
            </w:r>
          </w:p>
        </w:tc>
        <w:tc>
          <w:tcPr>
            <w:tcW w:w="2049" w:type="dxa"/>
          </w:tcPr>
          <w:p>
            <w:pPr>
              <w:pStyle w:val="Compact"/>
              <w:jc w:val="center"/>
            </w:pPr>
            <w:r>
              <w:t xml:space="preserve">1,44 (0,98-2,09)</w:t>
            </w:r>
          </w:p>
        </w:tc>
        <w:tc>
          <w:tcPr>
            <w:tcW w:w="1228" w:type="dxa"/>
          </w:tcPr>
          <w:p>
            <w:pPr>
              <w:pStyle w:val="Compact"/>
              <w:jc w:val="center"/>
            </w:pPr>
            <w:r>
              <w:t xml:space="preserve">0,060</w:t>
            </w:r>
          </w:p>
        </w:tc>
        <w:tc>
          <w:tcPr>
            <w:tcW w:w="1672" w:type="dxa"/>
          </w:tcPr>
          <w:p>
            <w:pPr>
              <w:pStyle w:val="Compact"/>
              <w:jc w:val="center"/>
            </w:pPr>
            <w:r>
              <w:t xml:space="preserve">0,576 (0,477-0,676)</w:t>
            </w:r>
          </w:p>
        </w:tc>
      </w:tr>
      <w:tr>
        <w:tc>
          <w:tcPr>
            <w:tcW w:w="1946" w:type="dxa"/>
          </w:tcPr>
          <w:p>
            <w:pPr>
              <w:pStyle w:val="Compact"/>
              <w:jc w:val="center"/>
            </w:pPr>
            <w:r>
              <w:t xml:space="preserve">GSE20194</w:t>
            </w:r>
          </w:p>
        </w:tc>
        <w:tc>
          <w:tcPr>
            <w:tcW w:w="650" w:type="dxa"/>
          </w:tcPr>
          <w:p>
            <w:pPr>
              <w:pStyle w:val="Compact"/>
              <w:jc w:val="center"/>
            </w:pPr>
            <w:r>
              <w:t xml:space="preserve">278</w:t>
            </w:r>
          </w:p>
        </w:tc>
        <w:tc>
          <w:tcPr>
            <w:tcW w:w="1095" w:type="dxa"/>
          </w:tcPr>
          <w:p>
            <w:pPr>
              <w:pStyle w:val="Compact"/>
              <w:jc w:val="center"/>
            </w:pPr>
            <w:r>
              <w:t xml:space="preserve">56 (20,1%)</w:t>
            </w:r>
          </w:p>
        </w:tc>
        <w:tc>
          <w:tcPr>
            <w:tcW w:w="2049" w:type="dxa"/>
          </w:tcPr>
          <w:p>
            <w:pPr>
              <w:pStyle w:val="Compact"/>
              <w:jc w:val="center"/>
            </w:pPr>
            <w:r>
              <w:t xml:space="preserve">1,73 (1,25-2,38)</w:t>
            </w:r>
          </w:p>
        </w:tc>
        <w:tc>
          <w:tcPr>
            <w:tcW w:w="1228" w:type="dxa"/>
          </w:tcPr>
          <w:p>
            <w:pPr>
              <w:pStyle w:val="Compact"/>
              <w:jc w:val="center"/>
            </w:pPr>
            <w:r>
              <w:t xml:space="preserve">&lt;0,001</w:t>
            </w:r>
          </w:p>
        </w:tc>
        <w:tc>
          <w:tcPr>
            <w:tcW w:w="1672" w:type="dxa"/>
          </w:tcPr>
          <w:p>
            <w:pPr>
              <w:pStyle w:val="Compact"/>
              <w:jc w:val="center"/>
            </w:pPr>
            <w:r>
              <w:t xml:space="preserve">0,660 (0,586-0,734)</w:t>
            </w:r>
          </w:p>
        </w:tc>
      </w:tr>
      <w:tr>
        <w:tc>
          <w:tcPr>
            <w:tcW w:w="1946" w:type="dxa"/>
          </w:tcPr>
          <w:p>
            <w:pPr>
              <w:pStyle w:val="Compact"/>
              <w:jc w:val="center"/>
            </w:pPr>
            <w:r>
              <w:t xml:space="preserve">GSE32646</w:t>
            </w:r>
          </w:p>
        </w:tc>
        <w:tc>
          <w:tcPr>
            <w:tcW w:w="650" w:type="dxa"/>
          </w:tcPr>
          <w:p>
            <w:pPr>
              <w:pStyle w:val="Compact"/>
              <w:jc w:val="center"/>
            </w:pPr>
            <w:r>
              <w:t xml:space="preserve">115</w:t>
            </w:r>
          </w:p>
        </w:tc>
        <w:tc>
          <w:tcPr>
            <w:tcW w:w="1095" w:type="dxa"/>
          </w:tcPr>
          <w:p>
            <w:pPr>
              <w:pStyle w:val="Compact"/>
              <w:jc w:val="center"/>
            </w:pPr>
            <w:r>
              <w:t xml:space="preserve">27 (23,5%)</w:t>
            </w:r>
          </w:p>
        </w:tc>
        <w:tc>
          <w:tcPr>
            <w:tcW w:w="2049" w:type="dxa"/>
          </w:tcPr>
          <w:p>
            <w:pPr>
              <w:pStyle w:val="Compact"/>
              <w:jc w:val="center"/>
            </w:pPr>
            <w:r>
              <w:t xml:space="preserve">2,10 (1,31-3,39)</w:t>
            </w:r>
          </w:p>
        </w:tc>
        <w:tc>
          <w:tcPr>
            <w:tcW w:w="1228" w:type="dxa"/>
          </w:tcPr>
          <w:p>
            <w:pPr>
              <w:pStyle w:val="Compact"/>
              <w:jc w:val="center"/>
            </w:pPr>
            <w:r>
              <w:t xml:space="preserve">0,002</w:t>
            </w:r>
          </w:p>
        </w:tc>
        <w:tc>
          <w:tcPr>
            <w:tcW w:w="1672" w:type="dxa"/>
          </w:tcPr>
          <w:p>
            <w:pPr>
              <w:pStyle w:val="Compact"/>
              <w:jc w:val="center"/>
            </w:pPr>
            <w:r>
              <w:t xml:space="preserve">0,716 (0,611-0,821)</w:t>
            </w:r>
          </w:p>
        </w:tc>
      </w:tr>
      <w:tr>
        <w:tc>
          <w:tcPr>
            <w:tcW w:w="1946" w:type="dxa"/>
          </w:tcPr>
          <w:p>
            <w:pPr>
              <w:pStyle w:val="Compact"/>
              <w:jc w:val="center"/>
            </w:pPr>
            <w:r>
              <w:t xml:space="preserve">I-SPY1</w:t>
            </w:r>
          </w:p>
        </w:tc>
        <w:tc>
          <w:tcPr>
            <w:tcW w:w="650" w:type="dxa"/>
          </w:tcPr>
          <w:p>
            <w:pPr>
              <w:pStyle w:val="Compact"/>
              <w:jc w:val="center"/>
            </w:pPr>
            <w:r>
              <w:t xml:space="preserve">122</w:t>
            </w:r>
          </w:p>
        </w:tc>
        <w:tc>
          <w:tcPr>
            <w:tcW w:w="1095" w:type="dxa"/>
          </w:tcPr>
          <w:p>
            <w:pPr>
              <w:pStyle w:val="Compact"/>
              <w:jc w:val="center"/>
            </w:pPr>
            <w:r>
              <w:t xml:space="preserve">32 (26,2%)</w:t>
            </w:r>
          </w:p>
        </w:tc>
        <w:tc>
          <w:tcPr>
            <w:tcW w:w="2049" w:type="dxa"/>
          </w:tcPr>
          <w:p>
            <w:pPr>
              <w:pStyle w:val="Compact"/>
              <w:jc w:val="center"/>
            </w:pPr>
            <w:r>
              <w:t xml:space="preserve">1,66 (1,05-2,63)</w:t>
            </w:r>
          </w:p>
        </w:tc>
        <w:tc>
          <w:tcPr>
            <w:tcW w:w="1228" w:type="dxa"/>
          </w:tcPr>
          <w:p>
            <w:pPr>
              <w:pStyle w:val="Compact"/>
              <w:jc w:val="center"/>
            </w:pPr>
            <w:r>
              <w:t xml:space="preserve">0,030</w:t>
            </w:r>
          </w:p>
        </w:tc>
        <w:tc>
          <w:tcPr>
            <w:tcW w:w="1672" w:type="dxa"/>
          </w:tcPr>
          <w:p>
            <w:pPr>
              <w:pStyle w:val="Compact"/>
              <w:jc w:val="center"/>
            </w:pPr>
            <w:r>
              <w:t xml:space="preserve">0,622 (0,517-0,726)</w:t>
            </w:r>
          </w:p>
        </w:tc>
      </w:tr>
      <w:tr>
        <w:tc>
          <w:tcPr>
            <w:tcW w:w="1946"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095" w:type="dxa"/>
          </w:tcPr>
          <w:p>
            <w:pPr>
              <w:pStyle w:val="Compact"/>
            </w:pPr>
          </w:p>
        </w:tc>
        <w:tc>
          <w:tcPr>
            <w:tcW w:w="2049" w:type="dxa"/>
          </w:tcPr>
          <w:p>
            <w:pPr>
              <w:pStyle w:val="Compact"/>
              <w:jc w:val="center"/>
            </w:pPr>
            <w:r>
              <w:rPr>
                <w:b/>
                <w:bCs/>
              </w:rPr>
              <w:t xml:space="preserve">1,69 (1,39-2,05)</w:t>
            </w:r>
          </w:p>
        </w:tc>
        <w:tc>
          <w:tcPr>
            <w:tcW w:w="1228" w:type="dxa"/>
          </w:tcPr>
          <w:p>
            <w:pPr>
              <w:pStyle w:val="Compact"/>
              <w:jc w:val="center"/>
            </w:pPr>
            <w:r>
              <w:rPr>
                <w:b/>
                <w:bCs/>
              </w:rPr>
              <w:t xml:space="preserve">1,9 x 10</w:t>
            </w:r>
            <w:r>
              <w:rPr>
                <w:b/>
                <w:bCs/>
                <w:vertAlign w:val="superscript"/>
              </w:rPr>
              <w:t xml:space="preserve">-7</w:t>
            </w:r>
          </w:p>
        </w:tc>
        <w:tc>
          <w:tcPr>
            <w:tcW w:w="1672" w:type="dxa"/>
          </w:tcPr>
          <w:p>
            <w:pPr>
              <w:pStyle w:val="Compact"/>
            </w:pPr>
          </w:p>
        </w:tc>
      </w:tr>
    </w:tbl>
    <w:bookmarkEnd w:id="178"/>
    <w:p/>
    <w:bookmarkStart w:id="182" w:name="fig-pcr-forest"/>
    <w:p>
      <w:pPr>
        <w:pStyle w:val="Compact"/>
        <w:jc w:val="center"/>
      </w:pPr>
      <w:r>
        <w:drawing>
          <wp:inline>
            <wp:extent cx="5399999" cy="2999999"/>
            <wp:effectExtent b="0" l="0" r="0" t="0"/>
            <wp:docPr descr="" title="" id="180" name="Picture"/>
            <a:graphic>
              <a:graphicData uri="http://schemas.openxmlformats.org/drawingml/2006/picture">
                <pic:pic>
                  <pic:nvPicPr>
                    <pic:cNvPr descr="../figures/pcr/pt/png/Fig_pCR1_Forest_OR_PT.png" id="181" name="Picture"/>
                    <pic:cNvPicPr>
                      <a:picLocks noChangeArrowheads="1" noChangeAspect="1"/>
                    </pic:cNvPicPr>
                  </pic:nvPicPr>
                  <pic:blipFill>
                    <a:blip r:embed="rId179"/>
                    <a:stretch>
                      <a:fillRect/>
                    </a:stretch>
                  </pic:blipFill>
                  <pic:spPr bwMode="auto">
                    <a:xfrm>
                      <a:off x="0" y="0"/>
                      <a:ext cx="5399999" cy="2999999"/>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2"/>
    <w:p>
      <w:r>
        <w:br w:type="page"/>
      </w:r>
    </w:p>
    <w:p>
      <w:pPr>
        <w:pStyle w:val="Compact"/>
        <w:jc w:val="center"/>
      </w:pPr>
      <w:bookmarkStart w:id="186" w:name="fig-pcr-roc"/>
      <w:r>
        <w:drawing>
          <wp:inline>
            <wp:extent cx="5399999" cy="4724999"/>
            <wp:effectExtent b="0" l="0" r="0" t="0"/>
            <wp:docPr descr="" title="" id="184" name="Picture"/>
            <a:graphic>
              <a:graphicData uri="http://schemas.openxmlformats.org/drawingml/2006/picture">
                <pic:pic>
                  <pic:nvPicPr>
                    <pic:cNvPr descr="../figures/pcr/pt/png/Fig_pCR2_ROC_PT.png" id="185" name="Picture"/>
                    <pic:cNvPicPr>
                      <a:picLocks noChangeArrowheads="1" noChangeAspect="1"/>
                    </pic:cNvPicPr>
                  </pic:nvPicPr>
                  <pic:blipFill>
                    <a:blip r:embed="rId183"/>
                    <a:stretch>
                      <a:fillRect/>
                    </a:stretch>
                  </pic:blipFill>
                  <pic:spPr bwMode="auto">
                    <a:xfrm>
                      <a:off x="0" y="0"/>
                      <a:ext cx="5399999" cy="4724999"/>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6"/>
    <w:p>
      <w:r>
        <w:br w:type="page"/>
      </w:r>
    </w:p>
    <w:p>
      <w:pPr>
        <w:pStyle w:val="Compact"/>
        <w:jc w:val="center"/>
      </w:pPr>
      <w:bookmarkStart w:id="190" w:name="fig-pcr-dist"/>
      <w:r>
        <w:drawing>
          <wp:inline>
            <wp:extent cx="5399999" cy="4049999"/>
            <wp:effectExtent b="0" l="0" r="0" t="0"/>
            <wp:docPr descr="" title="" id="188" name="Picture"/>
            <a:graphic>
              <a:graphicData uri="http://schemas.openxmlformats.org/drawingml/2006/picture">
                <pic:pic>
                  <pic:nvPicPr>
                    <pic:cNvPr descr="../figures/pcr/pt/png/Fig_pCR4_ScoreDist_PT.png" id="189" name="Picture"/>
                    <pic:cNvPicPr>
                      <a:picLocks noChangeArrowheads="1" noChangeAspect="1"/>
                    </pic:cNvPicPr>
                  </pic:nvPicPr>
                  <pic:blipFill>
                    <a:blip r:embed="rId187"/>
                    <a:stretch>
                      <a:fillRect/>
                    </a:stretch>
                  </pic:blipFill>
                  <pic:spPr bwMode="auto">
                    <a:xfrm>
                      <a:off x="0" y="0"/>
                      <a:ext cx="5399999" cy="4049999"/>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0"/>
    <w:p>
      <w:r>
        <w:br w:type="page"/>
      </w:r>
    </w:p>
    <w:p>
      <w:pPr>
        <w:pStyle w:val="Compact"/>
        <w:jc w:val="center"/>
      </w:pPr>
      <w:bookmarkStart w:id="194" w:name="fig-pcr-quartile"/>
      <w:r>
        <w:drawing>
          <wp:inline>
            <wp:extent cx="5399999" cy="3374999"/>
            <wp:effectExtent b="0" l="0" r="0" t="0"/>
            <wp:docPr descr="" title="" id="192" name="Picture"/>
            <a:graphic>
              <a:graphicData uri="http://schemas.openxmlformats.org/drawingml/2006/picture">
                <pic:pic>
                  <pic:nvPicPr>
                    <pic:cNvPr descr="../figures/pcr/pt/png/Fig_pCR3_QuartileRate_PT.png" id="193" name="Picture"/>
                    <pic:cNvPicPr>
                      <a:picLocks noChangeArrowheads="1" noChangeAspect="1"/>
                    </pic:cNvPicPr>
                  </pic:nvPicPr>
                  <pic:blipFill>
                    <a:blip r:embed="rId191"/>
                    <a:stretch>
                      <a:fillRect/>
                    </a:stretch>
                  </pic:blipFill>
                  <pic:spPr bwMode="auto">
                    <a:xfrm>
                      <a:off x="0" y="0"/>
                      <a:ext cx="5399999" cy="3374999"/>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4"/>
    <w:p>
      <w:r>
        <w:br w:type="page"/>
      </w:r>
    </w:p>
    <w:bookmarkEnd w:id="195"/>
    <w:bookmarkStart w:id="201" w:name="comparação-head-to-head-com-pam50-full"/>
    <w:p>
      <w:pPr>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 cross-plataforma,</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6"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8640"/>
        <w:tblLayout w:type="fixed"/>
        <w:tblLook w:firstRow="1" w:lastRow="0" w:firstColumn="0" w:lastColumn="0" w:noHBand="0" w:noVBand="0" w:val="0020"/>
      </w:tblPr>
      <w:tblGrid>
        <w:gridCol w:w="1213"/>
        <w:gridCol w:w="1213"/>
        <w:gridCol w:w="783"/>
        <w:gridCol w:w="783"/>
        <w:gridCol w:w="783"/>
        <w:gridCol w:w="1111"/>
        <w:gridCol w:w="1966"/>
        <w:gridCol w:w="788"/>
      </w:tblGrid>
      <w:tr>
        <w:trPr>
          <w:tblHeader w:val="on"/>
        </w:trPr>
        <w:tc>
          <w:tcPr>
            <w:tcW w:w="1213" w:type="dxa"/>
          </w:tcPr>
          <w:p>
            <w:pPr>
              <w:pStyle w:val="Compact"/>
              <w:jc w:val="center"/>
            </w:pPr>
            <w:r>
              <w:t xml:space="preserve">Coorte</w:t>
            </w:r>
          </w:p>
        </w:tc>
        <w:tc>
          <w:tcPr>
            <w:tcW w:w="1213" w:type="dxa"/>
          </w:tcPr>
          <w:p>
            <w:pPr>
              <w:pStyle w:val="Compact"/>
              <w:jc w:val="center"/>
            </w:pPr>
            <w:r>
              <w:t xml:space="preserve">Modo</w:t>
            </w:r>
          </w:p>
        </w:tc>
        <w:tc>
          <w:tcPr>
            <w:tcW w:w="783" w:type="dxa"/>
          </w:tcPr>
          <w:p>
            <w:pPr>
              <w:pStyle w:val="Compact"/>
              <w:jc w:val="center"/>
            </w:pPr>
            <w:r>
              <w:t xml:space="preserve">N</w:t>
            </w:r>
          </w:p>
        </w:tc>
        <w:tc>
          <w:tcPr>
            <w:tcW w:w="783" w:type="dxa"/>
          </w:tcPr>
          <w:p>
            <w:pPr>
              <w:pStyle w:val="Compact"/>
              <w:jc w:val="center"/>
            </w:pPr>
            <w:r>
              <w:t xml:space="preserve">C</w:t>
            </w:r>
            <w:r>
              <w:rPr>
                <w:vertAlign w:val="subscript"/>
              </w:rPr>
              <w:t xml:space="preserve">24</w:t>
            </w:r>
          </w:p>
        </w:tc>
        <w:tc>
          <w:tcPr>
            <w:tcW w:w="783" w:type="dxa"/>
          </w:tcPr>
          <w:p>
            <w:pPr>
              <w:pStyle w:val="Compact"/>
              <w:jc w:val="center"/>
            </w:pPr>
            <w:r>
              <w:t xml:space="preserve">C</w:t>
            </w:r>
            <w:r>
              <w:rPr>
                <w:vertAlign w:val="subscript"/>
              </w:rPr>
              <w:t xml:space="preserve">49</w:t>
            </w:r>
          </w:p>
        </w:tc>
        <w:tc>
          <w:tcPr>
            <w:tcW w:w="1111" w:type="dxa"/>
          </w:tcPr>
          <w:p>
            <w:pPr>
              <w:pStyle w:val="Compact"/>
              <w:jc w:val="center"/>
            </w:pPr>
            <w:r>
              <w:t xml:space="preserve">Delta-C</w:t>
            </w:r>
          </w:p>
        </w:tc>
        <w:tc>
          <w:tcPr>
            <w:tcW w:w="1966" w:type="dxa"/>
          </w:tcPr>
          <w:p>
            <w:pPr>
              <w:pStyle w:val="Compact"/>
              <w:jc w:val="center"/>
            </w:pPr>
            <w:r>
              <w:t xml:space="preserve">IC 95%</w:t>
            </w:r>
          </w:p>
        </w:tc>
        <w:tc>
          <w:tcPr>
            <w:tcW w:w="788" w:type="dxa"/>
          </w:tcPr>
          <w:p>
            <w:pPr>
              <w:pStyle w:val="Compact"/>
              <w:jc w:val="center"/>
            </w:pPr>
            <w:r>
              <w:t xml:space="preserve">r</w:t>
            </w:r>
          </w:p>
        </w:tc>
      </w:tr>
      <w:tr>
        <w:tc>
          <w:tcPr>
            <w:tcW w:w="1213" w:type="dxa"/>
          </w:tcPr>
          <w:p>
            <w:pPr>
              <w:pStyle w:val="Compact"/>
              <w:jc w:val="center"/>
            </w:pPr>
            <w:r>
              <w:t xml:space="preserve">TCGA-BRCA</w:t>
            </w:r>
          </w:p>
        </w:tc>
        <w:tc>
          <w:tcPr>
            <w:tcW w:w="1213" w:type="dxa"/>
          </w:tcPr>
          <w:p>
            <w:pPr>
              <w:pStyle w:val="Compact"/>
              <w:jc w:val="center"/>
            </w:pPr>
            <w:r>
              <w:t xml:space="preserve">intra</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0,631</w:t>
            </w:r>
          </w:p>
        </w:tc>
        <w:tc>
          <w:tcPr>
            <w:tcW w:w="1111" w:type="dxa"/>
          </w:tcPr>
          <w:p>
            <w:pPr>
              <w:pStyle w:val="Compact"/>
              <w:jc w:val="center"/>
            </w:pPr>
            <w:r>
              <w:t xml:space="preserve">-0,008</w:t>
            </w:r>
          </w:p>
        </w:tc>
        <w:tc>
          <w:tcPr>
            <w:tcW w:w="1966" w:type="dxa"/>
          </w:tcPr>
          <w:p>
            <w:pPr>
              <w:pStyle w:val="Compact"/>
              <w:jc w:val="center"/>
            </w:pPr>
            <w:r>
              <w:t xml:space="preserve">(-0,038, +0,022)</w:t>
            </w:r>
          </w:p>
        </w:tc>
        <w:tc>
          <w:tcPr>
            <w:tcW w:w="788" w:type="dxa"/>
          </w:tcPr>
          <w:p>
            <w:pPr>
              <w:pStyle w:val="Compact"/>
              <w:jc w:val="center"/>
            </w:pPr>
            <w:r>
              <w:t xml:space="preserve">0,853</w:t>
            </w:r>
          </w:p>
        </w:tc>
      </w:tr>
      <w:tr>
        <w:tc>
          <w:tcPr>
            <w:tcW w:w="1213" w:type="dxa"/>
          </w:tcPr>
          <w:p>
            <w:pPr>
              <w:pStyle w:val="Compact"/>
              <w:jc w:val="center"/>
            </w:pPr>
            <w:r>
              <w:t xml:space="preserve">TCGA-BRCA</w:t>
            </w:r>
          </w:p>
        </w:tc>
        <w:tc>
          <w:tcPr>
            <w:tcW w:w="1213" w:type="dxa"/>
          </w:tcPr>
          <w:p>
            <w:pPr>
              <w:pStyle w:val="Compact"/>
              <w:jc w:val="center"/>
            </w:pPr>
            <w:r>
              <w:t xml:space="preserve">congelado</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0,634</w:t>
            </w:r>
          </w:p>
        </w:tc>
        <w:tc>
          <w:tcPr>
            <w:tcW w:w="1111" w:type="dxa"/>
          </w:tcPr>
          <w:p>
            <w:pPr>
              <w:pStyle w:val="Compact"/>
              <w:jc w:val="center"/>
            </w:pPr>
            <w:r>
              <w:t xml:space="preserve">-0,010</w:t>
            </w:r>
          </w:p>
        </w:tc>
        <w:tc>
          <w:tcPr>
            <w:tcW w:w="1966" w:type="dxa"/>
          </w:tcPr>
          <w:p>
            <w:pPr>
              <w:pStyle w:val="Compact"/>
              <w:jc w:val="center"/>
            </w:pPr>
            <w:r>
              <w:t xml:space="preserve">(-0,039, +0,020)</w:t>
            </w:r>
          </w:p>
        </w:tc>
        <w:tc>
          <w:tcPr>
            <w:tcW w:w="788" w:type="dxa"/>
          </w:tcPr>
          <w:p>
            <w:pPr>
              <w:pStyle w:val="Compact"/>
              <w:jc w:val="center"/>
            </w:pPr>
            <w:r>
              <w:t xml:space="preserve">0,864</w:t>
            </w:r>
          </w:p>
        </w:tc>
      </w:tr>
      <w:tr>
        <w:tc>
          <w:tcPr>
            <w:tcW w:w="1213" w:type="dxa"/>
          </w:tcPr>
          <w:p>
            <w:pPr>
              <w:pStyle w:val="Compact"/>
              <w:jc w:val="center"/>
            </w:pPr>
            <w:r>
              <w:t xml:space="preserve">METABRIC</w:t>
            </w:r>
          </w:p>
        </w:tc>
        <w:tc>
          <w:tcPr>
            <w:tcW w:w="1213" w:type="dxa"/>
          </w:tcPr>
          <w:p>
            <w:pPr>
              <w:pStyle w:val="Compact"/>
              <w:jc w:val="center"/>
            </w:pPr>
            <w:r>
              <w:t xml:space="preserve">intra</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0,616</w:t>
            </w:r>
          </w:p>
        </w:tc>
        <w:tc>
          <w:tcPr>
            <w:tcW w:w="1111" w:type="dxa"/>
          </w:tcPr>
          <w:p>
            <w:pPr>
              <w:pStyle w:val="Compact"/>
              <w:jc w:val="center"/>
            </w:pPr>
            <w:r>
              <w:rPr>
                <w:b/>
                <w:bCs/>
              </w:rPr>
              <w:t xml:space="preserve">+0,022</w:t>
            </w:r>
          </w:p>
        </w:tc>
        <w:tc>
          <w:tcPr>
            <w:tcW w:w="1966" w:type="dxa"/>
          </w:tcPr>
          <w:p>
            <w:pPr>
              <w:pStyle w:val="Compact"/>
              <w:jc w:val="center"/>
            </w:pPr>
            <w:r>
              <w:t xml:space="preserve">(+0,011, +0,032)</w:t>
            </w:r>
          </w:p>
        </w:tc>
        <w:tc>
          <w:tcPr>
            <w:tcW w:w="788" w:type="dxa"/>
          </w:tcPr>
          <w:p>
            <w:pPr>
              <w:pStyle w:val="Compact"/>
              <w:jc w:val="center"/>
            </w:pPr>
            <w:r>
              <w:t xml:space="preserve">0,902</w:t>
            </w:r>
          </w:p>
        </w:tc>
      </w:tr>
      <w:tr>
        <w:tc>
          <w:tcPr>
            <w:tcW w:w="1213" w:type="dxa"/>
          </w:tcPr>
          <w:p>
            <w:pPr>
              <w:pStyle w:val="Compact"/>
              <w:jc w:val="center"/>
            </w:pPr>
            <w:r>
              <w:t xml:space="preserve">METABRIC</w:t>
            </w:r>
          </w:p>
        </w:tc>
        <w:tc>
          <w:tcPr>
            <w:tcW w:w="1213" w:type="dxa"/>
          </w:tcPr>
          <w:p>
            <w:pPr>
              <w:pStyle w:val="Compact"/>
              <w:jc w:val="center"/>
            </w:pPr>
            <w:r>
              <w:t xml:space="preserve">congelado</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0,622</w:t>
            </w:r>
          </w:p>
        </w:tc>
        <w:tc>
          <w:tcPr>
            <w:tcW w:w="1111" w:type="dxa"/>
          </w:tcPr>
          <w:p>
            <w:pPr>
              <w:pStyle w:val="Compact"/>
              <w:jc w:val="center"/>
            </w:pPr>
            <w:r>
              <w:rPr>
                <w:b/>
                <w:bCs/>
              </w:rPr>
              <w:t xml:space="preserve">+0,017</w:t>
            </w:r>
          </w:p>
        </w:tc>
        <w:tc>
          <w:tcPr>
            <w:tcW w:w="1966" w:type="dxa"/>
          </w:tcPr>
          <w:p>
            <w:pPr>
              <w:pStyle w:val="Compact"/>
              <w:jc w:val="center"/>
            </w:pPr>
            <w:r>
              <w:t xml:space="preserve">(+0,007, +0,027)</w:t>
            </w:r>
          </w:p>
        </w:tc>
        <w:tc>
          <w:tcPr>
            <w:tcW w:w="788" w:type="dxa"/>
          </w:tcPr>
          <w:p>
            <w:pPr>
              <w:pStyle w:val="Compact"/>
              <w:jc w:val="center"/>
            </w:pPr>
            <w:r>
              <w:t xml:space="preserve">0,914</w:t>
            </w:r>
          </w:p>
        </w:tc>
      </w:tr>
      <w:tr>
        <w:tc>
          <w:tcPr>
            <w:tcW w:w="1213" w:type="dxa"/>
          </w:tcPr>
          <w:p>
            <w:pPr>
              <w:pStyle w:val="Compact"/>
              <w:jc w:val="center"/>
            </w:pPr>
            <w:r>
              <w:t xml:space="preserve">GSE20685</w:t>
            </w:r>
          </w:p>
        </w:tc>
        <w:tc>
          <w:tcPr>
            <w:tcW w:w="1213" w:type="dxa"/>
          </w:tcPr>
          <w:p>
            <w:pPr>
              <w:pStyle w:val="Compact"/>
              <w:jc w:val="center"/>
            </w:pPr>
            <w:r>
              <w:t xml:space="preserve">intra</w:t>
            </w:r>
          </w:p>
        </w:tc>
        <w:tc>
          <w:tcPr>
            <w:tcW w:w="783" w:type="dxa"/>
          </w:tcPr>
          <w:p>
            <w:pPr>
              <w:pStyle w:val="Compact"/>
              <w:jc w:val="center"/>
            </w:pPr>
            <w:r>
              <w:t xml:space="preserve">327</w:t>
            </w:r>
          </w:p>
        </w:tc>
        <w:tc>
          <w:tcPr>
            <w:tcW w:w="783" w:type="dxa"/>
          </w:tcPr>
          <w:p>
            <w:pPr>
              <w:pStyle w:val="Compact"/>
              <w:jc w:val="center"/>
            </w:pPr>
            <w:r>
              <w:t xml:space="preserve">0,626</w:t>
            </w:r>
          </w:p>
        </w:tc>
        <w:tc>
          <w:tcPr>
            <w:tcW w:w="783" w:type="dxa"/>
          </w:tcPr>
          <w:p>
            <w:pPr>
              <w:pStyle w:val="Compact"/>
              <w:jc w:val="center"/>
            </w:pPr>
            <w:r>
              <w:t xml:space="preserve">0,571</w:t>
            </w:r>
          </w:p>
        </w:tc>
        <w:tc>
          <w:tcPr>
            <w:tcW w:w="1111" w:type="dxa"/>
          </w:tcPr>
          <w:p>
            <w:pPr>
              <w:pStyle w:val="Compact"/>
              <w:jc w:val="center"/>
            </w:pPr>
            <w:r>
              <w:rPr>
                <w:b/>
                <w:bCs/>
              </w:rPr>
              <w:t xml:space="preserve">+0,055</w:t>
            </w:r>
          </w:p>
        </w:tc>
        <w:tc>
          <w:tcPr>
            <w:tcW w:w="1966" w:type="dxa"/>
          </w:tcPr>
          <w:p>
            <w:pPr>
              <w:pStyle w:val="Compact"/>
              <w:jc w:val="center"/>
            </w:pPr>
            <w:r>
              <w:t xml:space="preserve">(+0,010, +0,101)</w:t>
            </w:r>
          </w:p>
        </w:tc>
        <w:tc>
          <w:tcPr>
            <w:tcW w:w="788" w:type="dxa"/>
          </w:tcPr>
          <w:p>
            <w:pPr>
              <w:pStyle w:val="Compact"/>
              <w:jc w:val="center"/>
            </w:pPr>
            <w:r>
              <w:t xml:space="preserve">0,823</w:t>
            </w:r>
          </w:p>
        </w:tc>
      </w:tr>
      <w:tr>
        <w:tc>
          <w:tcPr>
            <w:tcW w:w="1213" w:type="dxa"/>
          </w:tcPr>
          <w:p>
            <w:pPr>
              <w:pStyle w:val="Compact"/>
              <w:jc w:val="center"/>
            </w:pPr>
            <w:r>
              <w:t xml:space="preserve">GSE20685</w:t>
            </w:r>
          </w:p>
        </w:tc>
        <w:tc>
          <w:tcPr>
            <w:tcW w:w="1213" w:type="dxa"/>
          </w:tcPr>
          <w:p>
            <w:pPr>
              <w:pStyle w:val="Compact"/>
              <w:jc w:val="center"/>
            </w:pPr>
            <w:r>
              <w:t xml:space="preserve">congelado</w:t>
            </w:r>
          </w:p>
        </w:tc>
        <w:tc>
          <w:tcPr>
            <w:tcW w:w="783" w:type="dxa"/>
          </w:tcPr>
          <w:p>
            <w:pPr>
              <w:pStyle w:val="Compact"/>
              <w:jc w:val="center"/>
            </w:pPr>
            <w:r>
              <w:t xml:space="preserve">327</w:t>
            </w:r>
          </w:p>
        </w:tc>
        <w:tc>
          <w:tcPr>
            <w:tcW w:w="783" w:type="dxa"/>
          </w:tcPr>
          <w:p>
            <w:pPr>
              <w:pStyle w:val="Compact"/>
              <w:jc w:val="center"/>
            </w:pPr>
            <w:r>
              <w:t xml:space="preserve">0,591</w:t>
            </w:r>
          </w:p>
        </w:tc>
        <w:tc>
          <w:tcPr>
            <w:tcW w:w="783" w:type="dxa"/>
          </w:tcPr>
          <w:p>
            <w:pPr>
              <w:pStyle w:val="Compact"/>
              <w:jc w:val="center"/>
            </w:pPr>
            <w:r>
              <w:t xml:space="preserve">0,544</w:t>
            </w:r>
          </w:p>
        </w:tc>
        <w:tc>
          <w:tcPr>
            <w:tcW w:w="1111" w:type="dxa"/>
          </w:tcPr>
          <w:p>
            <w:pPr>
              <w:pStyle w:val="Compact"/>
              <w:jc w:val="center"/>
            </w:pPr>
            <w:r>
              <w:rPr>
                <w:b/>
                <w:bCs/>
              </w:rPr>
              <w:t xml:space="preserve">+0,047</w:t>
            </w:r>
          </w:p>
        </w:tc>
        <w:tc>
          <w:tcPr>
            <w:tcW w:w="1966" w:type="dxa"/>
          </w:tcPr>
          <w:p>
            <w:pPr>
              <w:pStyle w:val="Compact"/>
              <w:jc w:val="center"/>
            </w:pPr>
            <w:r>
              <w:t xml:space="preserve">(+0,007, +0,085)</w:t>
            </w:r>
          </w:p>
        </w:tc>
        <w:tc>
          <w:tcPr>
            <w:tcW w:w="788" w:type="dxa"/>
          </w:tcPr>
          <w:p>
            <w:pPr>
              <w:pStyle w:val="Compact"/>
              <w:jc w:val="center"/>
            </w:pPr>
            <w:r>
              <w:t xml:space="preserve">0,843</w:t>
            </w:r>
          </w:p>
        </w:tc>
      </w:tr>
      <w:tr>
        <w:tc>
          <w:tcPr>
            <w:tcW w:w="1213" w:type="dxa"/>
          </w:tcPr>
          <w:p>
            <w:pPr>
              <w:pStyle w:val="Compact"/>
              <w:jc w:val="center"/>
            </w:pPr>
            <w:r>
              <w:t xml:space="preserve">GSE1456</w:t>
            </w:r>
          </w:p>
        </w:tc>
        <w:tc>
          <w:tcPr>
            <w:tcW w:w="1213" w:type="dxa"/>
          </w:tcPr>
          <w:p>
            <w:pPr>
              <w:pStyle w:val="Compact"/>
              <w:jc w:val="center"/>
            </w:pPr>
            <w:r>
              <w:t xml:space="preserve">intra</w:t>
            </w:r>
          </w:p>
        </w:tc>
        <w:tc>
          <w:tcPr>
            <w:tcW w:w="783" w:type="dxa"/>
          </w:tcPr>
          <w:p>
            <w:pPr>
              <w:pStyle w:val="Compact"/>
              <w:jc w:val="center"/>
            </w:pPr>
            <w:r>
              <w:t xml:space="preserve">159</w:t>
            </w:r>
          </w:p>
        </w:tc>
        <w:tc>
          <w:tcPr>
            <w:tcW w:w="783" w:type="dxa"/>
          </w:tcPr>
          <w:p>
            <w:pPr>
              <w:pStyle w:val="Compact"/>
              <w:jc w:val="center"/>
            </w:pPr>
            <w:r>
              <w:t xml:space="preserve">0,661</w:t>
            </w:r>
          </w:p>
        </w:tc>
        <w:tc>
          <w:tcPr>
            <w:tcW w:w="783" w:type="dxa"/>
          </w:tcPr>
          <w:p>
            <w:pPr>
              <w:pStyle w:val="Compact"/>
              <w:jc w:val="center"/>
            </w:pPr>
            <w:r>
              <w:t xml:space="preserve">0,564</w:t>
            </w:r>
          </w:p>
        </w:tc>
        <w:tc>
          <w:tcPr>
            <w:tcW w:w="1111" w:type="dxa"/>
          </w:tcPr>
          <w:p>
            <w:pPr>
              <w:pStyle w:val="Compact"/>
              <w:jc w:val="center"/>
            </w:pPr>
            <w:r>
              <w:rPr>
                <w:b/>
                <w:bCs/>
              </w:rPr>
              <w:t xml:space="preserve">+0,097</w:t>
            </w:r>
          </w:p>
        </w:tc>
        <w:tc>
          <w:tcPr>
            <w:tcW w:w="1966" w:type="dxa"/>
          </w:tcPr>
          <w:p>
            <w:pPr>
              <w:pStyle w:val="Compact"/>
              <w:jc w:val="center"/>
            </w:pPr>
            <w:r>
              <w:t xml:space="preserve">(+0,032, +0,166)</w:t>
            </w:r>
          </w:p>
        </w:tc>
        <w:tc>
          <w:tcPr>
            <w:tcW w:w="788" w:type="dxa"/>
          </w:tcPr>
          <w:p>
            <w:pPr>
              <w:pStyle w:val="Compact"/>
              <w:jc w:val="center"/>
            </w:pPr>
            <w:r>
              <w:t xml:space="preserve">0,697</w:t>
            </w:r>
          </w:p>
        </w:tc>
      </w:tr>
      <w:tr>
        <w:tc>
          <w:tcPr>
            <w:tcW w:w="1213" w:type="dxa"/>
          </w:tcPr>
          <w:p>
            <w:pPr>
              <w:pStyle w:val="Compact"/>
              <w:jc w:val="center"/>
            </w:pPr>
            <w:r>
              <w:t xml:space="preserve">GSE1456</w:t>
            </w:r>
          </w:p>
        </w:tc>
        <w:tc>
          <w:tcPr>
            <w:tcW w:w="1213" w:type="dxa"/>
          </w:tcPr>
          <w:p>
            <w:pPr>
              <w:pStyle w:val="Compact"/>
              <w:jc w:val="center"/>
            </w:pPr>
            <w:r>
              <w:t xml:space="preserve">congelado</w:t>
            </w:r>
          </w:p>
        </w:tc>
        <w:tc>
          <w:tcPr>
            <w:tcW w:w="783" w:type="dxa"/>
          </w:tcPr>
          <w:p>
            <w:pPr>
              <w:pStyle w:val="Compact"/>
              <w:jc w:val="center"/>
            </w:pPr>
            <w:r>
              <w:t xml:space="preserve">159</w:t>
            </w:r>
          </w:p>
        </w:tc>
        <w:tc>
          <w:tcPr>
            <w:tcW w:w="783" w:type="dxa"/>
          </w:tcPr>
          <w:p>
            <w:pPr>
              <w:pStyle w:val="Compact"/>
              <w:jc w:val="center"/>
            </w:pPr>
            <w:r>
              <w:t xml:space="preserve">0,622</w:t>
            </w:r>
          </w:p>
        </w:tc>
        <w:tc>
          <w:tcPr>
            <w:tcW w:w="783" w:type="dxa"/>
          </w:tcPr>
          <w:p>
            <w:pPr>
              <w:pStyle w:val="Compact"/>
              <w:jc w:val="center"/>
            </w:pPr>
            <w:r>
              <w:t xml:space="preserve">0,510</w:t>
            </w:r>
          </w:p>
        </w:tc>
        <w:tc>
          <w:tcPr>
            <w:tcW w:w="1111" w:type="dxa"/>
          </w:tcPr>
          <w:p>
            <w:pPr>
              <w:pStyle w:val="Compact"/>
              <w:jc w:val="center"/>
            </w:pPr>
            <w:r>
              <w:rPr>
                <w:b/>
                <w:bCs/>
              </w:rPr>
              <w:t xml:space="preserve">+0,111</w:t>
            </w:r>
          </w:p>
        </w:tc>
        <w:tc>
          <w:tcPr>
            <w:tcW w:w="1966" w:type="dxa"/>
          </w:tcPr>
          <w:p>
            <w:pPr>
              <w:pStyle w:val="Compact"/>
              <w:jc w:val="center"/>
            </w:pPr>
            <w:r>
              <w:t xml:space="preserve">(+0,045, +0,181)</w:t>
            </w:r>
          </w:p>
        </w:tc>
        <w:tc>
          <w:tcPr>
            <w:tcW w:w="788" w:type="dxa"/>
          </w:tcPr>
          <w:p>
            <w:pPr>
              <w:pStyle w:val="Compact"/>
              <w:jc w:val="center"/>
            </w:pPr>
            <w:r>
              <w:t xml:space="preserve">0,617</w:t>
            </w:r>
          </w:p>
        </w:tc>
      </w:tr>
    </w:tbl>
    <w:bookmarkEnd w:id="196"/>
    <w:p/>
    <w:bookmarkStart w:id="200" w:name="fig-headtohead"/>
    <w:p>
      <w:pPr>
        <w:pStyle w:val="Compact"/>
        <w:jc w:val="center"/>
      </w:pPr>
      <w:r>
        <w:drawing>
          <wp:inline>
            <wp:extent cx="5399999" cy="3374999"/>
            <wp:effectExtent b="0" l="0" r="0" t="0"/>
            <wp:docPr descr="" title="" id="198" name="Picture"/>
            <a:graphic>
              <a:graphicData uri="http://schemas.openxmlformats.org/drawingml/2006/picture">
                <pic:pic>
                  <pic:nvPicPr>
                    <pic:cNvPr descr="../figures/supp/pt/png/FigS_HeadToHead_24vs50_PT.png" id="199" name="Picture"/>
                    <pic:cNvPicPr>
                      <a:picLocks noChangeArrowheads="1" noChangeAspect="1"/>
                    </pic:cNvPicPr>
                  </pic:nvPicPr>
                  <pic:blipFill>
                    <a:blip r:embed="rId197"/>
                    <a:stretch>
                      <a:fillRect/>
                    </a:stretch>
                  </pic:blipFill>
                  <pic:spPr bwMode="auto">
                    <a:xfrm>
                      <a:off x="0" y="0"/>
                      <a:ext cx="5399999" cy="3374999"/>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p>
    <w:bookmarkEnd w:id="200"/>
    <w:p>
      <w:r>
        <w:br w:type="page"/>
      </w:r>
    </w:p>
    <w:bookmarkEnd w:id="201"/>
    <w:bookmarkStart w:id="207" w:name="comparação-com-assinaturas-estabelecidas"/>
    <w:p>
      <w:pPr>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 cross-plataforma, e permanece competitivo em toda a faixa — nunca sendo pior que os dois competidores simultaneamente em nenhuma coorte.</w:t>
      </w:r>
    </w:p>
    <w:p>
      <w:pPr>
        <w:jc w:val="left"/>
        <w:spacing w:before="200"/>
        <w:pStyle w:val="ImageCaption"/>
      </w:pPr>
      <w:bookmarkStart w:id="202"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8640"/>
        <w:tblLayout w:type="fixed"/>
        <w:tblLook w:firstRow="1" w:lastRow="0" w:firstColumn="0" w:lastColumn="0" w:noHBand="0" w:noVBand="0" w:val="0020"/>
      </w:tblPr>
      <w:tblGrid>
        <w:gridCol w:w="1078"/>
        <w:gridCol w:w="696"/>
        <w:gridCol w:w="1207"/>
        <w:gridCol w:w="940"/>
        <w:gridCol w:w="1097"/>
        <w:gridCol w:w="1316"/>
        <w:gridCol w:w="1097"/>
        <w:gridCol w:w="1209"/>
      </w:tblGrid>
      <w:tr>
        <w:trPr>
          <w:tblHeader w:val="on"/>
        </w:trPr>
        <w:tc>
          <w:tcPr>
            <w:tcW w:w="1078" w:type="dxa"/>
          </w:tcPr>
          <w:p>
            <w:pPr>
              <w:pStyle w:val="Compact"/>
              <w:jc w:val="center"/>
            </w:pPr>
            <w:r>
              <w:t xml:space="preserve">Coorte</w:t>
            </w:r>
          </w:p>
        </w:tc>
        <w:tc>
          <w:tcPr>
            <w:tcW w:w="696" w:type="dxa"/>
          </w:tcPr>
          <w:p>
            <w:pPr>
              <w:pStyle w:val="Compact"/>
              <w:jc w:val="center"/>
            </w:pPr>
            <w:r>
              <w:t xml:space="preserve">N</w:t>
            </w:r>
          </w:p>
        </w:tc>
        <w:tc>
          <w:tcPr>
            <w:tcW w:w="1207" w:type="dxa"/>
          </w:tcPr>
          <w:p>
            <w:pPr>
              <w:pStyle w:val="Compact"/>
              <w:jc w:val="center"/>
            </w:pPr>
            <w:r>
              <w:t xml:space="preserve">CorePAM C</w:t>
            </w:r>
          </w:p>
        </w:tc>
        <w:tc>
          <w:tcPr>
            <w:tcW w:w="940" w:type="dxa"/>
          </w:tcPr>
          <w:p>
            <w:pPr>
              <w:pStyle w:val="Compact"/>
              <w:jc w:val="center"/>
            </w:pPr>
            <w:r>
              <w:rPr>
                <w:i/>
                <w:iCs/>
              </w:rPr>
              <w:t xml:space="preserve">ROR-S</w:t>
            </w:r>
            <w:r>
              <w:t xml:space="preserve"> </w:t>
            </w:r>
            <w:r>
              <w:t xml:space="preserve">C</w:t>
            </w:r>
          </w:p>
        </w:tc>
        <w:tc>
          <w:tcPr>
            <w:tcW w:w="1097" w:type="dxa"/>
          </w:tcPr>
          <w:p>
            <w:pPr>
              <w:pStyle w:val="Compact"/>
              <w:jc w:val="center"/>
            </w:pPr>
            <w:r>
              <w:t xml:space="preserve">ODX-RS C</w:t>
            </w:r>
          </w:p>
        </w:tc>
        <w:tc>
          <w:tcPr>
            <w:tcW w:w="1316" w:type="dxa"/>
          </w:tcPr>
          <w:p>
            <w:pPr>
              <w:pStyle w:val="Compact"/>
              <w:jc w:val="center"/>
            </w:pPr>
            <w:r>
              <w:t xml:space="preserve">CorePAM HR</w:t>
            </w:r>
          </w:p>
        </w:tc>
        <w:tc>
          <w:tcPr>
            <w:tcW w:w="1097" w:type="dxa"/>
          </w:tcPr>
          <w:p>
            <w:pPr>
              <w:pStyle w:val="Compact"/>
              <w:jc w:val="center"/>
            </w:pPr>
            <w:r>
              <w:rPr>
                <w:i/>
                <w:iCs/>
              </w:rPr>
              <w:t xml:space="preserve">ROR-S</w:t>
            </w:r>
            <w:r>
              <w:t xml:space="preserve"> </w:t>
            </w:r>
            <w:r>
              <w:t xml:space="preserve">HR</w:t>
            </w:r>
          </w:p>
        </w:tc>
        <w:tc>
          <w:tcPr>
            <w:tcW w:w="1209" w:type="dxa"/>
          </w:tcPr>
          <w:p>
            <w:pPr>
              <w:pStyle w:val="Compact"/>
              <w:jc w:val="center"/>
            </w:pPr>
            <w:r>
              <w:t xml:space="preserve">ODX-RS HR</w:t>
            </w:r>
          </w:p>
        </w:tc>
      </w:tr>
      <w:tr>
        <w:tc>
          <w:tcPr>
            <w:tcW w:w="1078" w:type="dxa"/>
          </w:tcPr>
          <w:p>
            <w:pPr>
              <w:pStyle w:val="Compact"/>
              <w:jc w:val="center"/>
            </w:pPr>
            <w:r>
              <w:t xml:space="preserve">SCAN-B</w:t>
            </w:r>
          </w:p>
        </w:tc>
        <w:tc>
          <w:tcPr>
            <w:tcW w:w="696" w:type="dxa"/>
          </w:tcPr>
          <w:p>
            <w:pPr>
              <w:pStyle w:val="Compact"/>
              <w:jc w:val="center"/>
            </w:pPr>
            <w:r>
              <w:t xml:space="preserve">3 069</w:t>
            </w:r>
          </w:p>
        </w:tc>
        <w:tc>
          <w:tcPr>
            <w:tcW w:w="1207" w:type="dxa"/>
          </w:tcPr>
          <w:p>
            <w:pPr>
              <w:pStyle w:val="Compact"/>
              <w:jc w:val="center"/>
            </w:pPr>
            <w:r>
              <w:rPr>
                <w:b/>
                <w:bCs/>
              </w:rPr>
              <w:t xml:space="preserve">0,698</w:t>
            </w:r>
          </w:p>
        </w:tc>
        <w:tc>
          <w:tcPr>
            <w:tcW w:w="940" w:type="dxa"/>
          </w:tcPr>
          <w:p>
            <w:pPr>
              <w:pStyle w:val="Compact"/>
              <w:jc w:val="center"/>
            </w:pPr>
            <w:r>
              <w:t xml:space="preserve">0,641</w:t>
            </w:r>
          </w:p>
        </w:tc>
        <w:tc>
          <w:tcPr>
            <w:tcW w:w="1097" w:type="dxa"/>
          </w:tcPr>
          <w:p>
            <w:pPr>
              <w:pStyle w:val="Compact"/>
              <w:jc w:val="center"/>
            </w:pPr>
            <w:r>
              <w:t xml:space="preserve">0,607</w:t>
            </w:r>
          </w:p>
        </w:tc>
        <w:tc>
          <w:tcPr>
            <w:tcW w:w="1316" w:type="dxa"/>
          </w:tcPr>
          <w:p>
            <w:pPr>
              <w:pStyle w:val="Compact"/>
              <w:jc w:val="center"/>
            </w:pPr>
            <w:r>
              <w:rPr>
                <w:b/>
                <w:bCs/>
              </w:rPr>
              <w:t xml:space="preserve">1,92</w:t>
            </w:r>
          </w:p>
        </w:tc>
        <w:tc>
          <w:tcPr>
            <w:tcW w:w="1097" w:type="dxa"/>
          </w:tcPr>
          <w:p>
            <w:pPr>
              <w:pStyle w:val="Compact"/>
              <w:jc w:val="center"/>
            </w:pPr>
            <w:r>
              <w:t xml:space="preserve">1,56</w:t>
            </w:r>
          </w:p>
        </w:tc>
        <w:tc>
          <w:tcPr>
            <w:tcW w:w="1209" w:type="dxa"/>
          </w:tcPr>
          <w:p>
            <w:pPr>
              <w:pStyle w:val="Compact"/>
              <w:jc w:val="center"/>
            </w:pPr>
            <w:r>
              <w:t xml:space="preserve">1,40</w:t>
            </w:r>
          </w:p>
        </w:tc>
      </w:tr>
      <w:tr>
        <w:tc>
          <w:tcPr>
            <w:tcW w:w="1078" w:type="dxa"/>
          </w:tcPr>
          <w:p>
            <w:pPr>
              <w:pStyle w:val="Compact"/>
              <w:jc w:val="center"/>
            </w:pPr>
            <w:r>
              <w:t xml:space="preserve">TCGA-BRCA</w:t>
            </w:r>
          </w:p>
        </w:tc>
        <w:tc>
          <w:tcPr>
            <w:tcW w:w="696" w:type="dxa"/>
          </w:tcPr>
          <w:p>
            <w:pPr>
              <w:pStyle w:val="Compact"/>
              <w:jc w:val="center"/>
            </w:pPr>
            <w:r>
              <w:t xml:space="preserve">1 072</w:t>
            </w:r>
          </w:p>
        </w:tc>
        <w:tc>
          <w:tcPr>
            <w:tcW w:w="1207" w:type="dxa"/>
          </w:tcPr>
          <w:p>
            <w:pPr>
              <w:pStyle w:val="Compact"/>
              <w:jc w:val="center"/>
            </w:pPr>
            <w:r>
              <w:rPr>
                <w:b/>
                <w:bCs/>
              </w:rPr>
              <w:t xml:space="preserve">0,624</w:t>
            </w:r>
          </w:p>
        </w:tc>
        <w:tc>
          <w:tcPr>
            <w:tcW w:w="940" w:type="dxa"/>
          </w:tcPr>
          <w:p>
            <w:pPr>
              <w:pStyle w:val="Compact"/>
              <w:jc w:val="center"/>
            </w:pPr>
            <w:r>
              <w:t xml:space="preserve">0,602</w:t>
            </w:r>
          </w:p>
        </w:tc>
        <w:tc>
          <w:tcPr>
            <w:tcW w:w="1097" w:type="dxa"/>
          </w:tcPr>
          <w:p>
            <w:pPr>
              <w:pStyle w:val="Compact"/>
              <w:jc w:val="center"/>
            </w:pPr>
            <w:r>
              <w:t xml:space="preserve">0,586</w:t>
            </w:r>
          </w:p>
        </w:tc>
        <w:tc>
          <w:tcPr>
            <w:tcW w:w="1316" w:type="dxa"/>
          </w:tcPr>
          <w:p>
            <w:pPr>
              <w:pStyle w:val="Compact"/>
              <w:jc w:val="center"/>
            </w:pPr>
            <w:r>
              <w:t xml:space="preserve">1,20</w:t>
            </w:r>
          </w:p>
        </w:tc>
        <w:tc>
          <w:tcPr>
            <w:tcW w:w="1097" w:type="dxa"/>
          </w:tcPr>
          <w:p>
            <w:pPr>
              <w:pStyle w:val="Compact"/>
              <w:jc w:val="center"/>
            </w:pPr>
            <w:r>
              <w:rPr>
                <w:b/>
                <w:bCs/>
              </w:rPr>
              <w:t xml:space="preserve">1,25</w:t>
            </w:r>
          </w:p>
        </w:tc>
        <w:tc>
          <w:tcPr>
            <w:tcW w:w="1209" w:type="dxa"/>
          </w:tcPr>
          <w:p>
            <w:pPr>
              <w:pStyle w:val="Compact"/>
              <w:jc w:val="center"/>
            </w:pPr>
            <w:r>
              <w:t xml:space="preserve">1,13</w:t>
            </w:r>
          </w:p>
        </w:tc>
      </w:tr>
      <w:tr>
        <w:tc>
          <w:tcPr>
            <w:tcW w:w="1078" w:type="dxa"/>
          </w:tcPr>
          <w:p>
            <w:pPr>
              <w:pStyle w:val="Compact"/>
              <w:jc w:val="center"/>
            </w:pPr>
            <w:r>
              <w:t xml:space="preserve">METABRIC</w:t>
            </w:r>
          </w:p>
        </w:tc>
        <w:tc>
          <w:tcPr>
            <w:tcW w:w="696" w:type="dxa"/>
          </w:tcPr>
          <w:p>
            <w:pPr>
              <w:pStyle w:val="Compact"/>
              <w:jc w:val="center"/>
            </w:pPr>
            <w:r>
              <w:t xml:space="preserve">1 978</w:t>
            </w:r>
          </w:p>
        </w:tc>
        <w:tc>
          <w:tcPr>
            <w:tcW w:w="1207" w:type="dxa"/>
          </w:tcPr>
          <w:p>
            <w:pPr>
              <w:pStyle w:val="Compact"/>
              <w:jc w:val="center"/>
            </w:pPr>
            <w:r>
              <w:t xml:space="preserve">0,638</w:t>
            </w:r>
          </w:p>
        </w:tc>
        <w:tc>
          <w:tcPr>
            <w:tcW w:w="940" w:type="dxa"/>
          </w:tcPr>
          <w:p>
            <w:pPr>
              <w:pStyle w:val="Compact"/>
              <w:jc w:val="center"/>
            </w:pPr>
            <w:r>
              <w:t xml:space="preserve">0,643</w:t>
            </w:r>
          </w:p>
        </w:tc>
        <w:tc>
          <w:tcPr>
            <w:tcW w:w="1097" w:type="dxa"/>
          </w:tcPr>
          <w:p>
            <w:pPr>
              <w:pStyle w:val="Compact"/>
              <w:jc w:val="center"/>
            </w:pPr>
            <w:r>
              <w:rPr>
                <w:b/>
                <w:bCs/>
              </w:rPr>
              <w:t xml:space="preserve">0,665</w:t>
            </w:r>
          </w:p>
        </w:tc>
        <w:tc>
          <w:tcPr>
            <w:tcW w:w="1316" w:type="dxa"/>
          </w:tcPr>
          <w:p>
            <w:pPr>
              <w:pStyle w:val="Compact"/>
              <w:jc w:val="center"/>
            </w:pPr>
            <w:r>
              <w:t xml:space="preserve">1,41</w:t>
            </w:r>
          </w:p>
        </w:tc>
        <w:tc>
          <w:tcPr>
            <w:tcW w:w="1097" w:type="dxa"/>
          </w:tcPr>
          <w:p>
            <w:pPr>
              <w:pStyle w:val="Compact"/>
              <w:jc w:val="center"/>
            </w:pPr>
            <w:r>
              <w:t xml:space="preserve">1,53</w:t>
            </w:r>
          </w:p>
        </w:tc>
        <w:tc>
          <w:tcPr>
            <w:tcW w:w="1209" w:type="dxa"/>
          </w:tcPr>
          <w:p>
            <w:pPr>
              <w:pStyle w:val="Compact"/>
              <w:jc w:val="center"/>
            </w:pPr>
            <w:r>
              <w:rPr>
                <w:b/>
                <w:bCs/>
              </w:rPr>
              <w:t xml:space="preserve">1,51</w:t>
            </w:r>
          </w:p>
        </w:tc>
      </w:tr>
      <w:tr>
        <w:tc>
          <w:tcPr>
            <w:tcW w:w="1078" w:type="dxa"/>
          </w:tcPr>
          <w:p>
            <w:pPr>
              <w:pStyle w:val="Compact"/>
              <w:jc w:val="center"/>
            </w:pPr>
            <w:r>
              <w:t xml:space="preserve">GSE20685</w:t>
            </w:r>
          </w:p>
        </w:tc>
        <w:tc>
          <w:tcPr>
            <w:tcW w:w="696" w:type="dxa"/>
          </w:tcPr>
          <w:p>
            <w:pPr>
              <w:pStyle w:val="Compact"/>
              <w:jc w:val="center"/>
            </w:pPr>
            <w:r>
              <w:t xml:space="preserve">327</w:t>
            </w:r>
          </w:p>
        </w:tc>
        <w:tc>
          <w:tcPr>
            <w:tcW w:w="1207" w:type="dxa"/>
          </w:tcPr>
          <w:p>
            <w:pPr>
              <w:pStyle w:val="Compact"/>
              <w:jc w:val="center"/>
            </w:pPr>
            <w:r>
              <w:t xml:space="preserve">0,626</w:t>
            </w:r>
          </w:p>
        </w:tc>
        <w:tc>
          <w:tcPr>
            <w:tcW w:w="940" w:type="dxa"/>
          </w:tcPr>
          <w:p>
            <w:pPr>
              <w:pStyle w:val="Compact"/>
              <w:jc w:val="center"/>
            </w:pPr>
            <w:r>
              <w:t xml:space="preserve">0,646</w:t>
            </w:r>
          </w:p>
        </w:tc>
        <w:tc>
          <w:tcPr>
            <w:tcW w:w="1097" w:type="dxa"/>
          </w:tcPr>
          <w:p>
            <w:pPr>
              <w:pStyle w:val="Compact"/>
              <w:jc w:val="center"/>
            </w:pPr>
            <w:r>
              <w:rPr>
                <w:b/>
                <w:bCs/>
              </w:rPr>
              <w:t xml:space="preserve">0,651</w:t>
            </w:r>
          </w:p>
        </w:tc>
        <w:tc>
          <w:tcPr>
            <w:tcW w:w="1316" w:type="dxa"/>
          </w:tcPr>
          <w:p>
            <w:pPr>
              <w:pStyle w:val="Compact"/>
              <w:jc w:val="center"/>
            </w:pPr>
            <w:r>
              <w:t xml:space="preserve">1,40</w:t>
            </w:r>
          </w:p>
        </w:tc>
        <w:tc>
          <w:tcPr>
            <w:tcW w:w="1097" w:type="dxa"/>
          </w:tcPr>
          <w:p>
            <w:pPr>
              <w:pStyle w:val="Compact"/>
              <w:jc w:val="center"/>
            </w:pPr>
            <w:r>
              <w:t xml:space="preserve">1,55</w:t>
            </w:r>
          </w:p>
        </w:tc>
        <w:tc>
          <w:tcPr>
            <w:tcW w:w="1209" w:type="dxa"/>
          </w:tcPr>
          <w:p>
            <w:pPr>
              <w:pStyle w:val="Compact"/>
              <w:jc w:val="center"/>
            </w:pPr>
            <w:r>
              <w:rPr>
                <w:b/>
                <w:bCs/>
              </w:rPr>
              <w:t xml:space="preserve">1,61</w:t>
            </w:r>
          </w:p>
        </w:tc>
      </w:tr>
    </w:tbl>
    <w:bookmarkEnd w:id="202"/>
    <w:p/>
    <w:bookmarkStart w:id="206" w:name="fig-cindex-comparison"/>
    <w:p>
      <w:pPr>
        <w:pStyle w:val="Compact"/>
        <w:jc w:val="center"/>
      </w:pPr>
      <w:r>
        <w:drawing>
          <wp:inline>
            <wp:extent cx="5399999" cy="3857142"/>
            <wp:effectExtent b="0" l="0" r="0" t="0"/>
            <wp:docPr descr="" title="" id="204" name="Picture"/>
            <a:graphic>
              <a:graphicData uri="http://schemas.openxmlformats.org/drawingml/2006/picture">
                <pic:pic>
                  <pic:nvPicPr>
                    <pic:cNvPr descr="../figures/supp/pt/png/FigS_Cindex_ByCohort_PT.png" id="205" name="Picture"/>
                    <pic:cNvPicPr>
                      <a:picLocks noChangeArrowheads="1" noChangeAspect="1"/>
                    </pic:cNvPicPr>
                  </pic:nvPicPr>
                  <pic:blipFill>
                    <a:blip r:embed="rId203"/>
                    <a:stretch>
                      <a:fillRect/>
                    </a:stretch>
                  </pic:blipFill>
                  <pic:spPr bwMode="auto">
                    <a:xfrm>
                      <a:off x="0" y="0"/>
                      <a:ext cx="5399999" cy="3857142"/>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p>
    <w:bookmarkEnd w:id="206"/>
    <w:p>
      <w:r>
        <w:br w:type="page"/>
      </w:r>
    </w:p>
    <w:bookmarkEnd w:id="207"/>
    <w:bookmarkEnd w:id="208"/>
    <w:bookmarkStart w:id="223" w:name="discussão"/>
    <w:p>
      <w:pPr>
        <w:pStyle w:val="Heading1"/>
      </w:pPr>
      <w:r>
        <w:t xml:space="preserve">5. DISCUSSÃO</w:t>
      </w:r>
    </w:p>
    <w:bookmarkStart w:id="209"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evitavel. No câncer de mama, as assinaturas gênicas multigenes —</w:t>
      </w:r>
      <w:r>
        <w:t xml:space="preserve"> </w:t>
      </w:r>
      <w:r>
        <w:rPr>
          <w:i/>
          <w:iCs/>
        </w:rPr>
        <w:t xml:space="preserve">OncotypeDX</w:t>
      </w:r>
      <w:r>
        <w:t xml:space="preserve"> </w:t>
      </w:r>
      <w:r>
        <w:rPr>
          <w:vertAlign w:val="superscript"/>
        </w:rPr>
        <w:t xml:space="preserve">22</w:t>
      </w:r>
      <w:r>
        <w:t xml:space="preserve">–</w:t>
      </w:r>
      <w:r>
        <w:rPr>
          <w:vertAlign w:val="superscript"/>
        </w:rPr>
        <w:t xml:space="preserve">25</w:t>
      </w:r>
      <w:r>
        <w:t xml:space="preserve">,</w:t>
      </w:r>
      <w:r>
        <w:t xml:space="preserve"> </w:t>
      </w:r>
      <w:r>
        <w:rPr>
          <w:i/>
          <w:iCs/>
        </w:rPr>
        <w:t xml:space="preserve">MammaPrint</w:t>
      </w:r>
      <w:r>
        <w:t xml:space="preserve"> </w:t>
      </w:r>
      <w:r>
        <w:rPr>
          <w:vertAlign w:val="superscript"/>
        </w:rPr>
        <w:t xml:space="preserve">26</w:t>
      </w:r>
      <w:r>
        <w:t xml:space="preserve">–</w:t>
      </w:r>
      <w:r>
        <w:rPr>
          <w:vertAlign w:val="superscript"/>
        </w:rPr>
        <w:t xml:space="preserve">28</w:t>
      </w:r>
      <w:r>
        <w:t xml:space="preserve">, PAM50/</w:t>
      </w:r>
      <w:r>
        <w:rPr>
          <w:i/>
          <w:iCs/>
        </w:rPr>
        <w:t xml:space="preserve">Prosigna</w:t>
      </w:r>
      <w:r>
        <w:t xml:space="preserve"> </w:t>
      </w:r>
      <w:r>
        <w:rPr>
          <w:vertAlign w:val="superscript"/>
        </w:rPr>
        <w:t xml:space="preserve">13</w:t>
      </w:r>
      <w:r>
        <w:t xml:space="preserve">,</w:t>
      </w:r>
      <w:r>
        <w:rPr>
          <w:vertAlign w:val="superscript"/>
        </w:rPr>
        <w:t xml:space="preserve">17</w:t>
      </w:r>
      <w:r>
        <w:t xml:space="preserve">,</w:t>
      </w:r>
      <w:r>
        <w:rPr>
          <w:vertAlign w:val="superscript"/>
        </w:rPr>
        <w:t xml:space="preserve">18</w:t>
      </w:r>
      <w:r>
        <w:t xml:space="preserve">,</w:t>
      </w:r>
      <w:r>
        <w:t xml:space="preserve"> </w:t>
      </w:r>
      <w:r>
        <w:rPr>
          <w:i/>
          <w:iCs/>
        </w:rPr>
        <w:t xml:space="preserve">EndoPredict</w:t>
      </w:r>
      <w:r>
        <w:rPr>
          <w:vertAlign w:val="superscript"/>
        </w:rPr>
        <w:t xml:space="preserve">29</w:t>
      </w:r>
      <w:r>
        <w:t xml:space="preserve"> </w:t>
      </w:r>
      <w:r>
        <w:t xml:space="preserve">e Breast Câncer Index</w:t>
      </w:r>
      <w:r>
        <w:rPr>
          <w:vertAlign w:val="superscript"/>
        </w:rPr>
        <w:t xml:space="preserve">30</w:t>
      </w:r>
      <w:r>
        <w:t xml:space="preserve"> </w:t>
      </w:r>
      <w:r>
        <w:t xml:space="preserve">— já pouparam milhares de mulheres no mundo de quimioterapia adjuvante desnecessaria, especialmente em doença RE-positiva, HER2-negativa, linfonodo-negativa ou com 1-3 linfonodos positivos</w:t>
      </w:r>
      <w:r>
        <w:t xml:space="preserve"> </w:t>
      </w:r>
      <w:r>
        <w:rPr>
          <w:vertAlign w:val="superscript"/>
        </w:rPr>
        <w:t xml:space="preserve">20</w:t>
      </w:r>
      <w:r>
        <w:t xml:space="preserve">,</w:t>
      </w:r>
      <w:r>
        <w:rPr>
          <w:vertAlign w:val="superscript"/>
        </w:rPr>
        <w:t xml:space="preserve">21</w:t>
      </w:r>
      <w:r>
        <w:t xml:space="preserve">. Em termos práticos, estimativas conservadoras indicam que um terco a metade das pacientes com câncer de mama RE+/HER2- estágio precoce elegiveis para quimioterapia adjuvante no modelo clínico tradicional pode, com segurança, evita-la quando estratificada por essas ferramentas — uma redução absoluta de mortalidade por toxicidade, infertilidade induzida, cardiotoxicidade e neoplasias secundárias cujo impacto populacional e substancial</w:t>
      </w:r>
      <w:r>
        <w:t xml:space="preserve"> </w:t>
      </w:r>
      <w:r>
        <w:rPr>
          <w:vertAlign w:val="superscript"/>
        </w:rPr>
        <w:t xml:space="preserve">4</w:t>
      </w:r>
      <w:r>
        <w:t xml:space="preserve">,</w:t>
      </w:r>
      <w:r>
        <w:rPr>
          <w:vertAlign w:val="superscript"/>
        </w:rPr>
        <w:t xml:space="preserve">7</w:t>
      </w:r>
      <w:r>
        <w:t xml:space="preserve">.</w:t>
      </w:r>
    </w:p>
    <w:p>
      <w:pPr>
        <w:pStyle w:val="BodyText"/>
      </w:pPr>
      <w:r>
        <w:t xml:space="preserve">No entanto, a realidade global e marcada por profundas desigualdades de acesso a essa tecnologia. O custo individual dos testes (US$ 3 000-4 000 nos EUA, preços análogos em mercado de saúde suplementar no Brasil), a dependência de laboratórios de referência centralizados é a logistica de envio internacional são barreiras reais. No Brasil, o</w:t>
      </w:r>
      <w:r>
        <w:t xml:space="preserve"> </w:t>
      </w:r>
      <w:r>
        <w:rPr>
          <w:i/>
          <w:iCs/>
        </w:rPr>
        <w:t xml:space="preserve">OncotypeDX</w:t>
      </w:r>
      <w:r>
        <w:t xml:space="preserve"> </w:t>
      </w:r>
      <w:r>
        <w:t xml:space="preserve">foi incorporado ao Sistema Único de Saúde (SUS) por decisão da Comissao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e que, mesmo em centros academicos públicos brasileiros de ponta, a indicacao de quimioterapia adjuvante em doença RE+/HER2- continua a se apoiar majoritariamente em critérios clínico-patológicos clássicos — idade, T, N, grau, Ki67 por IHQ —, produzindo inevitavelmente um número de sub e sobre-tratamentos que a literatura internacional já demonstrou ser evitavel.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unitario por ensaio, menor exigencia de infraestrutura e maior plausibilidade de execução em laboratórios de hospitais universitários brasileiros, sem dependência de envio internacional. O presente trabalho não se propoe a substituir um ensaio comercial por outro equivalente, mas sim a mostrar que a estrutura subjacente de informação prognóstica admite compressao consideravel, o que é uma descoberta com implicações econômicas e de equidade não triviais.</w:t>
      </w:r>
    </w:p>
    <w:bookmarkEnd w:id="209"/>
    <w:bookmarkStart w:id="210"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(-index =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reproduzivel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0"/>
    <w:bookmarkStart w:id="211" w:name="X986d28efad25c764b2311c3e14d27f16848bdb6"/>
    <w:p>
      <w:pPr>
        <w:pStyle w:val="Heading2"/>
      </w:pPr>
      <w:r>
        <w:t xml:space="preserve">5.3 Coerência biológica: por que esses 24 genes?</w:t>
      </w:r>
    </w:p>
    <w:p>
      <w:pPr>
        <w:pStyle w:val="FirstParagraph"/>
      </w:pPr>
      <w:r>
        <w:t xml:space="preserve">Os 24 genes do CorePAM não são um conjunto arbitrario; demonstram coerência biológica notável, representando todos os quatro eixos funcionais reconhecidos do PAM50 e da biologia intrínseca do câncer de mama</w:t>
      </w:r>
      <w:r>
        <w:t xml:space="preserve"> </w:t>
      </w:r>
      <w:r>
        <w:rPr>
          <w:vertAlign w:val="superscript"/>
        </w:rPr>
        <w:t xml:space="preserve">7</w:t>
      </w:r>
      <w:r>
        <w:t xml:space="preserve">–</w:t>
      </w:r>
      <w:r>
        <w:rPr>
          <w:vertAlign w:val="superscript"/>
        </w:rPr>
        <w:t xml:space="preserve">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estrogeno) é o regulador mestre do programa luminal; sua expressão e alta em tumores RE-positivos que dependem da via estrogenica é, portanto, respondem a terapia endócrina. PGR (receptor de progesterona) é um alvo direto da sinalizacao estrogenica funcional. BCL2 e regulador anti-apoptotico classicamente associado a pior resposta a quimioterapia mas melhor prognóstico global em RE+. NAT1 e MLPH são genes menos conhecidos mas consistentemente altos em luminais bem diferenciados. FOXA1, fator de transcricao pioneiro, abre o cromatin para ESR1 e e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o que em ensaios de IHQ e proxied por Ki67 isoladamente. Estes genes estão relacionados a progressão do ciclo celular (MYBL2, CDC20), reparo de DNA e segregação cromossomica (EXO1, CENPF, BIRC5, UBE2C), metabolismo de nucleotideos (TYMS) e sinalizacao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e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Fenotipo basal e mioepitelial:</w:t>
      </w:r>
      <w:r>
        <w:t xml:space="preserve"> </w:t>
      </w:r>
      <w:r>
        <w:t xml:space="preserve">KRT5, KRT14, KRT17, FOXC1. Citoqueratinas de alto peso molecular e fator de transcricao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cancers de mama); GRB7 co-localiza no amplicon 17q12; MIA integra a resposta</w:t>
      </w:r>
      <w:r>
        <w:t xml:space="preserve"> </w:t>
      </w:r>
      <w:r>
        <w:rPr>
          <w:i/>
          <w:iCs/>
        </w:rPr>
        <w:t xml:space="preserve">downstream</w:t>
      </w:r>
      <w:r>
        <w:t xml:space="preserve">.</w:t>
      </w:r>
    </w:p>
    <w:p>
      <w:pPr>
        <w:pStyle w:val="FirstParagraph"/>
      </w:pPr>
      <w:r>
        <w:t xml:space="preserve">A preservacao dos quatro eixos no CorePAM e biologicamente não-trivial: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 preservar os quatro eixos e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otimizacao, poderia ter sido racionalmente proposto por um biologo do câncer de mama que se perguntasse</w:t>
      </w:r>
      <w:r>
        <w:t xml:space="preserve"> </w:t>
      </w:r>
      <w:r>
        <w:t xml:space="preserve">“qual é o subconjunto mínimo de genes que captura proliferação, diferenciação luminal, basal e HER2?”</w:t>
      </w:r>
      <w:r>
        <w:t xml:space="preserve">. A convergencia entre escolha orientada por dados e escolha racional biológica é um indicador forte de que o resultado não é um artefato de overfitting.</w:t>
      </w:r>
    </w:p>
    <w:bookmarkEnd w:id="211"/>
    <w:bookmarkStart w:id="212"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painels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 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e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distorcoes específicas em determinados transcritos do PAM50 (particularmente genes de baixa expressão basal ou com alta heterogeneidade de isoformas). Esta observação informa uma recomendacao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descendencia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2"/>
    <w:bookmarkStart w:id="213" w:name="X09309006730d5e448ff9f40dfabccfdd9a5f18b"/>
    <w:p>
      <w:pPr>
        <w:pStyle w:val="Heading2"/>
      </w:pPr>
      <w:r>
        <w:t xml:space="preserve">5.5 O paradoxo de menos genes, mais informação</w:t>
      </w:r>
    </w:p>
    <w:p>
      <w:pPr>
        <w:pStyle w:val="FirstParagraph"/>
      </w:pPr>
      <w:r>
        <w:t xml:space="preserve">Em tres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e contra-intuitivo: como um modelo com menos informação pode discriminar melhor do que um com mais informação?</w:t>
      </w:r>
    </w:p>
    <w:p>
      <w:pPr>
        <w:pStyle w:val="BodyText"/>
      </w:pPr>
      <w:r>
        <w:t xml:space="preserve">A explicacao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construcao, descarta coeficientes pequenos que refletem majoritariamente ruído e mantém apenas os sinais robustos — sendo, portanto, menos sujeito a está degradação.</w:t>
      </w:r>
    </w:p>
    <w:p>
      <w:pPr>
        <w:pStyle w:val="BodyText"/>
      </w:pPr>
      <w:r>
        <w:t xml:space="preserve">A magnitude do ganho do modelo mais parcimonioso aumenta com a distância da plataforma de teste em relação a plataforma de treinamento (maior em</w:t>
      </w:r>
      <w:r>
        <w:t xml:space="preserve"> </w:t>
      </w:r>
      <w:r>
        <w:rPr>
          <w:i/>
          <w:iCs/>
        </w:rPr>
        <w:t xml:space="preserve">Affymetrix</w:t>
      </w:r>
      <w:r>
        <w:t xml:space="preserve"> </w:t>
      </w:r>
      <w:r>
        <w:t xml:space="preserve">GSE1456, menor em TCGA-BRCA). Este gradiente e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cosmetica (reduzir tamanho), mas como ferramenta ativa de melhoria de generalização. O CorePAM não e apenas mais barato de implementar; é, provavelmente, mais transportável.</w:t>
      </w:r>
    </w:p>
    <w:bookmarkEnd w:id="213"/>
    <w:bookmarkStart w:id="214"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Tres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está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 scoring:</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e recomendável.</w:t>
      </w:r>
    </w:p>
    <w:bookmarkEnd w:id="214"/>
    <w:bookmarkStart w:id="215"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e precisamente na doença RE-positiva, HER2-negativa, estágio precoce que os ensaios multigenes são mais utilizados para decisão de quimioterapia adjuvante.</w:t>
      </w:r>
    </w:p>
    <w:p>
      <w:pPr>
        <w:pStyle w:val="BodyText"/>
      </w:pPr>
      <w:r>
        <w:t xml:space="preserve">A interpretação biológica e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dimensoes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e que o CorePAM — como o</w:t>
      </w:r>
      <w:r>
        <w:t xml:space="preserve"> </w:t>
      </w:r>
      <w:r>
        <w:rPr>
          <w:i/>
          <w:iCs/>
        </w:rPr>
        <w:t xml:space="preserve">OncotypeDX</w:t>
      </w:r>
      <w:r>
        <w:t xml:space="preserve">, o</w:t>
      </w:r>
      <w:r>
        <w:t xml:space="preserve"> </w:t>
      </w:r>
      <w:r>
        <w:rPr>
          <w:i/>
          <w:iCs/>
        </w:rPr>
        <w:t xml:space="preserve">MammaPrint</w:t>
      </w:r>
      <w:r>
        <w:t xml:space="preserve"> </w:t>
      </w:r>
      <w:r>
        <w:t xml:space="preserve">é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e menos justificada pela biologia.</w:t>
      </w:r>
    </w:p>
    <w:bookmarkEnd w:id="215"/>
    <w:bookmarkStart w:id="216"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a resposta patológica completa (pCR) a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e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a quimioterapia neoadjuvante (drogas citotóxicas atuam preferencialmente em celulas em divisão). Este</w:t>
      </w:r>
      <w:r>
        <w:t xml:space="preserve"> </w:t>
      </w:r>
      <w:r>
        <w:rPr>
          <w:i/>
          <w:iCs/>
        </w:rPr>
        <w:t xml:space="preserve">paradoxo</w:t>
      </w:r>
      <w:r>
        <w:t xml:space="preserve"> </w:t>
      </w:r>
      <w:r>
        <w:t xml:space="preserve">— que tumores biologicamente ruins são, em parte, mais quimiossensíveis — e clássico na oncologia mamária</w:t>
      </w:r>
      <w:r>
        <w:t xml:space="preserve"> </w:t>
      </w:r>
      <w:r>
        <w:rPr>
          <w:vertAlign w:val="superscript"/>
        </w:rPr>
        <w:t xml:space="preserve">74</w:t>
      </w:r>
      <w:r>
        <w:t xml:space="preserve">,</w:t>
      </w:r>
      <w:r>
        <w:rPr>
          <w:vertAlign w:val="superscript"/>
        </w:rPr>
        <w:t xml:space="preserve">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e que o escore pode ter utilidade bivalente em cenários clínicos específicos: em doença RE-positiva, para decidir se é necessário adicionar quimioterapia a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6"/>
    <w:bookmarkStart w:id="217"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tem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a população-alvo). Este padrão não e peculiar do CorePAM; e comum em modelos derivados em uma coorte é aplicados em outra com prevalência de eventos, seguimento e composição clínica distintas.</w:t>
      </w:r>
    </w:p>
    <w:p>
      <w:pPr>
        <w:pStyle w:val="BodyText"/>
      </w:pPr>
      <w:r>
        <w:t xml:space="preserve">A implicação prática e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7"/>
    <w:bookmarkStart w:id="218"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e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8"/>
    <w:bookmarkStart w:id="219"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E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e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é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w:t>
      </w:r>
      <w:r>
        <w:t xml:space="preserve"> </w:t>
      </w:r>
      <w:r>
        <w:rPr>
          <w:i/>
          <w:iCs/>
        </w:rPr>
        <w:t xml:space="preserve">in vitro diagnostic</w:t>
      </w:r>
      <w:r>
        <w:t xml:space="preserve"> </w:t>
      </w:r>
      <w:r>
        <w:t xml:space="preserve">aprovação.</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e impossível, e todos seguem modelo já trilhado por assinaturas concorrentes.</w:t>
      </w:r>
    </w:p>
    <w:bookmarkEnd w:id="219"/>
    <w:bookmarkStart w:id="220"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é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executavel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é, crucialmente, com execução local, sem dependência de logistica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e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tras do presente trabalho e sua validação requer estudo subsequente específico de custo-efetividade no contexto brasileiro.</w:t>
      </w:r>
    </w:p>
    <w:bookmarkEnd w:id="220"/>
    <w:bookmarkStart w:id="221"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Populacoes predominantemente europeias.</w:t>
      </w:r>
      <w:r>
        <w:t xml:space="preserve"> </w:t>
      </w:r>
      <w:r>
        <w:t xml:space="preserve">SCAN-B (sueca), TCGA-BRCA (maioria americana, predominantemente de descendencia europeia), METABRIC (britanica, canadense), GSE1456 (sueca). GSE20685 (Taiwan) é a única coorte com predominancia asiática. Nenhuma coorte brasileira ou latino-americana foi testada. Desempenho em populações com composição genética e prevalência de subtipos distintas e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tem informação de grau histológico, T, N, HER2 em formatos harmonizaveis.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aproximacoes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e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producao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1"/>
    <w:bookmarkStart w:id="222"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obrigatoria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discordancia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e provavelmente sub-ótimo para decisão é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hipotetico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a realidade do SUS.</w:t>
      </w:r>
    </w:p>
    <w:p>
      <w:pPr>
        <w:pStyle w:val="FirstParagraph"/>
      </w:pPr>
      <w:r>
        <w:t xml:space="preserve">Horizontes mais distantes incluem a adaptação do CorePAM para plataformas de terceira geração (sequenciamento de RNA de celula única e sequenciamento Nanopore direto de RNA) é a integração com inteligencia artificial multimodal combinando patologia digital (imagens histologicas processadas por deep learning) com assinatura gênica reduzida — cenário que pode produzir ferramentas prognósticas ainda mais robustas e acessíveis.</w:t>
      </w:r>
    </w:p>
    <w:p>
      <w:r>
        <w:br w:type="page"/>
      </w:r>
    </w:p>
    <w:bookmarkEnd w:id="222"/>
    <w:bookmarkEnd w:id="223"/>
    <w:bookmarkStart w:id="224" w:name="conclusão"/>
    <w:p>
      <w:pPr>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é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é a validação clínica prospectiva são os próximos passos necessários para qualquer aplicação clínica.</w:t>
      </w:r>
    </w:p>
    <w:p>
      <w:r>
        <w:br w:type="page"/>
      </w:r>
    </w:p>
    <w:bookmarkEnd w:id="224"/>
    <w:bookmarkStart w:id="376" w:name="referências-bibliográficas"/>
    <w:p>
      <w:pPr>
        <w:pStyle w:val="Heading1"/>
      </w:pPr>
      <w:r>
        <w:t xml:space="preserve">REFERÊNCIAS BIBLIOGRÁFICAS</w:t>
      </w:r>
    </w:p>
    <w:bookmarkStart w:id="375" w:name="refs"/>
    <w:bookmarkStart w:id="226"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 doi:</w:t>
      </w:r>
      <w:hyperlink r:id="rId225">
        <w:r>
          <w:rPr>
            <w:rStyle w:val="Hyperlink"/>
          </w:rPr>
          <w:t xml:space="preserve">10.3322/caac.21660</w:t>
        </w:r>
      </w:hyperlink>
    </w:p>
    <w:bookmarkEnd w:id="226"/>
    <w:bookmarkStart w:id="228"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 doi:</w:t>
      </w:r>
      <w:hyperlink r:id="rId227">
        <w:r>
          <w:rPr>
            <w:rStyle w:val="Hyperlink"/>
          </w:rPr>
          <w:t xml:space="preserve">10.3322/caac.21834</w:t>
        </w:r>
      </w:hyperlink>
    </w:p>
    <w:bookmarkEnd w:id="228"/>
    <w:bookmarkStart w:id="230"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 doi:</w:t>
      </w:r>
      <w:hyperlink r:id="rId229">
        <w:r>
          <w:rPr>
            <w:rStyle w:val="Hyperlink"/>
          </w:rPr>
          <w:t xml:space="preserve">10.1016/S0140-6736(11)61625-5</w:t>
        </w:r>
      </w:hyperlink>
    </w:p>
    <w:bookmarkEnd w:id="230"/>
    <w:bookmarkStart w:id="232"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 doi:</w:t>
      </w:r>
      <w:hyperlink r:id="rId231">
        <w:r>
          <w:rPr>
            <w:rStyle w:val="Hyperlink"/>
          </w:rPr>
          <w:t xml:space="preserve">10.1016/S0140-6736(11)60993-8</w:t>
        </w:r>
      </w:hyperlink>
    </w:p>
    <w:bookmarkEnd w:id="232"/>
    <w:bookmarkStart w:id="233"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33"/>
    <w:bookmarkStart w:id="235"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 doi:</w:t>
      </w:r>
      <w:hyperlink r:id="rId234">
        <w:r>
          <w:rPr>
            <w:rStyle w:val="Hyperlink"/>
          </w:rPr>
          <w:t xml:space="preserve">10.1590/0102-311X00074817</w:t>
        </w:r>
      </w:hyperlink>
    </w:p>
    <w:bookmarkEnd w:id="235"/>
    <w:bookmarkStart w:id="237"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 doi:</w:t>
      </w:r>
      <w:hyperlink r:id="rId236">
        <w:r>
          <w:rPr>
            <w:rStyle w:val="Hyperlink"/>
          </w:rPr>
          <w:t xml:space="preserve">10.1038/s41572-019-0111-2</w:t>
        </w:r>
      </w:hyperlink>
    </w:p>
    <w:bookmarkEnd w:id="237"/>
    <w:bookmarkStart w:id="239"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 doi:</w:t>
      </w:r>
      <w:hyperlink r:id="rId238">
        <w:r>
          <w:rPr>
            <w:rStyle w:val="Hyperlink"/>
          </w:rPr>
          <w:t xml:space="preserve">10.1038/35021093</w:t>
        </w:r>
      </w:hyperlink>
    </w:p>
    <w:bookmarkEnd w:id="239"/>
    <w:bookmarkStart w:id="241"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 doi:</w:t>
      </w:r>
      <w:hyperlink r:id="rId240">
        <w:r>
          <w:rPr>
            <w:rStyle w:val="Hyperlink"/>
          </w:rPr>
          <w:t xml:space="preserve">10.1073/pnas.191367098</w:t>
        </w:r>
      </w:hyperlink>
    </w:p>
    <w:bookmarkEnd w:id="241"/>
    <w:bookmarkStart w:id="243" w:name="ref-pratperou2011"/>
    <w:p>
      <w:pPr>
        <w:pStyle w:val="Bibliography"/>
      </w:pPr>
      <w:r>
        <w:t xml:space="preserve">10.</w:t>
      </w:r>
      <w:r>
        <w:t xml:space="preserve"> </w:t>
      </w:r>
      <w:r>
        <w:t xml:space="preserve">	</w:t>
      </w:r>
      <w:r>
        <w:t xml:space="preserve">Aleix Prat, Charles M Perou. Deconstructing the molecular portraits of breast cancer. Mol Oncol. 2011;5(1):5–23. doi:</w:t>
      </w:r>
      <w:hyperlink r:id="rId242">
        <w:r>
          <w:rPr>
            <w:rStyle w:val="Hyperlink"/>
          </w:rPr>
          <w:t xml:space="preserve">10.1016/j.molonc.2010.11.003</w:t>
        </w:r>
      </w:hyperlink>
    </w:p>
    <w:bookmarkEnd w:id="243"/>
    <w:bookmarkStart w:id="245"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 doi:</w:t>
      </w:r>
      <w:hyperlink r:id="rId244">
        <w:r>
          <w:rPr>
            <w:rStyle w:val="Hyperlink"/>
          </w:rPr>
          <w:t xml:space="preserve">10.1038/nature10983</w:t>
        </w:r>
      </w:hyperlink>
    </w:p>
    <w:bookmarkEnd w:id="245"/>
    <w:bookmarkStart w:id="247"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 doi:</w:t>
      </w:r>
      <w:hyperlink r:id="rId246">
        <w:r>
          <w:rPr>
            <w:rStyle w:val="Hyperlink"/>
          </w:rPr>
          <w:t xml:space="preserve">10.1038/ncomms11479</w:t>
        </w:r>
      </w:hyperlink>
    </w:p>
    <w:bookmarkEnd w:id="247"/>
    <w:bookmarkStart w:id="249"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 doi:</w:t>
      </w:r>
      <w:hyperlink r:id="rId248">
        <w:r>
          <w:rPr>
            <w:rStyle w:val="Hyperlink"/>
          </w:rPr>
          <w:t xml:space="preserve">10.1200/JCO.2008.18.1370</w:t>
        </w:r>
      </w:hyperlink>
    </w:p>
    <w:bookmarkEnd w:id="249"/>
    <w:bookmarkStart w:id="251"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 doi:</w:t>
      </w:r>
      <w:hyperlink r:id="rId250">
        <w:r>
          <w:rPr>
            <w:rStyle w:val="Hyperlink"/>
          </w:rPr>
          <w:t xml:space="preserve">10.1158/1078-0432.CCR-10-1282</w:t>
        </w:r>
      </w:hyperlink>
    </w:p>
    <w:bookmarkEnd w:id="251"/>
    <w:bookmarkStart w:id="253"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 doi:</w:t>
      </w:r>
      <w:hyperlink r:id="rId252">
        <w:r>
          <w:rPr>
            <w:rStyle w:val="Hyperlink"/>
          </w:rPr>
          <w:t xml:space="preserve">10.1158/1078-0432.CCR-12-0286</w:t>
        </w:r>
      </w:hyperlink>
    </w:p>
    <w:bookmarkEnd w:id="253"/>
    <w:bookmarkStart w:id="255"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 doi:</w:t>
      </w:r>
      <w:hyperlink r:id="rId254">
        <w:r>
          <w:rPr>
            <w:rStyle w:val="Hyperlink"/>
          </w:rPr>
          <w:t xml:space="preserve">10.1186/s12920-015-0129-6</w:t>
        </w:r>
      </w:hyperlink>
    </w:p>
    <w:bookmarkEnd w:id="255"/>
    <w:bookmarkStart w:id="257"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 doi:</w:t>
      </w:r>
      <w:hyperlink r:id="rId256">
        <w:r>
          <w:rPr>
            <w:rStyle w:val="Hyperlink"/>
          </w:rPr>
          <w:t xml:space="preserve">10.1200/JCO.2009.24.4798</w:t>
        </w:r>
      </w:hyperlink>
    </w:p>
    <w:bookmarkEnd w:id="257"/>
    <w:bookmarkStart w:id="259"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 doi:</w:t>
      </w:r>
      <w:hyperlink r:id="rId258">
        <w:r>
          <w:rPr>
            <w:rStyle w:val="Hyperlink"/>
          </w:rPr>
          <w:t xml:space="preserve">10.1093/annonc/mdt494</w:t>
        </w:r>
      </w:hyperlink>
    </w:p>
    <w:bookmarkEnd w:id="259"/>
    <w:bookmarkStart w:id="261"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 doi:</w:t>
      </w:r>
      <w:hyperlink r:id="rId260">
        <w:r>
          <w:rPr>
            <w:rStyle w:val="Hyperlink"/>
          </w:rPr>
          <w:t xml:space="preserve">10.1093/annonc/mdv221</w:t>
        </w:r>
      </w:hyperlink>
    </w:p>
    <w:bookmarkEnd w:id="261"/>
    <w:bookmarkStart w:id="263"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 doi:</w:t>
      </w:r>
      <w:hyperlink r:id="rId262">
        <w:r>
          <w:rPr>
            <w:rStyle w:val="Hyperlink"/>
          </w:rPr>
          <w:t xml:space="preserve">10.1093/annonc/mdz235</w:t>
        </w:r>
      </w:hyperlink>
    </w:p>
    <w:bookmarkEnd w:id="263"/>
    <w:bookmarkStart w:id="265"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 doi:</w:t>
      </w:r>
      <w:hyperlink r:id="rId264">
        <w:r>
          <w:rPr>
            <w:rStyle w:val="Hyperlink"/>
          </w:rPr>
          <w:t xml:space="preserve">10.1200/JCO.22.00069</w:t>
        </w:r>
      </w:hyperlink>
    </w:p>
    <w:bookmarkEnd w:id="265"/>
    <w:bookmarkStart w:id="267"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 doi:</w:t>
      </w:r>
      <w:hyperlink r:id="rId266">
        <w:r>
          <w:rPr>
            <w:rStyle w:val="Hyperlink"/>
          </w:rPr>
          <w:t xml:space="preserve">10.1056/NEJMoa041588</w:t>
        </w:r>
      </w:hyperlink>
    </w:p>
    <w:bookmarkEnd w:id="267"/>
    <w:bookmarkStart w:id="269"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 doi:</w:t>
      </w:r>
      <w:hyperlink r:id="rId268">
        <w:r>
          <w:rPr>
            <w:rStyle w:val="Hyperlink"/>
          </w:rPr>
          <w:t xml:space="preserve">10.1056/NEJMoa1804710</w:t>
        </w:r>
      </w:hyperlink>
    </w:p>
    <w:bookmarkEnd w:id="269"/>
    <w:bookmarkStart w:id="271"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 doi:</w:t>
      </w:r>
      <w:hyperlink r:id="rId270">
        <w:r>
          <w:rPr>
            <w:rStyle w:val="Hyperlink"/>
          </w:rPr>
          <w:t xml:space="preserve">10.1056/NEJMoa1904819</w:t>
        </w:r>
      </w:hyperlink>
    </w:p>
    <w:bookmarkEnd w:id="271"/>
    <w:bookmarkStart w:id="273"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 doi:</w:t>
      </w:r>
      <w:hyperlink r:id="rId272">
        <w:r>
          <w:rPr>
            <w:rStyle w:val="Hyperlink"/>
          </w:rPr>
          <w:t xml:space="preserve">10.1056/NEJMoa2108873</w:t>
        </w:r>
      </w:hyperlink>
    </w:p>
    <w:bookmarkEnd w:id="273"/>
    <w:bookmarkStart w:id="275"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 doi:</w:t>
      </w:r>
      <w:hyperlink r:id="rId274">
        <w:r>
          <w:rPr>
            <w:rStyle w:val="Hyperlink"/>
          </w:rPr>
          <w:t xml:space="preserve">10.1038/415530a</w:t>
        </w:r>
      </w:hyperlink>
    </w:p>
    <w:bookmarkEnd w:id="275"/>
    <w:bookmarkStart w:id="277"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 doi:</w:t>
      </w:r>
      <w:hyperlink r:id="rId276">
        <w:r>
          <w:rPr>
            <w:rStyle w:val="Hyperlink"/>
          </w:rPr>
          <w:t xml:space="preserve">10.1056/NEJMoa1602253</w:t>
        </w:r>
      </w:hyperlink>
    </w:p>
    <w:bookmarkEnd w:id="277"/>
    <w:bookmarkStart w:id="279"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 doi:</w:t>
      </w:r>
      <w:hyperlink r:id="rId278">
        <w:r>
          <w:rPr>
            <w:rStyle w:val="Hyperlink"/>
          </w:rPr>
          <w:t xml:space="preserve">10.1016/S1470-2045(21)00007-3</w:t>
        </w:r>
      </w:hyperlink>
    </w:p>
    <w:bookmarkEnd w:id="279"/>
    <w:bookmarkStart w:id="281"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 doi:</w:t>
      </w:r>
      <w:hyperlink r:id="rId280">
        <w:r>
          <w:rPr>
            <w:rStyle w:val="Hyperlink"/>
          </w:rPr>
          <w:t xml:space="preserve">10.1158/1078-0432.CCR-11-0926</w:t>
        </w:r>
      </w:hyperlink>
    </w:p>
    <w:bookmarkEnd w:id="281"/>
    <w:bookmarkStart w:id="283"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 doi:</w:t>
      </w:r>
      <w:hyperlink r:id="rId282">
        <w:r>
          <w:rPr>
            <w:rStyle w:val="Hyperlink"/>
          </w:rPr>
          <w:t xml:space="preserve">10.1158/1078-0432.CCR-13-0804</w:t>
        </w:r>
      </w:hyperlink>
    </w:p>
    <w:bookmarkEnd w:id="283"/>
    <w:bookmarkStart w:id="285"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 doi:</w:t>
      </w:r>
      <w:hyperlink r:id="rId284">
        <w:r>
          <w:rPr>
            <w:rStyle w:val="Hyperlink"/>
          </w:rPr>
          <w:t xml:space="preserve">10.1001/jamaoncol.2017.5524</w:t>
        </w:r>
      </w:hyperlink>
    </w:p>
    <w:bookmarkEnd w:id="285"/>
    <w:bookmarkStart w:id="287"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 doi:</w:t>
      </w:r>
      <w:hyperlink r:id="rId286">
        <w:r>
          <w:rPr>
            <w:rStyle w:val="Hyperlink"/>
          </w:rPr>
          <w:t xml:space="preserve">10.1186/s13059-014-0550-8</w:t>
        </w:r>
      </w:hyperlink>
    </w:p>
    <w:bookmarkEnd w:id="287"/>
    <w:bookmarkStart w:id="289"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 doi:</w:t>
      </w:r>
      <w:hyperlink r:id="rId288">
        <w:r>
          <w:rPr>
            <w:rStyle w:val="Hyperlink"/>
          </w:rPr>
          <w:t xml:space="preserve">10.1093/nar/gkv007</w:t>
        </w:r>
      </w:hyperlink>
    </w:p>
    <w:bookmarkEnd w:id="289"/>
    <w:bookmarkStart w:id="291"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 doi:</w:t>
      </w:r>
      <w:hyperlink r:id="rId290">
        <w:r>
          <w:rPr>
            <w:rStyle w:val="Hyperlink"/>
          </w:rPr>
          <w:t xml:space="preserve">10.1038/nrg2825</w:t>
        </w:r>
      </w:hyperlink>
    </w:p>
    <w:bookmarkEnd w:id="291"/>
    <w:bookmarkStart w:id="293"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 doi:</w:t>
      </w:r>
      <w:hyperlink r:id="rId292">
        <w:r>
          <w:rPr>
            <w:rStyle w:val="Hyperlink"/>
          </w:rPr>
          <w:t xml:space="preserve">10.1093/biostatistics/kxj037</w:t>
        </w:r>
      </w:hyperlink>
    </w:p>
    <w:bookmarkEnd w:id="293"/>
    <w:bookmarkStart w:id="295"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 doi:</w:t>
      </w:r>
      <w:hyperlink r:id="rId294">
        <w:r>
          <w:rPr>
            <w:rStyle w:val="Hyperlink"/>
          </w:rPr>
          <w:t xml:space="preserve">10.1186/s13073-015-0131-9</w:t>
        </w:r>
      </w:hyperlink>
    </w:p>
    <w:bookmarkEnd w:id="295"/>
    <w:bookmarkStart w:id="297"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 doi:</w:t>
      </w:r>
      <w:hyperlink r:id="rId296">
        <w:r>
          <w:rPr>
            <w:rStyle w:val="Hyperlink"/>
          </w:rPr>
          <w:t xml:space="preserve">10.1200/PO.17.00135</w:t>
        </w:r>
      </w:hyperlink>
    </w:p>
    <w:bookmarkEnd w:id="297"/>
    <w:bookmarkStart w:id="299" w:name="ref-tcga2012"/>
    <w:p>
      <w:pPr>
        <w:pStyle w:val="Bibliography"/>
      </w:pPr>
      <w:r>
        <w:t xml:space="preserve">38.</w:t>
      </w:r>
      <w:r>
        <w:t xml:space="preserve"> </w:t>
      </w:r>
      <w:r>
        <w:t xml:space="preserve">	</w:t>
      </w:r>
      <w:r>
        <w:t xml:space="preserve">TCGA Network. Comprehensive molecular portraits of human breast tumours. Nature. 2012;490(7418):61–70. doi:</w:t>
      </w:r>
      <w:hyperlink r:id="rId298">
        <w:r>
          <w:rPr>
            <w:rStyle w:val="Hyperlink"/>
          </w:rPr>
          <w:t xml:space="preserve">10.1038/nature11412</w:t>
        </w:r>
      </w:hyperlink>
    </w:p>
    <w:bookmarkEnd w:id="299"/>
    <w:bookmarkStart w:id="301"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2011;11:143. doi:</w:t>
      </w:r>
      <w:hyperlink r:id="rId300">
        <w:r>
          <w:rPr>
            <w:rStyle w:val="Hyperlink"/>
          </w:rPr>
          <w:t xml:space="preserve">10.1186/1471-2407-11-143</w:t>
        </w:r>
      </w:hyperlink>
    </w:p>
    <w:bookmarkEnd w:id="301"/>
    <w:bookmarkStart w:id="303"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 doi:</w:t>
      </w:r>
      <w:hyperlink r:id="rId302">
        <w:r>
          <w:rPr>
            <w:rStyle w:val="Hyperlink"/>
          </w:rPr>
          <w:t xml:space="preserve">10.1186/bcr1325</w:t>
        </w:r>
      </w:hyperlink>
    </w:p>
    <w:bookmarkEnd w:id="303"/>
    <w:bookmarkStart w:id="305"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 doi:</w:t>
      </w:r>
      <w:hyperlink r:id="rId304">
        <w:r>
          <w:rPr>
            <w:rStyle w:val="Hyperlink"/>
          </w:rPr>
          <w:t xml:space="preserve">10.1001/jama.2011.593</w:t>
        </w:r>
      </w:hyperlink>
    </w:p>
    <w:bookmarkEnd w:id="305"/>
    <w:bookmarkStart w:id="307"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 doi:</w:t>
      </w:r>
      <w:hyperlink r:id="rId306">
        <w:r>
          <w:rPr>
            <w:rStyle w:val="Hyperlink"/>
          </w:rPr>
          <w:t xml:space="preserve">10.1038/nbt.1665</w:t>
        </w:r>
      </w:hyperlink>
    </w:p>
    <w:bookmarkEnd w:id="307"/>
    <w:bookmarkStart w:id="309"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 doi:</w:t>
      </w:r>
      <w:hyperlink r:id="rId308">
        <w:r>
          <w:rPr>
            <w:rStyle w:val="Hyperlink"/>
          </w:rPr>
          <w:t xml:space="preserve">10.1111/j.1349-7006.2012.02241.x</w:t>
        </w:r>
      </w:hyperlink>
    </w:p>
    <w:bookmarkEnd w:id="309"/>
    <w:bookmarkStart w:id="311"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 doi:</w:t>
      </w:r>
      <w:hyperlink r:id="rId310">
        <w:r>
          <w:rPr>
            <w:rStyle w:val="Hyperlink"/>
          </w:rPr>
          <w:t xml:space="preserve">10.1007/s10549-011-1895-2</w:t>
        </w:r>
      </w:hyperlink>
    </w:p>
    <w:bookmarkEnd w:id="311"/>
    <w:bookmarkStart w:id="313"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 doi:</w:t>
      </w:r>
      <w:hyperlink r:id="rId312">
        <w:r>
          <w:rPr>
            <w:rStyle w:val="Hyperlink"/>
          </w:rPr>
          <w:t xml:space="preserve">10.1016/j.ccell.2022.05.005</w:t>
        </w:r>
      </w:hyperlink>
    </w:p>
    <w:bookmarkEnd w:id="313"/>
    <w:bookmarkStart w:id="315"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 doi:</w:t>
      </w:r>
      <w:hyperlink r:id="rId314">
        <w:r>
          <w:rPr>
            <w:rStyle w:val="Hyperlink"/>
          </w:rPr>
          <w:t xml:space="preserve">10.7326/M14-0698</w:t>
        </w:r>
      </w:hyperlink>
    </w:p>
    <w:bookmarkEnd w:id="315"/>
    <w:bookmarkStart w:id="317"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 doi:</w:t>
      </w:r>
      <w:hyperlink r:id="rId316">
        <w:r>
          <w:rPr>
            <w:rStyle w:val="Hyperlink"/>
          </w:rPr>
          <w:t xml:space="preserve">10.1136/bmj.g7594</w:t>
        </w:r>
      </w:hyperlink>
    </w:p>
    <w:bookmarkEnd w:id="317"/>
    <w:bookmarkStart w:id="319"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 doi:</w:t>
      </w:r>
      <w:hyperlink r:id="rId318">
        <w:r>
          <w:rPr>
            <w:rStyle w:val="Hyperlink"/>
          </w:rPr>
          <w:t xml:space="preserve">10.1186/1471-2288-13-33</w:t>
        </w:r>
      </w:hyperlink>
    </w:p>
    <w:bookmarkEnd w:id="319"/>
    <w:bookmarkStart w:id="321"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 doi:</w:t>
      </w:r>
      <w:hyperlink r:id="rId320">
        <w:r>
          <w:rPr>
            <w:rStyle w:val="Hyperlink"/>
          </w:rPr>
          <w:t xml:space="preserve">10.1016/j.jclinepi.2015.04.005</w:t>
        </w:r>
      </w:hyperlink>
    </w:p>
    <w:bookmarkEnd w:id="321"/>
    <w:bookmarkStart w:id="323"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 doi:</w:t>
      </w:r>
      <w:hyperlink r:id="rId322">
        <w:r>
          <w:rPr>
            <w:rStyle w:val="Hyperlink"/>
          </w:rPr>
          <w:t xml:space="preserve">10.1093/bioinformatics/btp616</w:t>
        </w:r>
      </w:hyperlink>
    </w:p>
    <w:bookmarkEnd w:id="323"/>
    <w:bookmarkStart w:id="325"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 doi:</w:t>
      </w:r>
      <w:hyperlink r:id="rId324">
        <w:r>
          <w:rPr>
            <w:rStyle w:val="Hyperlink"/>
          </w:rPr>
          <w:t xml:space="preserve">10.1186/gb-2010-11-3-r25</w:t>
        </w:r>
      </w:hyperlink>
    </w:p>
    <w:bookmarkEnd w:id="325"/>
    <w:bookmarkStart w:id="327" w:name="ref-zou2005"/>
    <w:p>
      <w:pPr>
        <w:pStyle w:val="Bibliography"/>
      </w:pPr>
      <w:r>
        <w:t xml:space="preserve">52.</w:t>
      </w:r>
      <w:r>
        <w:t xml:space="preserve"> </w:t>
      </w:r>
      <w:r>
        <w:t xml:space="preserve">	</w:t>
      </w:r>
      <w:r>
        <w:t xml:space="preserve">Hui Zou, Trevor Hastie. Regularization and variable selection via the elastic net. J R Stat Soc B. 2005;67(2):301–20. doi:</w:t>
      </w:r>
      <w:hyperlink r:id="rId326">
        <w:r>
          <w:rPr>
            <w:rStyle w:val="Hyperlink"/>
          </w:rPr>
          <w:t xml:space="preserve">10.1111/j.1467-9868.2005.00503.x</w:t>
        </w:r>
      </w:hyperlink>
    </w:p>
    <w:bookmarkEnd w:id="327"/>
    <w:bookmarkStart w:id="329" w:name="ref-tibshirani1996"/>
    <w:p>
      <w:pPr>
        <w:pStyle w:val="Bibliography"/>
      </w:pPr>
      <w:r>
        <w:t xml:space="preserve">53.</w:t>
      </w:r>
      <w:r>
        <w:t xml:space="preserve"> </w:t>
      </w:r>
      <w:r>
        <w:t xml:space="preserve">	</w:t>
      </w:r>
      <w:r>
        <w:t xml:space="preserve">Robert Tibshirani. Regression shrinkage and selection via the lasso. J R Stat Soc B. 1996;58(1):267–88. doi:</w:t>
      </w:r>
      <w:hyperlink r:id="rId328">
        <w:r>
          <w:rPr>
            <w:rStyle w:val="Hyperlink"/>
          </w:rPr>
          <w:t xml:space="preserve">10.1111/j.2517-6161.1996.tb02080.x</w:t>
        </w:r>
      </w:hyperlink>
    </w:p>
    <w:bookmarkEnd w:id="329"/>
    <w:bookmarkStart w:id="331"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 doi:</w:t>
      </w:r>
      <w:hyperlink r:id="rId330">
        <w:r>
          <w:rPr>
            <w:rStyle w:val="Hyperlink"/>
          </w:rPr>
          <w:t xml:space="preserve">10.1002/(SICI)1097-0258(19970228)16:4&lt;385::AID-SIM380&gt;3.0.CO;2-3</w:t>
        </w:r>
      </w:hyperlink>
    </w:p>
    <w:bookmarkEnd w:id="331"/>
    <w:bookmarkStart w:id="333"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 doi:</w:t>
      </w:r>
      <w:hyperlink r:id="rId332">
        <w:r>
          <w:rPr>
            <w:rStyle w:val="Hyperlink"/>
          </w:rPr>
          <w:t xml:space="preserve">10.18637/jss.v033.i01</w:t>
        </w:r>
      </w:hyperlink>
    </w:p>
    <w:bookmarkEnd w:id="333"/>
    <w:bookmarkStart w:id="335"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 doi:</w:t>
      </w:r>
      <w:hyperlink r:id="rId334">
        <w:r>
          <w:rPr>
            <w:rStyle w:val="Hyperlink"/>
          </w:rPr>
          <w:t xml:space="preserve">10.18637/jss.v039.i05</w:t>
        </w:r>
      </w:hyperlink>
    </w:p>
    <w:bookmarkEnd w:id="335"/>
    <w:bookmarkStart w:id="337"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 doi:</w:t>
      </w:r>
      <w:hyperlink r:id="rId336">
        <w:r>
          <w:rPr>
            <w:rStyle w:val="Hyperlink"/>
          </w:rPr>
          <w:t xml:space="preserve">10.1093/biomet/81.3.515</w:t>
        </w:r>
      </w:hyperlink>
    </w:p>
    <w:bookmarkEnd w:id="337"/>
    <w:bookmarkStart w:id="339"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 doi:</w:t>
      </w:r>
      <w:hyperlink r:id="rId338">
        <w:r>
          <w:rPr>
            <w:rStyle w:val="Hyperlink"/>
          </w:rPr>
          <w:t xml:space="preserve">10.1007/978-1-4757-3294-8</w:t>
        </w:r>
      </w:hyperlink>
    </w:p>
    <w:bookmarkEnd w:id="339"/>
    <w:bookmarkStart w:id="341"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 doi:</w:t>
      </w:r>
      <w:hyperlink r:id="rId340">
        <w:r>
          <w:rPr>
            <w:rStyle w:val="Hyperlink"/>
          </w:rPr>
          <w:t xml:space="preserve">10.1001/jama.1982.03320430047030</w:t>
        </w:r>
      </w:hyperlink>
    </w:p>
    <w:bookmarkEnd w:id="341"/>
    <w:bookmarkStart w:id="343" w:name="ref-efron1979"/>
    <w:p>
      <w:pPr>
        <w:pStyle w:val="Bibliography"/>
      </w:pPr>
      <w:r>
        <w:t xml:space="preserve">60.</w:t>
      </w:r>
      <w:r>
        <w:t xml:space="preserve"> </w:t>
      </w:r>
      <w:r>
        <w:t xml:space="preserve">	</w:t>
      </w:r>
      <w:r>
        <w:t xml:space="preserve">Bradley Efron. Bootstrap methods: another look at the jackknife. Ann Stat. 1979;7(1):1–26. doi:</w:t>
      </w:r>
      <w:hyperlink r:id="rId342">
        <w:r>
          <w:rPr>
            <w:rStyle w:val="Hyperlink"/>
          </w:rPr>
          <w:t xml:space="preserve">10.1214/aos/1176344552</w:t>
        </w:r>
      </w:hyperlink>
    </w:p>
    <w:bookmarkEnd w:id="343"/>
    <w:bookmarkStart w:id="345"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 doi:</w:t>
      </w:r>
      <w:hyperlink r:id="rId344">
        <w:r>
          <w:rPr>
            <w:rStyle w:val="Hyperlink"/>
          </w:rPr>
          <w:t xml:space="preserve">10.1002/sim.4154</w:t>
        </w:r>
      </w:hyperlink>
    </w:p>
    <w:bookmarkEnd w:id="345"/>
    <w:bookmarkStart w:id="347"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 doi:</w:t>
      </w:r>
      <w:hyperlink r:id="rId346">
        <w:r>
          <w:rPr>
            <w:rStyle w:val="Hyperlink"/>
          </w:rPr>
          <w:t xml:space="preserve">10.1002/sim.5958</w:t>
        </w:r>
      </w:hyperlink>
    </w:p>
    <w:bookmarkEnd w:id="347"/>
    <w:bookmarkStart w:id="349"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 doi:</w:t>
      </w:r>
      <w:hyperlink r:id="rId348">
        <w:r>
          <w:rPr>
            <w:rStyle w:val="Hyperlink"/>
          </w:rPr>
          <w:t xml:space="preserve">10.1080/01621459.1999.10474144</w:t>
        </w:r>
      </w:hyperlink>
    </w:p>
    <w:bookmarkEnd w:id="349"/>
    <w:bookmarkStart w:id="351"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 doi:</w:t>
      </w:r>
      <w:hyperlink r:id="rId350">
        <w:r>
          <w:rPr>
            <w:rStyle w:val="Hyperlink"/>
          </w:rPr>
          <w:t xml:space="preserve">10.1016/j.jclinepi.2015.12.005</w:t>
        </w:r>
      </w:hyperlink>
    </w:p>
    <w:bookmarkEnd w:id="351"/>
    <w:bookmarkStart w:id="353"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 doi:</w:t>
      </w:r>
      <w:hyperlink r:id="rId352">
        <w:r>
          <w:rPr>
            <w:rStyle w:val="Hyperlink"/>
          </w:rPr>
          <w:t xml:space="preserve">10.1186/s12916-019-1466-7</w:t>
        </w:r>
      </w:hyperlink>
    </w:p>
    <w:bookmarkEnd w:id="353"/>
    <w:bookmarkStart w:id="355"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 doi:</w:t>
      </w:r>
      <w:hyperlink r:id="rId354">
        <w:r>
          <w:rPr>
            <w:rStyle w:val="Hyperlink"/>
          </w:rPr>
          <w:t xml:space="preserve">10.1177/0272989X06295361</w:t>
        </w:r>
      </w:hyperlink>
    </w:p>
    <w:bookmarkEnd w:id="355"/>
    <w:bookmarkStart w:id="357"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 doi:</w:t>
      </w:r>
      <w:hyperlink r:id="rId356">
        <w:r>
          <w:rPr>
            <w:rStyle w:val="Hyperlink"/>
          </w:rPr>
          <w:t xml:space="preserve">10.18637/jss.v036.i03</w:t>
        </w:r>
      </w:hyperlink>
    </w:p>
    <w:bookmarkEnd w:id="357"/>
    <w:bookmarkStart w:id="359"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 doi:</w:t>
      </w:r>
      <w:hyperlink r:id="rId358">
        <w:r>
          <w:rPr>
            <w:rStyle w:val="Hyperlink"/>
          </w:rPr>
          <w:t xml:space="preserve">10.1136/bmj.327.7414.557</w:t>
        </w:r>
      </w:hyperlink>
    </w:p>
    <w:bookmarkEnd w:id="359"/>
    <w:bookmarkStart w:id="361"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 doi:</w:t>
      </w:r>
      <w:hyperlink r:id="rId360">
        <w:r>
          <w:rPr>
            <w:rStyle w:val="Hyperlink"/>
          </w:rPr>
          <w:t xml:space="preserve">10.1002/sim.1009</w:t>
        </w:r>
      </w:hyperlink>
    </w:p>
    <w:bookmarkEnd w:id="361"/>
    <w:bookmarkStart w:id="363" w:name="ref-dersimonian1986"/>
    <w:p>
      <w:pPr>
        <w:pStyle w:val="Bibliography"/>
      </w:pPr>
      <w:r>
        <w:t xml:space="preserve">70.</w:t>
      </w:r>
      <w:r>
        <w:t xml:space="preserve"> </w:t>
      </w:r>
      <w:r>
        <w:t xml:space="preserve">	</w:t>
      </w:r>
      <w:r>
        <w:t xml:space="preserve">Rebecca DerSimonian, Nan Laird. Meta-analysis in clinical trials. Control Clin Trials. 1986;7(3):177–88. doi:</w:t>
      </w:r>
      <w:hyperlink r:id="rId362">
        <w:r>
          <w:rPr>
            <w:rStyle w:val="Hyperlink"/>
          </w:rPr>
          <w:t xml:space="preserve">10.1016/0197-2456(86)90046-2</w:t>
        </w:r>
      </w:hyperlink>
    </w:p>
    <w:bookmarkEnd w:id="363"/>
    <w:bookmarkStart w:id="365"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 doi:</w:t>
      </w:r>
      <w:hyperlink r:id="rId364">
        <w:r>
          <w:rPr>
            <w:rStyle w:val="Hyperlink"/>
          </w:rPr>
          <w:t xml:space="preserve">10.1093/bioinformatics/btv693</w:t>
        </w:r>
      </w:hyperlink>
    </w:p>
    <w:bookmarkEnd w:id="365"/>
    <w:bookmarkStart w:id="367"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 doi:</w:t>
      </w:r>
      <w:hyperlink r:id="rId366">
        <w:r>
          <w:rPr>
            <w:rStyle w:val="Hyperlink"/>
          </w:rPr>
          <w:t xml:space="preserve">10.1093/jnci/djp082</w:t>
        </w:r>
      </w:hyperlink>
    </w:p>
    <w:bookmarkEnd w:id="367"/>
    <w:bookmarkStart w:id="369"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 doi:</w:t>
      </w:r>
      <w:hyperlink r:id="rId368">
        <w:r>
          <w:rPr>
            <w:rStyle w:val="Hyperlink"/>
          </w:rPr>
          <w:t xml:space="preserve">10.1016/S1470-2045(17)30904-X</w:t>
        </w:r>
      </w:hyperlink>
    </w:p>
    <w:bookmarkEnd w:id="369"/>
    <w:bookmarkStart w:id="371"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 doi:</w:t>
      </w:r>
      <w:hyperlink r:id="rId370">
        <w:r>
          <w:rPr>
            <w:rStyle w:val="Hyperlink"/>
          </w:rPr>
          <w:t xml:space="preserve">10.1016/S0140-6736(13)62422-8</w:t>
        </w:r>
      </w:hyperlink>
    </w:p>
    <w:bookmarkEnd w:id="371"/>
    <w:bookmarkStart w:id="373"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 doi:</w:t>
      </w:r>
      <w:hyperlink r:id="rId372">
        <w:r>
          <w:rPr>
            <w:rStyle w:val="Hyperlink"/>
          </w:rPr>
          <w:t xml:space="preserve">10.1186/s12916-015-0540-z</w:t>
        </w:r>
      </w:hyperlink>
    </w:p>
    <w:bookmarkEnd w:id="373"/>
    <w:bookmarkStart w:id="374"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p>
    <w:bookmarkEnd w:id="374"/>
    <w:bookmarkEnd w:id="375"/>
    <w:p>
      <w:r>
        <w:br w:type="page"/>
      </w:r>
    </w:p>
    <w:bookmarkEnd w:id="376"/>
    <w:bookmarkStart w:id="377" w:name="X293bd8642eec1deb629193149a9dbe8c13535f6"/>
    <w:p>
      <w:pPr>
        <w:pStyle w:val="Heading1"/>
      </w:pPr>
      <w:r>
        <w:t xml:space="preserve">APÊNDICE A — Artigo submetido ao</w:t>
      </w:r>
      <w:r>
        <w:t xml:space="preserve"> </w:t>
      </w:r>
      <w:r>
        <w:rPr>
          <w:i/>
          <w:iCs/>
        </w:rPr>
        <w:t xml:space="preserve">Breast Cancer Research</w:t>
      </w:r>
    </w:p>
    <w:p>
      <w:pPr>
        <w:pStyle w:val="FirstParagraph"/>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câncer prognosis”</w:t>
      </w:r>
      <w:r>
        <w:rPr>
          <w:vertAlign w:val="superscript"/>
        </w:rPr>
        <w:t xml:space="preserve">76</w:t>
      </w:r>
      <w:r>
        <w:t xml:space="preserve"> </w:t>
      </w:r>
      <w:r>
        <w:t xml:space="preserve">foi submetido ao periódico Breast Câncer Research (Springer Nature, fator de impacto 7.4). A revisão Round 2 foi submetida em 13 de abril de 2026, encontrando-se em avaliação editorial.</w:t>
      </w:r>
    </w:p>
    <w:p>
      <w:r>
        <w:br w:type="page"/>
      </w:r>
    </w:p>
    <w:bookmarkEnd w:id="377"/>
    <w:bookmarkStart w:id="380" w:name="apêndice-b-pipeline-computacional"/>
    <w:p>
      <w:pPr>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 https://github.com/RafaelBotan/CorePAM-Study e compreende 36 scripts R numerados sequencialmente (00 a 36).</w:t>
      </w:r>
    </w:p>
    <w:p>
      <w:pPr>
        <w:jc w:val="left"/>
        <w:spacing w:before="200"/>
        <w:pStyle w:val="ImageCaption"/>
      </w:pPr>
      <w:bookmarkStart w:id="378" w:name="tbl-pipeline-org"/>
      <w:r>
        <w:t xml:space="preserve">Tabela 18 — Organização do</w:t>
      </w:r>
      <w:r>
        <w:t xml:space="preserve"> </w:t>
      </w:r>
      <w:r>
        <w:rPr>
          <w:i/>
          <w:iCs/>
        </w:rPr>
        <w:t xml:space="preserve">pipeline</w:t>
      </w:r>
      <w:r>
        <w:t xml:space="preserve"> </w:t>
      </w:r>
      <w:r>
        <w:t xml:space="preserve">computacional</w:t>
      </w:r>
    </w:p>
    <w:tbl>
      <w:tblPr>
        <w:tblStyle w:val="Table"/>
        <w:tblW w:type="dxa" w:w="8640"/>
        <w:tblLayout w:type="fixed"/>
        <w:tblLook w:firstRow="1" w:lastRow="0" w:firstColumn="0" w:lastColumn="0" w:noHBand="0" w:noVBand="0" w:val="0020"/>
      </w:tblPr>
      <w:tblGrid>
        <w:gridCol w:w="3313"/>
        <w:gridCol w:w="1595"/>
        <w:gridCol w:w="3732"/>
      </w:tblGrid>
      <w:tr>
        <w:trPr>
          <w:tblHeader w:val="on"/>
        </w:trPr>
        <w:tc>
          <w:tcPr>
            <w:tcW w:w="3313" w:type="dxa"/>
          </w:tcPr>
          <w:p>
            <w:pPr>
              <w:pStyle w:val="Compact"/>
              <w:jc w:val="center"/>
            </w:pPr>
            <w:r>
              <w:t xml:space="preserve">Bloco</w:t>
            </w:r>
          </w:p>
        </w:tc>
        <w:tc>
          <w:tcPr>
            <w:tcW w:w="1595" w:type="dxa"/>
          </w:tcPr>
          <w:p>
            <w:pPr>
              <w:pStyle w:val="Compact"/>
              <w:jc w:val="center"/>
            </w:pPr>
            <w:r>
              <w:t xml:space="preserve">Scripts</w:t>
            </w:r>
          </w:p>
        </w:tc>
        <w:tc>
          <w:tcPr>
            <w:tcW w:w="3732" w:type="dxa"/>
          </w:tcPr>
          <w:p>
            <w:pPr>
              <w:pStyle w:val="Compact"/>
              <w:jc w:val="center"/>
            </w:pPr>
            <w:r>
              <w:t xml:space="preserve">Função</w:t>
            </w:r>
          </w:p>
        </w:tc>
      </w:tr>
      <w:tr>
        <w:tc>
          <w:tcPr>
            <w:tcW w:w="3313" w:type="dxa"/>
          </w:tcPr>
          <w:p>
            <w:pPr>
              <w:pStyle w:val="Compact"/>
              <w:jc w:val="center"/>
            </w:pPr>
            <w:r>
              <w:t xml:space="preserve">Setup</w:t>
            </w:r>
          </w:p>
        </w:tc>
        <w:tc>
          <w:tcPr>
            <w:tcW w:w="1595" w:type="dxa"/>
          </w:tcPr>
          <w:p>
            <w:pPr>
              <w:pStyle w:val="Compact"/>
              <w:jc w:val="center"/>
            </w:pPr>
            <w:r>
              <w:t xml:space="preserve">00</w:t>
            </w:r>
          </w:p>
        </w:tc>
        <w:tc>
          <w:tcPr>
            <w:tcW w:w="3732" w:type="dxa"/>
          </w:tcPr>
          <w:p>
            <w:pPr>
              <w:pStyle w:val="Compact"/>
              <w:jc w:val="center"/>
            </w:pPr>
            <w:r>
              <w:t xml:space="preserve">Configuração do ambiente e parâmetros congelados</w:t>
            </w:r>
          </w:p>
        </w:tc>
      </w:tr>
      <w:tr>
        <w:tc>
          <w:tcPr>
            <w:tcW w:w="3313" w:type="dxa"/>
          </w:tcPr>
          <w:p>
            <w:pPr>
              <w:pStyle w:val="Compact"/>
              <w:jc w:val="center"/>
            </w:pPr>
            <w:r>
              <w:t xml:space="preserve">Dados</w:t>
            </w:r>
          </w:p>
        </w:tc>
        <w:tc>
          <w:tcPr>
            <w:tcW w:w="1595" w:type="dxa"/>
          </w:tcPr>
          <w:p>
            <w:pPr>
              <w:pStyle w:val="Compact"/>
              <w:jc w:val="center"/>
            </w:pPr>
            <w:r>
              <w:t xml:space="preserve">01-04</w:t>
            </w:r>
          </w:p>
        </w:tc>
        <w:tc>
          <w:tcPr>
            <w:tcW w:w="3732" w:type="dxa"/>
          </w:tcPr>
          <w:p>
            <w:pPr>
              <w:pStyle w:val="Compact"/>
              <w:jc w:val="center"/>
            </w:pPr>
            <w:r>
              <w:t xml:space="preserve">Download, harmonização clínica, pré-processamento</w:t>
            </w:r>
          </w:p>
        </w:tc>
      </w:tr>
      <w:tr>
        <w:tc>
          <w:tcPr>
            <w:tcW w:w="3313" w:type="dxa"/>
          </w:tcPr>
          <w:p>
            <w:pPr>
              <w:pStyle w:val="Compact"/>
              <w:jc w:val="center"/>
            </w:pPr>
            <w:r>
              <w:t xml:space="preserve">Derivação</w:t>
            </w:r>
          </w:p>
        </w:tc>
        <w:tc>
          <w:tcPr>
            <w:tcW w:w="1595" w:type="dxa"/>
          </w:tcPr>
          <w:p>
            <w:pPr>
              <w:pStyle w:val="Compact"/>
              <w:jc w:val="center"/>
            </w:pPr>
            <w:r>
              <w:t xml:space="preserve">05</w:t>
            </w:r>
          </w:p>
        </w:tc>
        <w:tc>
          <w:tcPr>
            <w:tcW w:w="3732" w:type="dxa"/>
          </w:tcPr>
          <w:p>
            <w:pPr>
              <w:pStyle w:val="Compact"/>
              <w:jc w:val="center"/>
            </w:pPr>
            <w:r>
              <w:t xml:space="preserve">Derivação do CorePAM (CONGELADO)</w:t>
            </w:r>
          </w:p>
        </w:tc>
      </w:tr>
      <w:tr>
        <w:tc>
          <w:tcPr>
            <w:tcW w:w="3313" w:type="dxa"/>
          </w:tcPr>
          <w:p>
            <w:pPr>
              <w:pStyle w:val="Compact"/>
              <w:jc w:val="center"/>
            </w:pPr>
            <w:r>
              <w:t xml:space="preserve">Scoring</w:t>
            </w:r>
          </w:p>
        </w:tc>
        <w:tc>
          <w:tcPr>
            <w:tcW w:w="1595" w:type="dxa"/>
          </w:tcPr>
          <w:p>
            <w:pPr>
              <w:pStyle w:val="Compact"/>
              <w:jc w:val="center"/>
            </w:pPr>
            <w:r>
              <w:t xml:space="preserve">06</w:t>
            </w:r>
          </w:p>
        </w:tc>
        <w:tc>
          <w:tcPr>
            <w:tcW w:w="3732" w:type="dxa"/>
          </w:tcPr>
          <w:p>
            <w:pPr>
              <w:pStyle w:val="Compact"/>
              <w:jc w:val="center"/>
            </w:pPr>
            <w:r>
              <w:t xml:space="preserve">Z-</w:t>
            </w:r>
            <w:r>
              <w:rPr>
                <w:i/>
                <w:iCs/>
              </w:rPr>
              <w:t xml:space="preserve">score</w:t>
            </w:r>
            <w:r>
              <w:t xml:space="preserve"> </w:t>
            </w:r>
            <w:r>
              <w:t xml:space="preserve">e cálculo do escore por coorte</w:t>
            </w:r>
          </w:p>
        </w:tc>
      </w:tr>
      <w:tr>
        <w:tc>
          <w:tcPr>
            <w:tcW w:w="3313" w:type="dxa"/>
          </w:tcPr>
          <w:p>
            <w:pPr>
              <w:pStyle w:val="Compact"/>
              <w:jc w:val="center"/>
            </w:pPr>
            <w:r>
              <w:t xml:space="preserve">Sobrevida</w:t>
            </w:r>
          </w:p>
        </w:tc>
        <w:tc>
          <w:tcPr>
            <w:tcW w:w="1595" w:type="dxa"/>
          </w:tcPr>
          <w:p>
            <w:pPr>
              <w:pStyle w:val="Compact"/>
              <w:jc w:val="center"/>
            </w:pPr>
            <w:r>
              <w:t xml:space="preserve">07-08</w:t>
            </w:r>
          </w:p>
        </w:tc>
        <w:tc>
          <w:tcPr>
            <w:tcW w:w="3732" w:type="dxa"/>
          </w:tcPr>
          <w:p>
            <w:pPr>
              <w:pStyle w:val="Compact"/>
              <w:jc w:val="center"/>
            </w:pPr>
            <w:r>
              <w:t xml:space="preserve">Análise de sobrevida + meta-análise</w:t>
            </w:r>
          </w:p>
        </w:tc>
      </w:tr>
      <w:tr>
        <w:tc>
          <w:tcPr>
            <w:tcW w:w="3313" w:type="dxa"/>
          </w:tcPr>
          <w:p>
            <w:pPr>
              <w:pStyle w:val="Compact"/>
              <w:jc w:val="center"/>
            </w:pPr>
            <w:r>
              <w:t xml:space="preserve">Valor incremental</w:t>
            </w:r>
          </w:p>
        </w:tc>
        <w:tc>
          <w:tcPr>
            <w:tcW w:w="1595" w:type="dxa"/>
          </w:tcPr>
          <w:p>
            <w:pPr>
              <w:pStyle w:val="Compact"/>
              <w:jc w:val="center"/>
            </w:pPr>
            <w:r>
              <w:t xml:space="preserve">11</w:t>
            </w:r>
          </w:p>
        </w:tc>
        <w:tc>
          <w:tcPr>
            <w:tcW w:w="3732" w:type="dxa"/>
          </w:tcPr>
          <w:p>
            <w:pPr>
              <w:pStyle w:val="Compact"/>
              <w:jc w:val="center"/>
            </w:pPr>
            <w:r>
              <w:t xml:space="preserve">Delta-</w:t>
            </w:r>
            <w:r>
              <w:rPr>
                <w:i/>
                <w:iCs/>
              </w:rPr>
              <w:t xml:space="preserve">C-index</w:t>
            </w:r>
            <w:r>
              <w:t xml:space="preserve"> </w:t>
            </w:r>
            <w:r>
              <w:t xml:space="preserve">e DCA</w:t>
            </w:r>
          </w:p>
        </w:tc>
      </w:tr>
      <w:tr>
        <w:tc>
          <w:tcPr>
            <w:tcW w:w="3313" w:type="dxa"/>
          </w:tcPr>
          <w:p>
            <w:pPr>
              <w:pStyle w:val="Compact"/>
              <w:jc w:val="center"/>
            </w:pPr>
            <w:r>
              <w:t xml:space="preserve">QC</w:t>
            </w:r>
          </w:p>
        </w:tc>
        <w:tc>
          <w:tcPr>
            <w:tcW w:w="1595" w:type="dxa"/>
          </w:tcPr>
          <w:p>
            <w:pPr>
              <w:pStyle w:val="Compact"/>
              <w:jc w:val="center"/>
            </w:pPr>
            <w:r>
              <w:t xml:space="preserve">13-16</w:t>
            </w:r>
          </w:p>
        </w:tc>
        <w:tc>
          <w:tcPr>
            <w:tcW w:w="3732" w:type="dxa"/>
          </w:tcPr>
          <w:p>
            <w:pPr>
              <w:pStyle w:val="Compact"/>
              <w:jc w:val="center"/>
            </w:pPr>
            <w:r>
              <w:t xml:space="preserve">Correlações, PCA, schema, anti-hardcoding</w:t>
            </w:r>
          </w:p>
        </w:tc>
      </w:tr>
      <w:tr>
        <w:tc>
          <w:tcPr>
            <w:tcW w:w="3313" w:type="dxa"/>
          </w:tcPr>
          <w:p>
            <w:pPr>
              <w:pStyle w:val="Compact"/>
              <w:jc w:val="center"/>
            </w:pPr>
            <w:r>
              <w:t xml:space="preserve">pCR</w:t>
            </w:r>
          </w:p>
        </w:tc>
        <w:tc>
          <w:tcPr>
            <w:tcW w:w="1595" w:type="dxa"/>
          </w:tcPr>
          <w:p>
            <w:pPr>
              <w:pStyle w:val="Compact"/>
              <w:jc w:val="center"/>
            </w:pPr>
            <w:r>
              <w:t xml:space="preserve">19-23b</w:t>
            </w:r>
          </w:p>
        </w:tc>
        <w:tc>
          <w:tcPr>
            <w:tcW w:w="3732" w:type="dxa"/>
          </w:tcPr>
          <w:p>
            <w:pPr>
              <w:pStyle w:val="Compact"/>
              <w:jc w:val="center"/>
            </w:pPr>
            <w:r>
              <w:t xml:space="preserve">Download, preparação, análise e figuras de pCR</w:t>
            </w:r>
          </w:p>
        </w:tc>
      </w:tr>
      <w:tr>
        <w:tc>
          <w:tcPr>
            <w:tcW w:w="3313" w:type="dxa"/>
          </w:tcPr>
          <w:p>
            <w:pPr>
              <w:pStyle w:val="Compact"/>
              <w:jc w:val="center"/>
            </w:pPr>
            <w:r>
              <w:t xml:space="preserve">4a coorte</w:t>
            </w:r>
          </w:p>
        </w:tc>
        <w:tc>
          <w:tcPr>
            <w:tcW w:w="1595" w:type="dxa"/>
          </w:tcPr>
          <w:p>
            <w:pPr>
              <w:pStyle w:val="Compact"/>
              <w:jc w:val="center"/>
            </w:pPr>
            <w:r>
              <w:t xml:space="preserve">24</w:t>
            </w:r>
          </w:p>
        </w:tc>
        <w:tc>
          <w:tcPr>
            <w:tcW w:w="3732" w:type="dxa"/>
          </w:tcPr>
          <w:p>
            <w:pPr>
              <w:pStyle w:val="Compact"/>
              <w:jc w:val="center"/>
            </w:pPr>
            <w:r>
              <w:t xml:space="preserve">Integração GSE1456 (Stockholm)</w:t>
            </w:r>
          </w:p>
        </w:tc>
      </w:tr>
      <w:tr>
        <w:tc>
          <w:tcPr>
            <w:tcW w:w="3313" w:type="dxa"/>
          </w:tcPr>
          <w:p>
            <w:pPr>
              <w:pStyle w:val="Compact"/>
              <w:jc w:val="center"/>
            </w:pPr>
            <w:r>
              <w:t xml:space="preserve">Sensibilidade</w:t>
            </w:r>
          </w:p>
        </w:tc>
        <w:tc>
          <w:tcPr>
            <w:tcW w:w="1595" w:type="dxa"/>
          </w:tcPr>
          <w:p>
            <w:pPr>
              <w:pStyle w:val="Compact"/>
              <w:jc w:val="center"/>
            </w:pPr>
            <w:r>
              <w:t xml:space="preserve">25-29</w:t>
            </w:r>
          </w:p>
        </w:tc>
        <w:tc>
          <w:tcPr>
            <w:tcW w:w="3732" w:type="dxa"/>
          </w:tcPr>
          <w:p>
            <w:pPr>
              <w:pStyle w:val="Compact"/>
              <w:jc w:val="center"/>
            </w:pPr>
            <w:r>
              <w:t xml:space="preserve">CORE-A expandido, genefu,</w:t>
            </w:r>
            <w:r>
              <w:t xml:space="preserve"> </w:t>
            </w:r>
            <w:r>
              <w:rPr>
                <w:i/>
                <w:iCs/>
              </w:rPr>
              <w:t xml:space="preserve">bootstrap</w:t>
            </w:r>
            <w:r>
              <w:t xml:space="preserve">, drop-gene</w:t>
            </w:r>
          </w:p>
        </w:tc>
      </w:tr>
      <w:tr>
        <w:tc>
          <w:tcPr>
            <w:tcW w:w="3313" w:type="dxa"/>
          </w:tcPr>
          <w:p>
            <w:pPr>
              <w:pStyle w:val="Compact"/>
              <w:jc w:val="center"/>
            </w:pPr>
            <w:r>
              <w:t xml:space="preserve">Revisão major</w:t>
            </w:r>
          </w:p>
        </w:tc>
        <w:tc>
          <w:tcPr>
            <w:tcW w:w="1595" w:type="dxa"/>
          </w:tcPr>
          <w:p>
            <w:pPr>
              <w:pStyle w:val="Compact"/>
              <w:jc w:val="center"/>
            </w:pPr>
            <w:r>
              <w:t xml:space="preserve">30-36</w:t>
            </w:r>
          </w:p>
        </w:tc>
        <w:tc>
          <w:tcPr>
            <w:tcW w:w="3732" w:type="dxa"/>
          </w:tcPr>
          <w:p>
            <w:pPr>
              <w:pStyle w:val="Compact"/>
              <w:jc w:val="center"/>
            </w:pPr>
            <w:r>
              <w:t xml:space="preserve">Z-</w:t>
            </w:r>
            <w:r>
              <w:rPr>
                <w:i/>
                <w:iCs/>
              </w:rPr>
              <w:t xml:space="preserve">score</w:t>
            </w:r>
            <w:r>
              <w:t xml:space="preserve"> </w:t>
            </w:r>
            <w:r>
              <w:t xml:space="preserve">congelado, Uno C, calibração, ER,</w:t>
            </w:r>
            <w:r>
              <w:t xml:space="preserve"> </w:t>
            </w:r>
            <w:r>
              <w:rPr>
                <w:i/>
                <w:iCs/>
              </w:rPr>
              <w:t xml:space="preserve">baseline</w:t>
            </w:r>
          </w:p>
        </w:tc>
      </w:tr>
    </w:tbl>
    <w:bookmarkEnd w:id="378"/>
    <w:p/>
    <w:p>
      <w:r>
        <w:br w:type="page"/>
      </w:r>
    </w:p>
    <w:bookmarkStart w:id="379" w:name="X61d0b877d426969a2d235b9284e16cc0e06a24d"/>
    <w:p>
      <w:pPr>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p>
      <w:pPr>
        <w:pStyle w:val="FirstParagraph"/>
      </w:pPr>
      <w:r>
        <w:br/>
      </w:r>
    </w:p>
    <w:p>
      <w:r>
        <w:pict>
          <v:rect style="width:0;height:1.5pt" o:hralign="center" o:hrstd="t" o:hr="t"/>
        </w:pict>
      </w:r>
    </w:p>
    <w:p>
      <w:pPr>
        <w:pStyle w:val="FirstParagraph"/>
      </w:pPr>
      <w:r>
        <w:rPr>
          <w:i/>
          <w:iCs/>
        </w:rPr>
        <w:t xml:space="preserve">Versão 0.2 — Formato de impressão com figuras em página inteira.</w:t>
      </w:r>
    </w:p>
    <w:p>
      <w:pPr>
        <w:pStyle w:val="BodyText"/>
      </w:pPr>
      <w:r>
        <w:rPr>
          <w:i/>
          <w:iCs/>
        </w:rPr>
        <w:t xml:space="preserve">Orientador: Prof. Dr. João Batista de Sousa — Faculdade de Medicina, Departamento de Cirurgia Colorretal, Universidade de Brasília (UnB)</w:t>
      </w:r>
    </w:p>
    <w:p>
      <w:pPr>
        <w:pStyle w:val="BodyText"/>
      </w:pPr>
      <w:r>
        <w:rPr>
          <w:i/>
          <w:iCs/>
        </w:rPr>
        <w:t xml:space="preserve">Autor: Rafael de Negreiros Botan — oncologista@gmail.com</w:t>
      </w:r>
    </w:p>
    <w:p>
      <w:pPr>
        <w:pStyle w:val="BodyText"/>
      </w:pPr>
      <w:r>
        <w:rPr>
          <w:i/>
          <w:iCs/>
        </w:rPr>
        <w:t xml:space="preserve">Programa de Pós-Graduação em Ciências Médicas — Faculdade de Medicina — UnB — 2026</w:t>
      </w:r>
    </w:p>
    <w:bookmarkEnd w:id="379"/>
    <w:bookmarkEnd w:id="380"/>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73" Target="media/rId73.png" /><Relationship Type="http://schemas.openxmlformats.org/officeDocument/2006/relationships/image" Id="rId49" Target="media/rId49.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14" Target="media/rId114.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image" Id="rId136" Target="media/rId136.png" /><Relationship Type="http://schemas.openxmlformats.org/officeDocument/2006/relationships/image" Id="rId146" Target="media/rId146.png" /><Relationship Type="http://schemas.openxmlformats.org/officeDocument/2006/relationships/image" Id="rId142" Target="media/rId142.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91" Target="media/rId191.png" /><Relationship Type="http://schemas.openxmlformats.org/officeDocument/2006/relationships/image" Id="rId187" Target="media/rId187.png" /><Relationship Type="http://schemas.openxmlformats.org/officeDocument/2006/relationships/image" Id="rId155" Target="media/rId155.png" /><Relationship Type="http://schemas.openxmlformats.org/officeDocument/2006/relationships/image" Id="rId165" Target="media/rId165.png" /><Relationship Type="http://schemas.openxmlformats.org/officeDocument/2006/relationships/image" Id="rId104" Target="media/rId104.png" /><Relationship Type="http://schemas.openxmlformats.org/officeDocument/2006/relationships/image" Id="rId203" Target="media/rId203.png" /><Relationship Type="http://schemas.openxmlformats.org/officeDocument/2006/relationships/image" Id="rId161" Target="media/rId161.png" /><Relationship Type="http://schemas.openxmlformats.org/officeDocument/2006/relationships/image" Id="rId108" Target="media/rId108.png" /><Relationship Type="http://schemas.openxmlformats.org/officeDocument/2006/relationships/image" Id="rId172" Target="media/rId172.png" /><Relationship Type="http://schemas.openxmlformats.org/officeDocument/2006/relationships/image" Id="rId197" Target="media/rId197.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hyperlink" Id="rId340" Target="https://doi.org/10.1001/jama.1982.03320430047030" TargetMode="External" /><Relationship Type="http://schemas.openxmlformats.org/officeDocument/2006/relationships/hyperlink" Id="rId304" Target="https://doi.org/10.1001/jama.2011.593" TargetMode="External" /><Relationship Type="http://schemas.openxmlformats.org/officeDocument/2006/relationships/hyperlink" Id="rId284" Target="https://doi.org/10.1001/jamaoncol.2017.5524" TargetMode="External" /><Relationship Type="http://schemas.openxmlformats.org/officeDocument/2006/relationships/hyperlink" Id="rId330" Target="https://doi.org/10.1002/(SICI)1097-0258(19970228)16:4&lt;385::AID-SIM380&gt;3.0.CO;2-3" TargetMode="External" /><Relationship Type="http://schemas.openxmlformats.org/officeDocument/2006/relationships/hyperlink" Id="rId360" Target="https://doi.org/10.1002/sim.1009" TargetMode="External" /><Relationship Type="http://schemas.openxmlformats.org/officeDocument/2006/relationships/hyperlink" Id="rId344" Target="https://doi.org/10.1002/sim.4154" TargetMode="External" /><Relationship Type="http://schemas.openxmlformats.org/officeDocument/2006/relationships/hyperlink" Id="rId346" Target="https://doi.org/10.1002/sim.5958" TargetMode="External" /><Relationship Type="http://schemas.openxmlformats.org/officeDocument/2006/relationships/hyperlink" Id="rId338" Target="https://doi.org/10.1007/978-1-4757-3294-8" TargetMode="External" /><Relationship Type="http://schemas.openxmlformats.org/officeDocument/2006/relationships/hyperlink" Id="rId310" Target="https://doi.org/10.1007/s10549-011-1895-2" TargetMode="External" /><Relationship Type="http://schemas.openxmlformats.org/officeDocument/2006/relationships/hyperlink" Id="rId362" Target="https://doi.org/10.1016/0197-2456(86)90046-2" TargetMode="External" /><Relationship Type="http://schemas.openxmlformats.org/officeDocument/2006/relationships/hyperlink" Id="rId231" Target="https://doi.org/10.1016/S0140-6736(11)60993-8" TargetMode="External" /><Relationship Type="http://schemas.openxmlformats.org/officeDocument/2006/relationships/hyperlink" Id="rId229" Target="https://doi.org/10.1016/S0140-6736(11)61625-5" TargetMode="External" /><Relationship Type="http://schemas.openxmlformats.org/officeDocument/2006/relationships/hyperlink" Id="rId370" Target="https://doi.org/10.1016/S0140-6736(13)62422-8" TargetMode="External" /><Relationship Type="http://schemas.openxmlformats.org/officeDocument/2006/relationships/hyperlink" Id="rId368" Target="https://doi.org/10.1016/S1470-2045(17)30904-X" TargetMode="External" /><Relationship Type="http://schemas.openxmlformats.org/officeDocument/2006/relationships/hyperlink" Id="rId278" Target="https://doi.org/10.1016/S1470-2045(21)00007-3" TargetMode="External" /><Relationship Type="http://schemas.openxmlformats.org/officeDocument/2006/relationships/hyperlink" Id="rId312" Target="https://doi.org/10.1016/j.ccell.2022.05.005" TargetMode="External" /><Relationship Type="http://schemas.openxmlformats.org/officeDocument/2006/relationships/hyperlink" Id="rId320" Target="https://doi.org/10.1016/j.jclinepi.2015.04.005" TargetMode="External" /><Relationship Type="http://schemas.openxmlformats.org/officeDocument/2006/relationships/hyperlink" Id="rId350" Target="https://doi.org/10.1016/j.jclinepi.2015.12.005" TargetMode="External" /><Relationship Type="http://schemas.openxmlformats.org/officeDocument/2006/relationships/hyperlink" Id="rId242" Target="https://doi.org/10.1016/j.molonc.2010.11.003" TargetMode="External" /><Relationship Type="http://schemas.openxmlformats.org/officeDocument/2006/relationships/hyperlink" Id="rId238" Target="https://doi.org/10.1038/35021093" TargetMode="External" /><Relationship Type="http://schemas.openxmlformats.org/officeDocument/2006/relationships/hyperlink" Id="rId274" Target="https://doi.org/10.1038/415530a" TargetMode="External" /><Relationship Type="http://schemas.openxmlformats.org/officeDocument/2006/relationships/hyperlink" Id="rId244" Target="https://doi.org/10.1038/nature10983" TargetMode="External" /><Relationship Type="http://schemas.openxmlformats.org/officeDocument/2006/relationships/hyperlink" Id="rId298" Target="https://doi.org/10.1038/nature11412" TargetMode="External" /><Relationship Type="http://schemas.openxmlformats.org/officeDocument/2006/relationships/hyperlink" Id="rId306" Target="https://doi.org/10.1038/nbt.1665" TargetMode="External" /><Relationship Type="http://schemas.openxmlformats.org/officeDocument/2006/relationships/hyperlink" Id="rId246" Target="https://doi.org/10.1038/ncomms11479" TargetMode="External" /><Relationship Type="http://schemas.openxmlformats.org/officeDocument/2006/relationships/hyperlink" Id="rId290" Target="https://doi.org/10.1038/nrg2825" TargetMode="External" /><Relationship Type="http://schemas.openxmlformats.org/officeDocument/2006/relationships/hyperlink" Id="rId236" Target="https://doi.org/10.1038/s41572-019-0111-2" TargetMode="External" /><Relationship Type="http://schemas.openxmlformats.org/officeDocument/2006/relationships/hyperlink" Id="rId266" Target="https://doi.org/10.1056/NEJMoa041588" TargetMode="External" /><Relationship Type="http://schemas.openxmlformats.org/officeDocument/2006/relationships/hyperlink" Id="rId276" Target="https://doi.org/10.1056/NEJMoa1602253" TargetMode="External" /><Relationship Type="http://schemas.openxmlformats.org/officeDocument/2006/relationships/hyperlink" Id="rId268" Target="https://doi.org/10.1056/NEJMoa1804710" TargetMode="External" /><Relationship Type="http://schemas.openxmlformats.org/officeDocument/2006/relationships/hyperlink" Id="rId270" Target="https://doi.org/10.1056/NEJMoa1904819" TargetMode="External" /><Relationship Type="http://schemas.openxmlformats.org/officeDocument/2006/relationships/hyperlink" Id="rId272" Target="https://doi.org/10.1056/NEJMoa2108873" TargetMode="External" /><Relationship Type="http://schemas.openxmlformats.org/officeDocument/2006/relationships/hyperlink" Id="rId240" Target="https://doi.org/10.1073/pnas.191367098" TargetMode="External" /><Relationship Type="http://schemas.openxmlformats.org/officeDocument/2006/relationships/hyperlink" Id="rId348" Target="https://doi.org/10.1080/01621459.1999.10474144" TargetMode="External" /><Relationship Type="http://schemas.openxmlformats.org/officeDocument/2006/relationships/hyperlink" Id="rId258" Target="https://doi.org/10.1093/annonc/mdt494" TargetMode="External" /><Relationship Type="http://schemas.openxmlformats.org/officeDocument/2006/relationships/hyperlink" Id="rId260" Target="https://doi.org/10.1093/annonc/mdv221" TargetMode="External" /><Relationship Type="http://schemas.openxmlformats.org/officeDocument/2006/relationships/hyperlink" Id="rId262" Target="https://doi.org/10.1093/annonc/mdz235" TargetMode="External" /><Relationship Type="http://schemas.openxmlformats.org/officeDocument/2006/relationships/hyperlink" Id="rId322" Target="https://doi.org/10.1093/bioinformatics/btp616" TargetMode="External" /><Relationship Type="http://schemas.openxmlformats.org/officeDocument/2006/relationships/hyperlink" Id="rId364" Target="https://doi.org/10.1093/bioinformatics/btv693" TargetMode="External" /><Relationship Type="http://schemas.openxmlformats.org/officeDocument/2006/relationships/hyperlink" Id="rId336" Target="https://doi.org/10.1093/biomet/81.3.515" TargetMode="External" /><Relationship Type="http://schemas.openxmlformats.org/officeDocument/2006/relationships/hyperlink" Id="rId292" Target="https://doi.org/10.1093/biostatistics/kxj037" TargetMode="External" /><Relationship Type="http://schemas.openxmlformats.org/officeDocument/2006/relationships/hyperlink" Id="rId366" Target="https://doi.org/10.1093/jnci/djp082" TargetMode="External" /><Relationship Type="http://schemas.openxmlformats.org/officeDocument/2006/relationships/hyperlink" Id="rId288" Target="https://doi.org/10.1093/nar/gkv007" TargetMode="External" /><Relationship Type="http://schemas.openxmlformats.org/officeDocument/2006/relationships/hyperlink" Id="rId308" Target="https://doi.org/10.1111/j.1349-7006.2012.02241.x" TargetMode="External" /><Relationship Type="http://schemas.openxmlformats.org/officeDocument/2006/relationships/hyperlink" Id="rId326" Target="https://doi.org/10.1111/j.1467-9868.2005.00503.x" TargetMode="External" /><Relationship Type="http://schemas.openxmlformats.org/officeDocument/2006/relationships/hyperlink" Id="rId328" Target="https://doi.org/10.1111/j.2517-6161.1996.tb02080.x" TargetMode="External" /><Relationship Type="http://schemas.openxmlformats.org/officeDocument/2006/relationships/hyperlink" Id="rId358" Target="https://doi.org/10.1136/bmj.327.7414.557" TargetMode="External" /><Relationship Type="http://schemas.openxmlformats.org/officeDocument/2006/relationships/hyperlink" Id="rId316" Target="https://doi.org/10.1136/bmj.g7594" TargetMode="External" /><Relationship Type="http://schemas.openxmlformats.org/officeDocument/2006/relationships/hyperlink" Id="rId250" Target="https://doi.org/10.1158/1078-0432.CCR-10-1282" TargetMode="External" /><Relationship Type="http://schemas.openxmlformats.org/officeDocument/2006/relationships/hyperlink" Id="rId280" Target="https://doi.org/10.1158/1078-0432.CCR-11-0926" TargetMode="External" /><Relationship Type="http://schemas.openxmlformats.org/officeDocument/2006/relationships/hyperlink" Id="rId252" Target="https://doi.org/10.1158/1078-0432.CCR-12-0286" TargetMode="External" /><Relationship Type="http://schemas.openxmlformats.org/officeDocument/2006/relationships/hyperlink" Id="rId282" Target="https://doi.org/10.1158/1078-0432.CCR-13-0804" TargetMode="External" /><Relationship Type="http://schemas.openxmlformats.org/officeDocument/2006/relationships/hyperlink" Id="rId354" Target="https://doi.org/10.1177/0272989X06295361" TargetMode="External" /><Relationship Type="http://schemas.openxmlformats.org/officeDocument/2006/relationships/hyperlink" Id="rId318" Target="https://doi.org/10.1186/1471-2288-13-33" TargetMode="External" /><Relationship Type="http://schemas.openxmlformats.org/officeDocument/2006/relationships/hyperlink" Id="rId300" Target="https://doi.org/10.1186/1471-2407-11-143" TargetMode="External" /><Relationship Type="http://schemas.openxmlformats.org/officeDocument/2006/relationships/hyperlink" Id="rId302" Target="https://doi.org/10.1186/bcr1325" TargetMode="External" /><Relationship Type="http://schemas.openxmlformats.org/officeDocument/2006/relationships/hyperlink" Id="rId324" Target="https://doi.org/10.1186/gb-2010-11-3-r25" TargetMode="External" /><Relationship Type="http://schemas.openxmlformats.org/officeDocument/2006/relationships/hyperlink" Id="rId372" Target="https://doi.org/10.1186/s12916-015-0540-z" TargetMode="External" /><Relationship Type="http://schemas.openxmlformats.org/officeDocument/2006/relationships/hyperlink" Id="rId352" Target="https://doi.org/10.1186/s12916-019-1466-7" TargetMode="External" /><Relationship Type="http://schemas.openxmlformats.org/officeDocument/2006/relationships/hyperlink" Id="rId254" Target="https://doi.org/10.1186/s12920-015-0129-6" TargetMode="External" /><Relationship Type="http://schemas.openxmlformats.org/officeDocument/2006/relationships/hyperlink" Id="rId286" Target="https://doi.org/10.1186/s13059-014-0550-8" TargetMode="External" /><Relationship Type="http://schemas.openxmlformats.org/officeDocument/2006/relationships/hyperlink" Id="rId294" Target="https://doi.org/10.1186/s13073-015-0131-9" TargetMode="External" /><Relationship Type="http://schemas.openxmlformats.org/officeDocument/2006/relationships/hyperlink" Id="rId248" Target="https://doi.org/10.1200/JCO.2008.18.1370" TargetMode="External" /><Relationship Type="http://schemas.openxmlformats.org/officeDocument/2006/relationships/hyperlink" Id="rId256" Target="https://doi.org/10.1200/JCO.2009.24.4798" TargetMode="External" /><Relationship Type="http://schemas.openxmlformats.org/officeDocument/2006/relationships/hyperlink" Id="rId264" Target="https://doi.org/10.1200/JCO.22.00069" TargetMode="External" /><Relationship Type="http://schemas.openxmlformats.org/officeDocument/2006/relationships/hyperlink" Id="rId296" Target="https://doi.org/10.1200/PO.17.00135" TargetMode="External" /><Relationship Type="http://schemas.openxmlformats.org/officeDocument/2006/relationships/hyperlink" Id="rId342" Target="https://doi.org/10.1214/aos/1176344552" TargetMode="External" /><Relationship Type="http://schemas.openxmlformats.org/officeDocument/2006/relationships/hyperlink" Id="rId234" Target="https://doi.org/10.1590/0102-311X00074817" TargetMode="External" /><Relationship Type="http://schemas.openxmlformats.org/officeDocument/2006/relationships/hyperlink" Id="rId332" Target="https://doi.org/10.18637/jss.v033.i01" TargetMode="External" /><Relationship Type="http://schemas.openxmlformats.org/officeDocument/2006/relationships/hyperlink" Id="rId356" Target="https://doi.org/10.18637/jss.v036.i03" TargetMode="External" /><Relationship Type="http://schemas.openxmlformats.org/officeDocument/2006/relationships/hyperlink" Id="rId334" Target="https://doi.org/10.18637/jss.v039.i05" TargetMode="External" /><Relationship Type="http://schemas.openxmlformats.org/officeDocument/2006/relationships/hyperlink" Id="rId225" Target="https://doi.org/10.3322/caac.21660" TargetMode="External" /><Relationship Type="http://schemas.openxmlformats.org/officeDocument/2006/relationships/hyperlink" Id="rId227" Target="https://doi.org/10.3322/caac.21834" TargetMode="External" /><Relationship Type="http://schemas.openxmlformats.org/officeDocument/2006/relationships/hyperlink" Id="rId314"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40" Target="https://doi.org/10.1001/jama.1982.03320430047030" TargetMode="External" /><Relationship Type="http://schemas.openxmlformats.org/officeDocument/2006/relationships/hyperlink" Id="rId304" Target="https://doi.org/10.1001/jama.2011.593" TargetMode="External" /><Relationship Type="http://schemas.openxmlformats.org/officeDocument/2006/relationships/hyperlink" Id="rId284" Target="https://doi.org/10.1001/jamaoncol.2017.5524" TargetMode="External" /><Relationship Type="http://schemas.openxmlformats.org/officeDocument/2006/relationships/hyperlink" Id="rId330" Target="https://doi.org/10.1002/(SICI)1097-0258(19970228)16:4&lt;385::AID-SIM380&gt;3.0.CO;2-3" TargetMode="External" /><Relationship Type="http://schemas.openxmlformats.org/officeDocument/2006/relationships/hyperlink" Id="rId360" Target="https://doi.org/10.1002/sim.1009" TargetMode="External" /><Relationship Type="http://schemas.openxmlformats.org/officeDocument/2006/relationships/hyperlink" Id="rId344" Target="https://doi.org/10.1002/sim.4154" TargetMode="External" /><Relationship Type="http://schemas.openxmlformats.org/officeDocument/2006/relationships/hyperlink" Id="rId346" Target="https://doi.org/10.1002/sim.5958" TargetMode="External" /><Relationship Type="http://schemas.openxmlformats.org/officeDocument/2006/relationships/hyperlink" Id="rId338" Target="https://doi.org/10.1007/978-1-4757-3294-8" TargetMode="External" /><Relationship Type="http://schemas.openxmlformats.org/officeDocument/2006/relationships/hyperlink" Id="rId310" Target="https://doi.org/10.1007/s10549-011-1895-2" TargetMode="External" /><Relationship Type="http://schemas.openxmlformats.org/officeDocument/2006/relationships/hyperlink" Id="rId362" Target="https://doi.org/10.1016/0197-2456(86)90046-2" TargetMode="External" /><Relationship Type="http://schemas.openxmlformats.org/officeDocument/2006/relationships/hyperlink" Id="rId231" Target="https://doi.org/10.1016/S0140-6736(11)60993-8" TargetMode="External" /><Relationship Type="http://schemas.openxmlformats.org/officeDocument/2006/relationships/hyperlink" Id="rId229" Target="https://doi.org/10.1016/S0140-6736(11)61625-5" TargetMode="External" /><Relationship Type="http://schemas.openxmlformats.org/officeDocument/2006/relationships/hyperlink" Id="rId370" Target="https://doi.org/10.1016/S0140-6736(13)62422-8" TargetMode="External" /><Relationship Type="http://schemas.openxmlformats.org/officeDocument/2006/relationships/hyperlink" Id="rId368" Target="https://doi.org/10.1016/S1470-2045(17)30904-X" TargetMode="External" /><Relationship Type="http://schemas.openxmlformats.org/officeDocument/2006/relationships/hyperlink" Id="rId278" Target="https://doi.org/10.1016/S1470-2045(21)00007-3" TargetMode="External" /><Relationship Type="http://schemas.openxmlformats.org/officeDocument/2006/relationships/hyperlink" Id="rId312" Target="https://doi.org/10.1016/j.ccell.2022.05.005" TargetMode="External" /><Relationship Type="http://schemas.openxmlformats.org/officeDocument/2006/relationships/hyperlink" Id="rId320" Target="https://doi.org/10.1016/j.jclinepi.2015.04.005" TargetMode="External" /><Relationship Type="http://schemas.openxmlformats.org/officeDocument/2006/relationships/hyperlink" Id="rId350" Target="https://doi.org/10.1016/j.jclinepi.2015.12.005" TargetMode="External" /><Relationship Type="http://schemas.openxmlformats.org/officeDocument/2006/relationships/hyperlink" Id="rId242" Target="https://doi.org/10.1016/j.molonc.2010.11.003" TargetMode="External" /><Relationship Type="http://schemas.openxmlformats.org/officeDocument/2006/relationships/hyperlink" Id="rId238" Target="https://doi.org/10.1038/35021093" TargetMode="External" /><Relationship Type="http://schemas.openxmlformats.org/officeDocument/2006/relationships/hyperlink" Id="rId274" Target="https://doi.org/10.1038/415530a" TargetMode="External" /><Relationship Type="http://schemas.openxmlformats.org/officeDocument/2006/relationships/hyperlink" Id="rId244" Target="https://doi.org/10.1038/nature10983" TargetMode="External" /><Relationship Type="http://schemas.openxmlformats.org/officeDocument/2006/relationships/hyperlink" Id="rId298" Target="https://doi.org/10.1038/nature11412" TargetMode="External" /><Relationship Type="http://schemas.openxmlformats.org/officeDocument/2006/relationships/hyperlink" Id="rId306" Target="https://doi.org/10.1038/nbt.1665" TargetMode="External" /><Relationship Type="http://schemas.openxmlformats.org/officeDocument/2006/relationships/hyperlink" Id="rId246" Target="https://doi.org/10.1038/ncomms11479" TargetMode="External" /><Relationship Type="http://schemas.openxmlformats.org/officeDocument/2006/relationships/hyperlink" Id="rId290" Target="https://doi.org/10.1038/nrg2825" TargetMode="External" /><Relationship Type="http://schemas.openxmlformats.org/officeDocument/2006/relationships/hyperlink" Id="rId236" Target="https://doi.org/10.1038/s41572-019-0111-2" TargetMode="External" /><Relationship Type="http://schemas.openxmlformats.org/officeDocument/2006/relationships/hyperlink" Id="rId266" Target="https://doi.org/10.1056/NEJMoa041588" TargetMode="External" /><Relationship Type="http://schemas.openxmlformats.org/officeDocument/2006/relationships/hyperlink" Id="rId276" Target="https://doi.org/10.1056/NEJMoa1602253" TargetMode="External" /><Relationship Type="http://schemas.openxmlformats.org/officeDocument/2006/relationships/hyperlink" Id="rId268" Target="https://doi.org/10.1056/NEJMoa1804710" TargetMode="External" /><Relationship Type="http://schemas.openxmlformats.org/officeDocument/2006/relationships/hyperlink" Id="rId270" Target="https://doi.org/10.1056/NEJMoa1904819" TargetMode="External" /><Relationship Type="http://schemas.openxmlformats.org/officeDocument/2006/relationships/hyperlink" Id="rId272" Target="https://doi.org/10.1056/NEJMoa2108873" TargetMode="External" /><Relationship Type="http://schemas.openxmlformats.org/officeDocument/2006/relationships/hyperlink" Id="rId240" Target="https://doi.org/10.1073/pnas.191367098" TargetMode="External" /><Relationship Type="http://schemas.openxmlformats.org/officeDocument/2006/relationships/hyperlink" Id="rId348" Target="https://doi.org/10.1080/01621459.1999.10474144" TargetMode="External" /><Relationship Type="http://schemas.openxmlformats.org/officeDocument/2006/relationships/hyperlink" Id="rId258" Target="https://doi.org/10.1093/annonc/mdt494" TargetMode="External" /><Relationship Type="http://schemas.openxmlformats.org/officeDocument/2006/relationships/hyperlink" Id="rId260" Target="https://doi.org/10.1093/annonc/mdv221" TargetMode="External" /><Relationship Type="http://schemas.openxmlformats.org/officeDocument/2006/relationships/hyperlink" Id="rId262" Target="https://doi.org/10.1093/annonc/mdz235" TargetMode="External" /><Relationship Type="http://schemas.openxmlformats.org/officeDocument/2006/relationships/hyperlink" Id="rId322" Target="https://doi.org/10.1093/bioinformatics/btp616" TargetMode="External" /><Relationship Type="http://schemas.openxmlformats.org/officeDocument/2006/relationships/hyperlink" Id="rId364" Target="https://doi.org/10.1093/bioinformatics/btv693" TargetMode="External" /><Relationship Type="http://schemas.openxmlformats.org/officeDocument/2006/relationships/hyperlink" Id="rId336" Target="https://doi.org/10.1093/biomet/81.3.515" TargetMode="External" /><Relationship Type="http://schemas.openxmlformats.org/officeDocument/2006/relationships/hyperlink" Id="rId292" Target="https://doi.org/10.1093/biostatistics/kxj037" TargetMode="External" /><Relationship Type="http://schemas.openxmlformats.org/officeDocument/2006/relationships/hyperlink" Id="rId366" Target="https://doi.org/10.1093/jnci/djp082" TargetMode="External" /><Relationship Type="http://schemas.openxmlformats.org/officeDocument/2006/relationships/hyperlink" Id="rId288" Target="https://doi.org/10.1093/nar/gkv007" TargetMode="External" /><Relationship Type="http://schemas.openxmlformats.org/officeDocument/2006/relationships/hyperlink" Id="rId308" Target="https://doi.org/10.1111/j.1349-7006.2012.02241.x" TargetMode="External" /><Relationship Type="http://schemas.openxmlformats.org/officeDocument/2006/relationships/hyperlink" Id="rId326" Target="https://doi.org/10.1111/j.1467-9868.2005.00503.x" TargetMode="External" /><Relationship Type="http://schemas.openxmlformats.org/officeDocument/2006/relationships/hyperlink" Id="rId328" Target="https://doi.org/10.1111/j.2517-6161.1996.tb02080.x" TargetMode="External" /><Relationship Type="http://schemas.openxmlformats.org/officeDocument/2006/relationships/hyperlink" Id="rId358" Target="https://doi.org/10.1136/bmj.327.7414.557" TargetMode="External" /><Relationship Type="http://schemas.openxmlformats.org/officeDocument/2006/relationships/hyperlink" Id="rId316" Target="https://doi.org/10.1136/bmj.g7594" TargetMode="External" /><Relationship Type="http://schemas.openxmlformats.org/officeDocument/2006/relationships/hyperlink" Id="rId250" Target="https://doi.org/10.1158/1078-0432.CCR-10-1282" TargetMode="External" /><Relationship Type="http://schemas.openxmlformats.org/officeDocument/2006/relationships/hyperlink" Id="rId280" Target="https://doi.org/10.1158/1078-0432.CCR-11-0926" TargetMode="External" /><Relationship Type="http://schemas.openxmlformats.org/officeDocument/2006/relationships/hyperlink" Id="rId252" Target="https://doi.org/10.1158/1078-0432.CCR-12-0286" TargetMode="External" /><Relationship Type="http://schemas.openxmlformats.org/officeDocument/2006/relationships/hyperlink" Id="rId282" Target="https://doi.org/10.1158/1078-0432.CCR-13-0804" TargetMode="External" /><Relationship Type="http://schemas.openxmlformats.org/officeDocument/2006/relationships/hyperlink" Id="rId354" Target="https://doi.org/10.1177/0272989X06295361" TargetMode="External" /><Relationship Type="http://schemas.openxmlformats.org/officeDocument/2006/relationships/hyperlink" Id="rId318" Target="https://doi.org/10.1186/1471-2288-13-33" TargetMode="External" /><Relationship Type="http://schemas.openxmlformats.org/officeDocument/2006/relationships/hyperlink" Id="rId300" Target="https://doi.org/10.1186/1471-2407-11-143" TargetMode="External" /><Relationship Type="http://schemas.openxmlformats.org/officeDocument/2006/relationships/hyperlink" Id="rId302" Target="https://doi.org/10.1186/bcr1325" TargetMode="External" /><Relationship Type="http://schemas.openxmlformats.org/officeDocument/2006/relationships/hyperlink" Id="rId324" Target="https://doi.org/10.1186/gb-2010-11-3-r25" TargetMode="External" /><Relationship Type="http://schemas.openxmlformats.org/officeDocument/2006/relationships/hyperlink" Id="rId372" Target="https://doi.org/10.1186/s12916-015-0540-z" TargetMode="External" /><Relationship Type="http://schemas.openxmlformats.org/officeDocument/2006/relationships/hyperlink" Id="rId352" Target="https://doi.org/10.1186/s12916-019-1466-7" TargetMode="External" /><Relationship Type="http://schemas.openxmlformats.org/officeDocument/2006/relationships/hyperlink" Id="rId254" Target="https://doi.org/10.1186/s12920-015-0129-6" TargetMode="External" /><Relationship Type="http://schemas.openxmlformats.org/officeDocument/2006/relationships/hyperlink" Id="rId286" Target="https://doi.org/10.1186/s13059-014-0550-8" TargetMode="External" /><Relationship Type="http://schemas.openxmlformats.org/officeDocument/2006/relationships/hyperlink" Id="rId294" Target="https://doi.org/10.1186/s13073-015-0131-9" TargetMode="External" /><Relationship Type="http://schemas.openxmlformats.org/officeDocument/2006/relationships/hyperlink" Id="rId248" Target="https://doi.org/10.1200/JCO.2008.18.1370" TargetMode="External" /><Relationship Type="http://schemas.openxmlformats.org/officeDocument/2006/relationships/hyperlink" Id="rId256" Target="https://doi.org/10.1200/JCO.2009.24.4798" TargetMode="External" /><Relationship Type="http://schemas.openxmlformats.org/officeDocument/2006/relationships/hyperlink" Id="rId264" Target="https://doi.org/10.1200/JCO.22.00069" TargetMode="External" /><Relationship Type="http://schemas.openxmlformats.org/officeDocument/2006/relationships/hyperlink" Id="rId296" Target="https://doi.org/10.1200/PO.17.00135" TargetMode="External" /><Relationship Type="http://schemas.openxmlformats.org/officeDocument/2006/relationships/hyperlink" Id="rId342" Target="https://doi.org/10.1214/aos/1176344552" TargetMode="External" /><Relationship Type="http://schemas.openxmlformats.org/officeDocument/2006/relationships/hyperlink" Id="rId234" Target="https://doi.org/10.1590/0102-311X00074817" TargetMode="External" /><Relationship Type="http://schemas.openxmlformats.org/officeDocument/2006/relationships/hyperlink" Id="rId332" Target="https://doi.org/10.18637/jss.v033.i01" TargetMode="External" /><Relationship Type="http://schemas.openxmlformats.org/officeDocument/2006/relationships/hyperlink" Id="rId356" Target="https://doi.org/10.18637/jss.v036.i03" TargetMode="External" /><Relationship Type="http://schemas.openxmlformats.org/officeDocument/2006/relationships/hyperlink" Id="rId334" Target="https://doi.org/10.18637/jss.v039.i05" TargetMode="External" /><Relationship Type="http://schemas.openxmlformats.org/officeDocument/2006/relationships/hyperlink" Id="rId225" Target="https://doi.org/10.3322/caac.21660" TargetMode="External" /><Relationship Type="http://schemas.openxmlformats.org/officeDocument/2006/relationships/hyperlink" Id="rId227" Target="https://doi.org/10.3322/caac.21834" TargetMode="External" /><Relationship Type="http://schemas.openxmlformats.org/officeDocument/2006/relationships/hyperlink" Id="rId314"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2026-04-20T10:19:46Z</dcterms:created>
  <dcterms:modified xsi:type="dcterms:W3CDTF">2026-04-20T10:19:46Z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