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Role of the funding source</w:t>
      </w:r>
    </w:p>
    <w:p>
      <w:r>
        <w:rPr>
          <w:rFonts w:ascii="Times New Roman" w:hAnsi="Times New Roman"/>
          <w:sz w:val="24"/>
        </w:rPr>
        <w:t>This research did not receive any specific grant from funding agencies in the public, commercial, or not-for-profit sectors. No study sponsor was involved in the study design; in the collection, analysis, and interpretation of data; in the writing of the manuscript; or in the decision to submit the manuscript for publication.</w:t>
      </w:r>
    </w:p>
    <w:p>
      <w:pPr>
        <w:spacing w:before="360" w:after="120"/>
      </w:pPr>
      <w:r>
        <w:rPr>
          <w:rFonts w:ascii="Times New Roman" w:hAnsi="Times New Roman"/>
          <w:b/>
          <w:sz w:val="28"/>
        </w:rPr>
        <w:t>Conflict of interest statement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