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Times New Roman" w:hAnsi="Times New Roman"/>
          <w:b/>
          <w:sz w:val="28"/>
        </w:rPr>
        <w:t>Tables</w:t>
      </w:r>
    </w:p>
    <w:p>
      <w:pPr>
        <w:spacing w:before="240"/>
      </w:pPr>
      <w:r>
        <w:rPr>
          <w:rFonts w:ascii="Times New Roman" w:hAnsi="Times New Roman"/>
          <w:b/>
          <w:sz w:val="20"/>
        </w:rPr>
        <w:t>Table 1. Cohort characteristics and evaluable sample sizes by feature set and surrogate applicability.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(4-class PAM50)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(Set 1 complete)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(Set 2 complete)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(Surrogate classifiable)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(Head-to-head Set 1 vs Surrogate)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GSE81538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383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381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GSE96058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2867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2467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2429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2597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2464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TCGA-BRCA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METABRIC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1544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1554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1554</w:t>
            </w:r>
          </w:p>
        </w:tc>
      </w:tr>
    </w:tbl>
    <w:p>
      <w:pPr>
        <w:spacing w:before="80"/>
      </w:pPr>
      <w:r>
        <w:rPr>
          <w:rFonts w:ascii="Times New Roman" w:hAnsi="Times New Roman"/>
          <w:i/>
          <w:sz w:val="16"/>
        </w:rPr>
        <w:t>Abbreviations: PAM50, Prediction Analysis of Microarray 50; IHC, immunohistochemistry. Set 1: ER, PR, HER2. Set 2: Set 1 plus histological grade. Set 3: Set 2 plus Ki-67. Source n refers to the total cohort size available in the source dataset. N (4-class PAM50) refers to tumours with an evaluable 4-class molecular reference label after exclusion of Normal-like and claudin-low categories. N (Surrogate classifiable) refers to tumours for which full 4-class surrogate assignment was possible. In HR-positive/HER2-negative tumours, this required a proliferation variable (Ki-67 or grade) to separate Luminal A-like from Luminal B-like; therefore, surrogate applicability was reduced in TCGA-BRCA, where grade was unavailable and Ki-67 was absent. N (Head-to-head Set 1 vs Surrogate) refers to the exact matched subset classifiable by both the machine-learning model and the surrogate, used for fair denominator comparisons.</w:t>
      </w:r>
    </w:p>
    <w:p/>
    <w:p>
      <w:pPr>
        <w:spacing w:before="240"/>
      </w:pPr>
      <w:r>
        <w:rPr>
          <w:rFonts w:ascii="Times New Roman" w:hAnsi="Times New Roman"/>
          <w:b/>
          <w:sz w:val="20"/>
        </w:rPr>
        <w:t>Table 2. Luminal A/Luminal B crossover rates by cohort.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Cohort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True LumA (N)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LumA misclassified as LumB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True LumB (N)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LumB misclassified as 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GSE81538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155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42 (27.1%)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17 (16.2%)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GSE96058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1469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369 (25.1%)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676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196 (29.0%)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TCGA-BRCA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26 (92.9%)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METABRIC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669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180 (26.9%)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457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194 (42.5%)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3. Grey-zone analysis by confidence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Confidence Zone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ML Accuracy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Surrogate Accuracy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Luminal A+B proportion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Low (&lt;0.50)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208 (13.5%)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0.159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0.548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73.6%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Medium (0.50-0.70)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438 (28.4%)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88.8%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High (&gt;0.70)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898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898 (58.2%)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64.9%</w:t>
            </w:r>
          </w:p>
        </w:tc>
      </w:tr>
    </w:tbl>
    <w:p/>
    <w:p>
      <w:pPr>
        <w:spacing w:before="240"/>
      </w:pPr>
      <w:r>
        <w:rPr>
          <w:rFonts w:ascii="Times New Roman" w:hAnsi="Times New Roman"/>
          <w:b/>
          <w:sz w:val="20"/>
        </w:rPr>
        <w:t>Table 4. Sensitivity analysis comparing 4-class and 3-class performance in model-evaluable subsets.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Macro F1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F1 95% CI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Kappa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3-class (Luminal grouped)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TCGA-BRCA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0.777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(0.720-0.826)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0.705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3-class (Luminal grouped)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METABRIC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0.767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(0.739-0.796)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0.692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4-class (primary)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TCGA-BRCA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(0.477-0.547)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0.404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4-class (primary)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METABRIC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0.522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(0.501-0.542)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0.376</w:t>
            </w:r>
          </w:p>
        </w:tc>
      </w:tr>
    </w:tbl>
    <w:p>
      <w:pPr>
        <w:spacing w:before="80"/>
      </w:pPr>
      <w:r>
        <w:rPr>
          <w:rFonts w:ascii="Times New Roman" w:hAnsi="Times New Roman"/>
          <w:i/>
          <w:sz w:val="16"/>
        </w:rPr>
        <w:t>Values in this table refer to the largest evaluable subset for each machine-learning analysis and are not directly equivalent to matched head-to-head comparisons with the immunohistochemical surrogate. All direct surrogate-versus-model comparisons are reported separately using identical denominators (see Section 3.3).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