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0C573" w14:textId="77777777" w:rsidR="00514173" w:rsidRPr="00514173" w:rsidRDefault="00514173" w:rsidP="00514173">
      <w:pPr>
        <w:rPr>
          <w:lang w:val="en-US"/>
        </w:rPr>
      </w:pPr>
      <w:r w:rsidRPr="00514173">
        <w:rPr>
          <w:b/>
          <w:bCs/>
          <w:lang w:val="en-US"/>
        </w:rPr>
        <w:t>Cover letter – The Breast</w:t>
      </w:r>
    </w:p>
    <w:p w14:paraId="57239861" w14:textId="77777777" w:rsidR="00514173" w:rsidRPr="00514173" w:rsidRDefault="00514173" w:rsidP="00514173">
      <w:pPr>
        <w:rPr>
          <w:lang w:val="en-US"/>
        </w:rPr>
      </w:pPr>
      <w:r w:rsidRPr="00514173">
        <w:rPr>
          <w:lang w:val="en-US"/>
        </w:rPr>
        <w:t>[Date]</w:t>
      </w:r>
    </w:p>
    <w:p w14:paraId="0B99A5A5" w14:textId="77777777" w:rsidR="00514173" w:rsidRPr="00514173" w:rsidRDefault="00514173" w:rsidP="00514173">
      <w:pPr>
        <w:rPr>
          <w:lang w:val="en-US"/>
        </w:rPr>
      </w:pPr>
      <w:r w:rsidRPr="00514173">
        <w:rPr>
          <w:lang w:val="en-US"/>
        </w:rPr>
        <w:t>Editor-in-Chief</w:t>
      </w:r>
      <w:r w:rsidRPr="00514173">
        <w:rPr>
          <w:lang w:val="en-US"/>
        </w:rPr>
        <w:br/>
      </w:r>
      <w:r w:rsidRPr="00514173">
        <w:rPr>
          <w:b/>
          <w:bCs/>
          <w:lang w:val="en-US"/>
        </w:rPr>
        <w:t>The Breast</w:t>
      </w:r>
    </w:p>
    <w:p w14:paraId="20746DB4" w14:textId="77777777" w:rsidR="00514173" w:rsidRPr="00514173" w:rsidRDefault="00514173" w:rsidP="00514173">
      <w:pPr>
        <w:rPr>
          <w:lang w:val="en-US"/>
        </w:rPr>
      </w:pPr>
      <w:r w:rsidRPr="00514173">
        <w:rPr>
          <w:lang w:val="en-US"/>
        </w:rPr>
        <w:t>Dear Editor,</w:t>
      </w:r>
    </w:p>
    <w:p w14:paraId="2DA16629" w14:textId="77777777" w:rsidR="00514173" w:rsidRPr="00514173" w:rsidRDefault="00514173" w:rsidP="00514173">
      <w:pPr>
        <w:rPr>
          <w:lang w:val="en-US"/>
        </w:rPr>
      </w:pPr>
      <w:r w:rsidRPr="00514173">
        <w:rPr>
          <w:lang w:val="en-US"/>
        </w:rPr>
        <w:t xml:space="preserve">Please find attached our manuscript entitled </w:t>
      </w:r>
      <w:r w:rsidRPr="00514173">
        <w:rPr>
          <w:b/>
          <w:bCs/>
          <w:lang w:val="en-US"/>
        </w:rPr>
        <w:t>“Routine pathology cannot reliably reproduce 4-class PAM50 intrinsic subtypes in breast cancer: a multicohort in silico study defining the luminal grey zone”</w:t>
      </w:r>
      <w:r w:rsidRPr="00514173">
        <w:rPr>
          <w:lang w:val="en-US"/>
        </w:rPr>
        <w:t xml:space="preserve"> for consideration as an Original Article in </w:t>
      </w:r>
      <w:r w:rsidRPr="00514173">
        <w:rPr>
          <w:i/>
          <w:iCs/>
          <w:lang w:val="en-US"/>
        </w:rPr>
        <w:t>The Breast</w:t>
      </w:r>
      <w:r w:rsidRPr="00514173">
        <w:rPr>
          <w:lang w:val="en-US"/>
        </w:rPr>
        <w:t>.</w:t>
      </w:r>
    </w:p>
    <w:p w14:paraId="23D90F95" w14:textId="77777777" w:rsidR="00514173" w:rsidRPr="00514173" w:rsidRDefault="00514173" w:rsidP="00514173">
      <w:pPr>
        <w:rPr>
          <w:lang w:val="en-US"/>
        </w:rPr>
      </w:pPr>
      <w:r w:rsidRPr="00514173">
        <w:rPr>
          <w:lang w:val="en-US"/>
        </w:rPr>
        <w:t xml:space="preserve">This study addresses a clinically relevant and persistent question in breast cancer: how far routine clinicopathological data can approximate intrinsic molecular subtypes, and where molecular testing provides genuine added value. Using four public cohorts with PAM50 labels (total n=5,377), we compared a conventional immunohistochemical surrogate with multiple machine-learning models trained on routine variables. Across external validations, no model outperformed the surrogate. More importantly, both approaches showed a consistent ceiling of performance, with the dominant source of error concentrated at the </w:t>
      </w:r>
      <w:r w:rsidRPr="00514173">
        <w:rPr>
          <w:b/>
          <w:bCs/>
          <w:lang w:val="en-US"/>
        </w:rPr>
        <w:t>Luminal A/Luminal B boundary</w:t>
      </w:r>
      <w:r w:rsidRPr="00514173">
        <w:rPr>
          <w:lang w:val="en-US"/>
        </w:rPr>
        <w:t>.</w:t>
      </w:r>
    </w:p>
    <w:p w14:paraId="5937950E" w14:textId="77777777" w:rsidR="00514173" w:rsidRPr="00514173" w:rsidRDefault="00514173" w:rsidP="00514173">
      <w:pPr>
        <w:rPr>
          <w:lang w:val="en-US"/>
        </w:rPr>
      </w:pPr>
      <w:r w:rsidRPr="00514173">
        <w:rPr>
          <w:lang w:val="en-US"/>
        </w:rPr>
        <w:t xml:space="preserve">We believe the manuscript is particularly well suited to </w:t>
      </w:r>
      <w:r w:rsidRPr="00514173">
        <w:rPr>
          <w:i/>
          <w:iCs/>
          <w:lang w:val="en-US"/>
        </w:rPr>
        <w:t>The Breast</w:t>
      </w:r>
      <w:r w:rsidRPr="00514173">
        <w:rPr>
          <w:lang w:val="en-US"/>
        </w:rPr>
        <w:t xml:space="preserve"> because it is not primarily a computational paper, but a clinically oriented translational study with direct implications for breast cancer classification and resource allocation. Its main message is practical: routine pathology captures broad subtype biology only partially, and the principal irreducible uncertainty lies in a luminal grey zone where molecular testing is most likely to change biological interpretation. In this sense, the negative result is the key contribution of the study. Rather than proposing another marginally positive algorithm, the manuscript defines the real-world limit of routine-data approximation and clarifies where genomic subtyping remains most valuable.</w:t>
      </w:r>
    </w:p>
    <w:p w14:paraId="445E1054" w14:textId="77777777" w:rsidR="00514173" w:rsidRPr="00514173" w:rsidRDefault="00514173" w:rsidP="00514173">
      <w:pPr>
        <w:rPr>
          <w:lang w:val="en-US"/>
        </w:rPr>
      </w:pPr>
      <w:r w:rsidRPr="00514173">
        <w:rPr>
          <w:lang w:val="en-US"/>
        </w:rPr>
        <w:t>The work has three main strengths that we believe will interest your readership:</w:t>
      </w:r>
    </w:p>
    <w:p w14:paraId="67A542FA" w14:textId="77777777" w:rsidR="00514173" w:rsidRPr="00514173" w:rsidRDefault="00514173" w:rsidP="00514173">
      <w:pPr>
        <w:numPr>
          <w:ilvl w:val="0"/>
          <w:numId w:val="1"/>
        </w:numPr>
        <w:rPr>
          <w:lang w:val="en-US"/>
        </w:rPr>
      </w:pPr>
      <w:r w:rsidRPr="00514173">
        <w:rPr>
          <w:b/>
          <w:bCs/>
          <w:lang w:val="en-US"/>
        </w:rPr>
        <w:t>Clinical relevance:</w:t>
      </w:r>
      <w:r w:rsidRPr="00514173">
        <w:rPr>
          <w:lang w:val="en-US"/>
        </w:rPr>
        <w:t xml:space="preserve"> it addresses the everyday tension between accessible surrogate classification and more accurate but costlier molecular assays.</w:t>
      </w:r>
    </w:p>
    <w:p w14:paraId="4A075034" w14:textId="77777777" w:rsidR="00514173" w:rsidRPr="00514173" w:rsidRDefault="00514173" w:rsidP="00514173">
      <w:pPr>
        <w:numPr>
          <w:ilvl w:val="0"/>
          <w:numId w:val="1"/>
        </w:numPr>
        <w:rPr>
          <w:lang w:val="en-US"/>
        </w:rPr>
      </w:pPr>
      <w:r w:rsidRPr="00514173">
        <w:rPr>
          <w:b/>
          <w:bCs/>
          <w:lang w:val="en-US"/>
        </w:rPr>
        <w:t>Methodological rigor:</w:t>
      </w:r>
      <w:r w:rsidRPr="00514173">
        <w:rPr>
          <w:lang w:val="en-US"/>
        </w:rPr>
        <w:t xml:space="preserve"> it uses multicohort external validation and matched-denominator head-to-head comparisons between surrogate and machine-learning models.</w:t>
      </w:r>
    </w:p>
    <w:p w14:paraId="159CBD80" w14:textId="77777777" w:rsidR="00514173" w:rsidRPr="00514173" w:rsidRDefault="00514173" w:rsidP="00514173">
      <w:pPr>
        <w:numPr>
          <w:ilvl w:val="0"/>
          <w:numId w:val="1"/>
        </w:numPr>
        <w:rPr>
          <w:lang w:val="en-US"/>
        </w:rPr>
      </w:pPr>
      <w:r w:rsidRPr="00514173">
        <w:rPr>
          <w:b/>
          <w:bCs/>
          <w:lang w:val="en-US"/>
        </w:rPr>
        <w:t>Actionable interpretation:</w:t>
      </w:r>
      <w:r w:rsidRPr="00514173">
        <w:rPr>
          <w:lang w:val="en-US"/>
        </w:rPr>
        <w:t xml:space="preserve"> it identifies a specific subgroup—predominantly luminal cases near the Luminal A/Luminal B boundary—in which routine-data-based approximation is least reliable.</w:t>
      </w:r>
    </w:p>
    <w:p w14:paraId="391E8C7A" w14:textId="77777777" w:rsidR="00514173" w:rsidRPr="00514173" w:rsidRDefault="00514173" w:rsidP="00514173">
      <w:pPr>
        <w:rPr>
          <w:lang w:val="en-US"/>
        </w:rPr>
      </w:pPr>
      <w:r w:rsidRPr="00514173">
        <w:rPr>
          <w:lang w:val="en-US"/>
        </w:rPr>
        <w:lastRenderedPageBreak/>
        <w:t>This manuscript has not been published previously, is not under consideration elsewhere, and all authors have approved its submission. The authors declare no conflicts of interest relevant to this work. All data analysed are publicly available from established repositories, and the study was conducted entirely in silico.</w:t>
      </w:r>
    </w:p>
    <w:p w14:paraId="63FFE7E7" w14:textId="77777777" w:rsidR="00514173" w:rsidRPr="00514173" w:rsidRDefault="00514173" w:rsidP="00514173">
      <w:pPr>
        <w:rPr>
          <w:lang w:val="en-US"/>
        </w:rPr>
      </w:pPr>
      <w:r w:rsidRPr="00514173">
        <w:rPr>
          <w:lang w:val="en-US"/>
        </w:rPr>
        <w:t xml:space="preserve">Thank you for your consideration. We believe this manuscript will be of interest to the multidisciplinary readership of </w:t>
      </w:r>
      <w:r w:rsidRPr="00514173">
        <w:rPr>
          <w:i/>
          <w:iCs/>
          <w:lang w:val="en-US"/>
        </w:rPr>
        <w:t>The Breast</w:t>
      </w:r>
      <w:r w:rsidRPr="00514173">
        <w:rPr>
          <w:lang w:val="en-US"/>
        </w:rPr>
        <w:t>, particularly clinicians, translational researchers, and breast pathologists interested in the interface between routine biomarkers and molecular classification.</w:t>
      </w:r>
    </w:p>
    <w:p w14:paraId="6B7082F9" w14:textId="77777777" w:rsidR="00514173" w:rsidRPr="00514173" w:rsidRDefault="00514173" w:rsidP="00514173">
      <w:r w:rsidRPr="00514173">
        <w:t>Sincerely,</w:t>
      </w:r>
    </w:p>
    <w:p w14:paraId="565D868A" w14:textId="77777777" w:rsidR="00514173" w:rsidRPr="00514173" w:rsidRDefault="00514173" w:rsidP="00514173">
      <w:r w:rsidRPr="00514173">
        <w:rPr>
          <w:b/>
          <w:bCs/>
        </w:rPr>
        <w:t>Rafael de Negreiros Botan, MD</w:t>
      </w:r>
      <w:r w:rsidRPr="00514173">
        <w:br/>
        <w:t>Department of Oncology</w:t>
      </w:r>
      <w:r w:rsidRPr="00514173">
        <w:br/>
        <w:t>Universidade de Brasília</w:t>
      </w:r>
      <w:r w:rsidRPr="00514173">
        <w:br/>
        <w:t>Brasília, Brazil</w:t>
      </w:r>
      <w:r w:rsidRPr="00514173">
        <w:br/>
        <w:t>Email: oncologista@gmail.com</w:t>
      </w:r>
    </w:p>
    <w:p w14:paraId="5CFF2E2E" w14:textId="77777777" w:rsidR="00514173" w:rsidRPr="00514173" w:rsidRDefault="00514173" w:rsidP="00514173">
      <w:r w:rsidRPr="00514173">
        <w:t>On behalf of all authors</w:t>
      </w:r>
    </w:p>
    <w:p w14:paraId="0273724A" w14:textId="77777777" w:rsidR="001D0FE2" w:rsidRDefault="001D0FE2"/>
    <w:sectPr w:rsidR="001D0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4915D1"/>
    <w:multiLevelType w:val="multilevel"/>
    <w:tmpl w:val="444EE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7392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0F6"/>
    <w:rsid w:val="001735DD"/>
    <w:rsid w:val="001D0FE2"/>
    <w:rsid w:val="002F2D03"/>
    <w:rsid w:val="004B04E3"/>
    <w:rsid w:val="00514173"/>
    <w:rsid w:val="00527256"/>
    <w:rsid w:val="00F330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10B470F-5EEC-46AA-9908-A423683DA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F33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F33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F330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F330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F330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F330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F330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F330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F330F6"/>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F330F6"/>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F330F6"/>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F330F6"/>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F330F6"/>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F330F6"/>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F330F6"/>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F330F6"/>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F330F6"/>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F330F6"/>
    <w:rPr>
      <w:rFonts w:eastAsiaTheme="majorEastAsia" w:cstheme="majorBidi"/>
      <w:color w:val="272727" w:themeColor="text1" w:themeTint="D8"/>
    </w:rPr>
  </w:style>
  <w:style w:type="paragraph" w:styleId="Ttulo">
    <w:name w:val="Title"/>
    <w:basedOn w:val="Normal"/>
    <w:next w:val="Normal"/>
    <w:link w:val="TtuloCarter"/>
    <w:uiPriority w:val="10"/>
    <w:qFormat/>
    <w:rsid w:val="00F33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F330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F330F6"/>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F330F6"/>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F330F6"/>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F330F6"/>
    <w:rPr>
      <w:i/>
      <w:iCs/>
      <w:color w:val="404040" w:themeColor="text1" w:themeTint="BF"/>
    </w:rPr>
  </w:style>
  <w:style w:type="paragraph" w:styleId="PargrafodaLista">
    <w:name w:val="List Paragraph"/>
    <w:basedOn w:val="Normal"/>
    <w:uiPriority w:val="34"/>
    <w:qFormat/>
    <w:rsid w:val="00F330F6"/>
    <w:pPr>
      <w:ind w:left="720"/>
      <w:contextualSpacing/>
    </w:pPr>
  </w:style>
  <w:style w:type="character" w:styleId="nfaseIntensa">
    <w:name w:val="Intense Emphasis"/>
    <w:basedOn w:val="Tipodeletrapredefinidodopargrafo"/>
    <w:uiPriority w:val="21"/>
    <w:qFormat/>
    <w:rsid w:val="00F330F6"/>
    <w:rPr>
      <w:i/>
      <w:iCs/>
      <w:color w:val="0F4761" w:themeColor="accent1" w:themeShade="BF"/>
    </w:rPr>
  </w:style>
  <w:style w:type="paragraph" w:styleId="CitaoIntensa">
    <w:name w:val="Intense Quote"/>
    <w:basedOn w:val="Normal"/>
    <w:next w:val="Normal"/>
    <w:link w:val="CitaoIntensaCarter"/>
    <w:uiPriority w:val="30"/>
    <w:qFormat/>
    <w:rsid w:val="00F33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F330F6"/>
    <w:rPr>
      <w:i/>
      <w:iCs/>
      <w:color w:val="0F4761" w:themeColor="accent1" w:themeShade="BF"/>
    </w:rPr>
  </w:style>
  <w:style w:type="character" w:styleId="RefernciaIntensa">
    <w:name w:val="Intense Reference"/>
    <w:basedOn w:val="Tipodeletrapredefinidodopargrafo"/>
    <w:uiPriority w:val="32"/>
    <w:qFormat/>
    <w:rsid w:val="00F330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569780">
      <w:bodyDiv w:val="1"/>
      <w:marLeft w:val="0"/>
      <w:marRight w:val="0"/>
      <w:marTop w:val="0"/>
      <w:marBottom w:val="0"/>
      <w:divBdr>
        <w:top w:val="none" w:sz="0" w:space="0" w:color="auto"/>
        <w:left w:val="none" w:sz="0" w:space="0" w:color="auto"/>
        <w:bottom w:val="none" w:sz="0" w:space="0" w:color="auto"/>
        <w:right w:val="none" w:sz="0" w:space="0" w:color="auto"/>
      </w:divBdr>
    </w:div>
    <w:div w:id="1390230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482</Words>
  <Characters>2604</Characters>
  <Application>Microsoft Office Word</Application>
  <DocSecurity>0</DocSecurity>
  <Lines>21</Lines>
  <Paragraphs>6</Paragraphs>
  <ScaleCrop>false</ScaleCrop>
  <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Instituto Oncologico Botan LTDA</dc:creator>
  <cp:keywords/>
  <dc:description/>
  <cp:lastModifiedBy>Instituto Oncologico Botan LTDA</cp:lastModifiedBy>
  <cp:revision>2</cp:revision>
  <dcterms:created xsi:type="dcterms:W3CDTF">2026-03-06T19:12:00Z</dcterms:created>
  <dcterms:modified xsi:type="dcterms:W3CDTF">2026-03-06T19:12:00Z</dcterms:modified>
</cp:coreProperties>
</file>