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240"/>
      </w:pPr>
      <w:r>
        <w:rPr>
          <w:rFonts w:ascii="Times New Roman" w:hAnsi="Times New Roman"/>
          <w:b/>
          <w:sz w:val="20"/>
        </w:rPr>
        <w:t>Table 1. Cohort characteristics and evaluable sample sizes by feature set.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Cohort</w:t>
            </w:r>
          </w:p>
        </w:tc>
        <w:tc>
          <w:tcPr>
            <w:tcW w:type="dxa" w:w="1440"/>
          </w:tcPr>
          <w:p>
            <w:r>
              <w:rPr>
                <w:rFonts w:ascii="Times New Roman" w:hAnsi="Times New Roman"/>
                <w:b/>
                <w:sz w:val="18"/>
              </w:rPr>
              <w:t>N (4-class PAM50)</w:t>
            </w:r>
          </w:p>
        </w:tc>
        <w:tc>
          <w:tcPr>
            <w:tcW w:type="dxa" w:w="1440"/>
          </w:tcPr>
          <w:p>
            <w:r>
              <w:rPr>
                <w:rFonts w:ascii="Times New Roman" w:hAnsi="Times New Roman"/>
                <w:b/>
                <w:sz w:val="18"/>
              </w:rPr>
              <w:t>N (Set 1 complete)</w:t>
            </w:r>
          </w:p>
        </w:tc>
        <w:tc>
          <w:tcPr>
            <w:tcW w:type="dxa" w:w="1440"/>
          </w:tcPr>
          <w:p>
            <w:r>
              <w:rPr>
                <w:rFonts w:ascii="Times New Roman" w:hAnsi="Times New Roman"/>
                <w:b/>
                <w:sz w:val="18"/>
              </w:rPr>
              <w:t>N (Set 2 complete)</w:t>
            </w:r>
          </w:p>
        </w:tc>
        <w:tc>
          <w:tcPr>
            <w:tcW w:type="dxa" w:w="1440"/>
          </w:tcPr>
          <w:p>
            <w:r>
              <w:rPr>
                <w:rFonts w:ascii="Times New Roman" w:hAnsi="Times New Roman"/>
                <w:b/>
                <w:sz w:val="18"/>
              </w:rPr>
              <w:t>N (Surrogate classifiable)</w:t>
            </w:r>
          </w:p>
        </w:tc>
        <w:tc>
          <w:tcPr>
            <w:tcW w:type="dxa" w:w="1440"/>
          </w:tcPr>
          <w:p>
            <w:r>
              <w:rPr>
                <w:rFonts w:ascii="Times New Roman" w:hAnsi="Times New Roman"/>
                <w:b/>
                <w:sz w:val="18"/>
              </w:rPr>
              <w:t>N (Head-to-head Set 1 vs Surrogate)</w:t>
            </w:r>
          </w:p>
        </w:tc>
      </w:tr>
      <w:tr>
        <w:tc>
          <w:tcPr>
            <w:tcW w:type="dxa" w:w="1440"/>
          </w:tcPr>
          <w:p>
            <w:r>
              <w:rPr>
                <w:rFonts w:ascii="Times New Roman" w:hAnsi="Times New Roman"/>
                <w:sz w:val="18"/>
              </w:rPr>
              <w:t>GSE81538</w:t>
            </w:r>
          </w:p>
        </w:tc>
        <w:tc>
          <w:tcPr>
            <w:tcW w:type="dxa" w:w="1440"/>
          </w:tcPr>
          <w:p>
            <w:r>
              <w:rPr>
                <w:rFonts w:ascii="Times New Roman" w:hAnsi="Times New Roman"/>
                <w:sz w:val="18"/>
              </w:rPr>
              <w:t>383</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r>
      <w:tr>
        <w:tc>
          <w:tcPr>
            <w:tcW w:type="dxa" w:w="1440"/>
          </w:tcPr>
          <w:p>
            <w:r>
              <w:rPr>
                <w:rFonts w:ascii="Times New Roman" w:hAnsi="Times New Roman"/>
                <w:sz w:val="18"/>
              </w:rPr>
              <w:t>GSE96058</w:t>
            </w:r>
          </w:p>
        </w:tc>
        <w:tc>
          <w:tcPr>
            <w:tcW w:type="dxa" w:w="1440"/>
          </w:tcPr>
          <w:p>
            <w:r>
              <w:rPr>
                <w:rFonts w:ascii="Times New Roman" w:hAnsi="Times New Roman"/>
                <w:sz w:val="18"/>
              </w:rPr>
              <w:t>2867</w:t>
            </w:r>
          </w:p>
        </w:tc>
        <w:tc>
          <w:tcPr>
            <w:tcW w:type="dxa" w:w="1440"/>
          </w:tcPr>
          <w:p>
            <w:r>
              <w:rPr>
                <w:rFonts w:ascii="Times New Roman" w:hAnsi="Times New Roman"/>
                <w:sz w:val="18"/>
              </w:rPr>
              <w:t>2467</w:t>
            </w:r>
          </w:p>
        </w:tc>
        <w:tc>
          <w:tcPr>
            <w:tcW w:type="dxa" w:w="1440"/>
          </w:tcPr>
          <w:p>
            <w:r>
              <w:rPr>
                <w:rFonts w:ascii="Times New Roman" w:hAnsi="Times New Roman"/>
                <w:sz w:val="18"/>
              </w:rPr>
              <w:t>2429</w:t>
            </w:r>
          </w:p>
        </w:tc>
        <w:tc>
          <w:tcPr>
            <w:tcW w:type="dxa" w:w="1440"/>
          </w:tcPr>
          <w:p>
            <w:r>
              <w:rPr>
                <w:rFonts w:ascii="Times New Roman" w:hAnsi="Times New Roman"/>
                <w:sz w:val="18"/>
              </w:rPr>
              <w:t>2597</w:t>
            </w:r>
          </w:p>
        </w:tc>
        <w:tc>
          <w:tcPr>
            <w:tcW w:type="dxa" w:w="1440"/>
          </w:tcPr>
          <w:p>
            <w:r>
              <w:rPr>
                <w:rFonts w:ascii="Times New Roman" w:hAnsi="Times New Roman"/>
                <w:sz w:val="18"/>
              </w:rPr>
              <w:t>2464</w:t>
            </w:r>
          </w:p>
        </w:tc>
      </w:tr>
      <w:tr>
        <w:tc>
          <w:tcPr>
            <w:tcW w:type="dxa" w:w="1440"/>
          </w:tcPr>
          <w:p>
            <w:r>
              <w:rPr>
                <w:rFonts w:ascii="Times New Roman" w:hAnsi="Times New Roman"/>
                <w:sz w:val="18"/>
              </w:rPr>
              <w:t>TCGA-BRCA</w:t>
            </w:r>
          </w:p>
        </w:tc>
        <w:tc>
          <w:tcPr>
            <w:tcW w:type="dxa" w:w="1440"/>
          </w:tcPr>
          <w:p>
            <w:r>
              <w:rPr>
                <w:rFonts w:ascii="Times New Roman" w:hAnsi="Times New Roman"/>
                <w:sz w:val="18"/>
              </w:rPr>
              <w:t>519</w:t>
            </w:r>
          </w:p>
        </w:tc>
        <w:tc>
          <w:tcPr>
            <w:tcW w:type="dxa" w:w="1440"/>
          </w:tcPr>
          <w:p>
            <w:r>
              <w:rPr>
                <w:rFonts w:ascii="Times New Roman" w:hAnsi="Times New Roman"/>
                <w:sz w:val="18"/>
              </w:rPr>
              <w:t>435</w:t>
            </w:r>
          </w:p>
        </w:tc>
        <w:tc>
          <w:tcPr>
            <w:tcW w:type="dxa" w:w="1440"/>
          </w:tcPr>
          <w:p>
            <w:r>
              <w:rPr>
                <w:rFonts w:ascii="Times New Roman" w:hAnsi="Times New Roman"/>
                <w:sz w:val="18"/>
              </w:rPr>
              <w:t>0</w:t>
            </w:r>
          </w:p>
        </w:tc>
        <w:tc>
          <w:tcPr>
            <w:tcW w:type="dxa" w:w="1440"/>
          </w:tcPr>
          <w:p>
            <w:r>
              <w:rPr>
                <w:rFonts w:ascii="Times New Roman" w:hAnsi="Times New Roman"/>
                <w:sz w:val="18"/>
              </w:rPr>
              <w:t>162</w:t>
            </w:r>
          </w:p>
        </w:tc>
        <w:tc>
          <w:tcPr>
            <w:tcW w:type="dxa" w:w="1440"/>
          </w:tcPr>
          <w:p>
            <w:r>
              <w:rPr>
                <w:rFonts w:ascii="Times New Roman" w:hAnsi="Times New Roman"/>
                <w:sz w:val="18"/>
              </w:rPr>
              <w:t>162</w:t>
            </w:r>
          </w:p>
        </w:tc>
      </w:tr>
      <w:tr>
        <w:tc>
          <w:tcPr>
            <w:tcW w:type="dxa" w:w="1440"/>
          </w:tcPr>
          <w:p>
            <w:r>
              <w:rPr>
                <w:rFonts w:ascii="Times New Roman" w:hAnsi="Times New Roman"/>
                <w:sz w:val="18"/>
              </w:rPr>
              <w:t>METABRIC</w:t>
            </w:r>
          </w:p>
        </w:tc>
        <w:tc>
          <w:tcPr>
            <w:tcW w:type="dxa" w:w="1440"/>
          </w:tcPr>
          <w:p>
            <w:r>
              <w:rPr>
                <w:rFonts w:ascii="Times New Roman" w:hAnsi="Times New Roman"/>
                <w:sz w:val="18"/>
              </w:rPr>
              <w:t>1608</w:t>
            </w:r>
          </w:p>
        </w:tc>
        <w:tc>
          <w:tcPr>
            <w:tcW w:type="dxa" w:w="1440"/>
          </w:tcPr>
          <w:p>
            <w:r>
              <w:rPr>
                <w:rFonts w:ascii="Times New Roman" w:hAnsi="Times New Roman"/>
                <w:sz w:val="18"/>
              </w:rPr>
              <w:t>1608</w:t>
            </w:r>
          </w:p>
        </w:tc>
        <w:tc>
          <w:tcPr>
            <w:tcW w:type="dxa" w:w="1440"/>
          </w:tcPr>
          <w:p>
            <w:r>
              <w:rPr>
                <w:rFonts w:ascii="Times New Roman" w:hAnsi="Times New Roman"/>
                <w:sz w:val="18"/>
              </w:rPr>
              <w:t>1544</w:t>
            </w:r>
          </w:p>
        </w:tc>
        <w:tc>
          <w:tcPr>
            <w:tcW w:type="dxa" w:w="1440"/>
          </w:tcPr>
          <w:p>
            <w:r>
              <w:rPr>
                <w:rFonts w:ascii="Times New Roman" w:hAnsi="Times New Roman"/>
                <w:sz w:val="18"/>
              </w:rPr>
              <w:t>1554</w:t>
            </w:r>
          </w:p>
        </w:tc>
        <w:tc>
          <w:tcPr>
            <w:tcW w:type="dxa" w:w="1440"/>
          </w:tcPr>
          <w:p>
            <w:r>
              <w:rPr>
                <w:rFonts w:ascii="Times New Roman" w:hAnsi="Times New Roman"/>
                <w:sz w:val="18"/>
              </w:rPr>
              <w:t>1554</w:t>
            </w:r>
          </w:p>
        </w:tc>
      </w:tr>
    </w:tbl>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[4].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not available. Cases missing ER, PR, or HER2 were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2_cohort_characteristics.png"/>
                    <pic:cNvPicPr/>
                  </pic:nvPicPr>
                  <pic:blipFill>
                    <a:blip r:embed="rId9"/>
                    <a:stretch>
                      <a:fillRect/>
                    </a:stretch>
                  </pic:blipFill>
                  <pic:spPr>
                    <a:xfrm>
                      <a:off x="0" y="0"/>
                      <a:ext cx="5029200" cy="3771900"/>
                    </a:xfrm>
                    <a:prstGeom prst="rect"/>
                  </pic:spPr>
                </pic:pic>
              </a:graphicData>
            </a:graphic>
          </wp:inline>
        </w:drawing>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In METABRIC head-to-head analysis (n=1,554), it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all cohorts, although TCGA-BRCA showed an unstable extreme due to small evaluable luminal subsets and the absence of grade.</w:t>
      </w:r>
    </w:p>
    <w:p>
      <w:pPr>
        <w:spacing w:before="240"/>
        <w:jc w:val="center"/>
      </w:pPr>
      <w:r>
        <w:drawing>
          <wp:inline xmlns:a="http://schemas.openxmlformats.org/drawingml/2006/main" xmlns:pic="http://schemas.openxmlformats.org/drawingml/2006/picture">
            <wp:extent cx="5029200" cy="3073400"/>
            <wp:docPr id="2" name="Picture 2"/>
            <wp:cNvGraphicFramePr>
              <a:graphicFrameLocks noChangeAspect="1"/>
            </wp:cNvGraphicFramePr>
            <a:graphic>
              <a:graphicData uri="http://schemas.openxmlformats.org/drawingml/2006/picture">
                <pic:pic>
                  <pic:nvPicPr>
                    <pic:cNvPr id="0" name="fig4_luminal_crossover.png"/>
                    <pic:cNvPicPr/>
                  </pic:nvPicPr>
                  <pic:blipFill>
                    <a:blip r:embed="rId10"/>
                    <a:stretch>
                      <a:fillRect/>
                    </a:stretch>
                  </pic:blipFill>
                  <pic:spPr>
                    <a:xfrm>
                      <a:off x="0" y="0"/>
                      <a:ext cx="5029200" cy="3073400"/>
                    </a:xfrm>
                    <a:prstGeom prst="rect"/>
                  </pic:spPr>
                </pic:pic>
              </a:graphicData>
            </a:graphic>
          </wp:inline>
        </w:drawing>
      </w:r>
    </w:p>
    <w:p>
      <w:pPr>
        <w:spacing w:after="240"/>
      </w:pPr>
      <w:r>
        <w:rPr>
          <w:rFonts w:ascii="Times New Roman" w:hAnsi="Times New Roman"/>
          <w:i/>
          <w:sz w:val="20"/>
        </w:rPr>
        <w:t>Fig. 2. Luminal A/B crossover by IHC surrogate across cohorts.</w:t>
      </w:r>
    </w:p>
    <w:p>
      <w:pPr>
        <w:spacing w:before="240"/>
      </w:pPr>
      <w:r>
        <w:rPr>
          <w:rFonts w:ascii="Times New Roman" w:hAnsi="Times New Roman"/>
          <w:b/>
          <w:sz w:val="20"/>
        </w:rPr>
        <w:t>Table 2. Luminal A/Luminal B crossover rates by cohort.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18"/>
              </w:rPr>
              <w:t>Cohort</w:t>
            </w:r>
          </w:p>
        </w:tc>
        <w:tc>
          <w:tcPr>
            <w:tcW w:type="dxa" w:w="1728"/>
          </w:tcPr>
          <w:p>
            <w:r>
              <w:rPr>
                <w:rFonts w:ascii="Times New Roman" w:hAnsi="Times New Roman"/>
                <w:b/>
                <w:sz w:val="18"/>
              </w:rPr>
              <w:t>True LumA (N)</w:t>
            </w:r>
          </w:p>
        </w:tc>
        <w:tc>
          <w:tcPr>
            <w:tcW w:type="dxa" w:w="1728"/>
          </w:tcPr>
          <w:p>
            <w:r>
              <w:rPr>
                <w:rFonts w:ascii="Times New Roman" w:hAnsi="Times New Roman"/>
                <w:b/>
                <w:sz w:val="18"/>
              </w:rPr>
              <w:t>LumA misclassified as LumB</w:t>
            </w:r>
          </w:p>
        </w:tc>
        <w:tc>
          <w:tcPr>
            <w:tcW w:type="dxa" w:w="1728"/>
          </w:tcPr>
          <w:p>
            <w:r>
              <w:rPr>
                <w:rFonts w:ascii="Times New Roman" w:hAnsi="Times New Roman"/>
                <w:b/>
                <w:sz w:val="18"/>
              </w:rPr>
              <w:t>True LumB (N)</w:t>
            </w:r>
          </w:p>
        </w:tc>
        <w:tc>
          <w:tcPr>
            <w:tcW w:type="dxa" w:w="1728"/>
          </w:tcPr>
          <w:p>
            <w:r>
              <w:rPr>
                <w:rFonts w:ascii="Times New Roman" w:hAnsi="Times New Roman"/>
                <w:b/>
                <w:sz w:val="18"/>
              </w:rPr>
              <w:t>LumB misclassified as LumA</w:t>
            </w:r>
          </w:p>
        </w:tc>
      </w:tr>
      <w:tr>
        <w:tc>
          <w:tcPr>
            <w:tcW w:type="dxa" w:w="1728"/>
          </w:tcPr>
          <w:p>
            <w:r>
              <w:rPr>
                <w:rFonts w:ascii="Times New Roman" w:hAnsi="Times New Roman"/>
                <w:sz w:val="18"/>
              </w:rPr>
              <w:t>GSE81538</w:t>
            </w:r>
          </w:p>
        </w:tc>
        <w:tc>
          <w:tcPr>
            <w:tcW w:type="dxa" w:w="1728"/>
          </w:tcPr>
          <w:p>
            <w:r>
              <w:rPr>
                <w:rFonts w:ascii="Times New Roman" w:hAnsi="Times New Roman"/>
                <w:sz w:val="18"/>
              </w:rPr>
              <w:t>155</w:t>
            </w:r>
          </w:p>
        </w:tc>
        <w:tc>
          <w:tcPr>
            <w:tcW w:type="dxa" w:w="1728"/>
          </w:tcPr>
          <w:p>
            <w:r>
              <w:rPr>
                <w:rFonts w:ascii="Times New Roman" w:hAnsi="Times New Roman"/>
                <w:sz w:val="18"/>
              </w:rPr>
              <w:t>42 (27.1%)</w:t>
            </w:r>
          </w:p>
        </w:tc>
        <w:tc>
          <w:tcPr>
            <w:tcW w:type="dxa" w:w="1728"/>
          </w:tcPr>
          <w:p>
            <w:r>
              <w:rPr>
                <w:rFonts w:ascii="Times New Roman" w:hAnsi="Times New Roman"/>
                <w:sz w:val="18"/>
              </w:rPr>
              <w:t>105</w:t>
            </w:r>
          </w:p>
        </w:tc>
        <w:tc>
          <w:tcPr>
            <w:tcW w:type="dxa" w:w="1728"/>
          </w:tcPr>
          <w:p>
            <w:r>
              <w:rPr>
                <w:rFonts w:ascii="Times New Roman" w:hAnsi="Times New Roman"/>
                <w:sz w:val="18"/>
              </w:rPr>
              <w:t>17 (16.2%)</w:t>
            </w:r>
          </w:p>
        </w:tc>
      </w:tr>
      <w:tr>
        <w:tc>
          <w:tcPr>
            <w:tcW w:type="dxa" w:w="1728"/>
          </w:tcPr>
          <w:p>
            <w:r>
              <w:rPr>
                <w:rFonts w:ascii="Times New Roman" w:hAnsi="Times New Roman"/>
                <w:sz w:val="18"/>
              </w:rPr>
              <w:t>GSE96058</w:t>
            </w:r>
          </w:p>
        </w:tc>
        <w:tc>
          <w:tcPr>
            <w:tcW w:type="dxa" w:w="1728"/>
          </w:tcPr>
          <w:p>
            <w:r>
              <w:rPr>
                <w:rFonts w:ascii="Times New Roman" w:hAnsi="Times New Roman"/>
                <w:sz w:val="18"/>
              </w:rPr>
              <w:t>1469</w:t>
            </w:r>
          </w:p>
        </w:tc>
        <w:tc>
          <w:tcPr>
            <w:tcW w:type="dxa" w:w="1728"/>
          </w:tcPr>
          <w:p>
            <w:r>
              <w:rPr>
                <w:rFonts w:ascii="Times New Roman" w:hAnsi="Times New Roman"/>
                <w:sz w:val="18"/>
              </w:rPr>
              <w:t>369 (25.1%)</w:t>
            </w:r>
          </w:p>
        </w:tc>
        <w:tc>
          <w:tcPr>
            <w:tcW w:type="dxa" w:w="1728"/>
          </w:tcPr>
          <w:p>
            <w:r>
              <w:rPr>
                <w:rFonts w:ascii="Times New Roman" w:hAnsi="Times New Roman"/>
                <w:sz w:val="18"/>
              </w:rPr>
              <w:t>676</w:t>
            </w:r>
          </w:p>
        </w:tc>
        <w:tc>
          <w:tcPr>
            <w:tcW w:type="dxa" w:w="1728"/>
          </w:tcPr>
          <w:p>
            <w:r>
              <w:rPr>
                <w:rFonts w:ascii="Times New Roman" w:hAnsi="Times New Roman"/>
                <w:sz w:val="18"/>
              </w:rPr>
              <w:t>196 (29.0%)</w:t>
            </w:r>
          </w:p>
        </w:tc>
      </w:tr>
      <w:tr>
        <w:tc>
          <w:tcPr>
            <w:tcW w:type="dxa" w:w="1728"/>
          </w:tcPr>
          <w:p>
            <w:r>
              <w:rPr>
                <w:rFonts w:ascii="Times New Roman" w:hAnsi="Times New Roman"/>
                <w:sz w:val="18"/>
              </w:rPr>
              <w:t>TCGA-BRCA</w:t>
            </w:r>
          </w:p>
        </w:tc>
        <w:tc>
          <w:tcPr>
            <w:tcW w:type="dxa" w:w="1728"/>
          </w:tcPr>
          <w:p>
            <w:r>
              <w:rPr>
                <w:rFonts w:ascii="Times New Roman" w:hAnsi="Times New Roman"/>
                <w:sz w:val="18"/>
              </w:rPr>
              <w:t>28</w:t>
            </w:r>
          </w:p>
        </w:tc>
        <w:tc>
          <w:tcPr>
            <w:tcW w:type="dxa" w:w="1728"/>
          </w:tcPr>
          <w:p>
            <w:r>
              <w:rPr>
                <w:rFonts w:ascii="Times New Roman" w:hAnsi="Times New Roman"/>
                <w:sz w:val="18"/>
              </w:rPr>
              <w:t>26 (92.9%)</w:t>
            </w:r>
          </w:p>
        </w:tc>
        <w:tc>
          <w:tcPr>
            <w:tcW w:type="dxa" w:w="1728"/>
          </w:tcPr>
          <w:p>
            <w:r>
              <w:rPr>
                <w:rFonts w:ascii="Times New Roman" w:hAnsi="Times New Roman"/>
                <w:sz w:val="18"/>
              </w:rPr>
              <w:t>25</w:t>
            </w:r>
          </w:p>
        </w:tc>
        <w:tc>
          <w:tcPr>
            <w:tcW w:type="dxa" w:w="1728"/>
          </w:tcPr>
          <w:p>
            <w:r>
              <w:rPr>
                <w:rFonts w:ascii="Times New Roman" w:hAnsi="Times New Roman"/>
                <w:sz w:val="18"/>
              </w:rPr>
              <w:t>0 (0.0%)</w:t>
            </w:r>
          </w:p>
        </w:tc>
      </w:tr>
      <w:tr>
        <w:tc>
          <w:tcPr>
            <w:tcW w:type="dxa" w:w="1728"/>
          </w:tcPr>
          <w:p>
            <w:r>
              <w:rPr>
                <w:rFonts w:ascii="Times New Roman" w:hAnsi="Times New Roman"/>
                <w:sz w:val="18"/>
              </w:rPr>
              <w:t>METABRIC</w:t>
            </w:r>
          </w:p>
        </w:tc>
        <w:tc>
          <w:tcPr>
            <w:tcW w:type="dxa" w:w="1728"/>
          </w:tcPr>
          <w:p>
            <w:r>
              <w:rPr>
                <w:rFonts w:ascii="Times New Roman" w:hAnsi="Times New Roman"/>
                <w:sz w:val="18"/>
              </w:rPr>
              <w:t>669</w:t>
            </w:r>
          </w:p>
        </w:tc>
        <w:tc>
          <w:tcPr>
            <w:tcW w:type="dxa" w:w="1728"/>
          </w:tcPr>
          <w:p>
            <w:r>
              <w:rPr>
                <w:rFonts w:ascii="Times New Roman" w:hAnsi="Times New Roman"/>
                <w:sz w:val="18"/>
              </w:rPr>
              <w:t>180 (26.9%)</w:t>
            </w:r>
          </w:p>
        </w:tc>
        <w:tc>
          <w:tcPr>
            <w:tcW w:type="dxa" w:w="1728"/>
          </w:tcPr>
          <w:p>
            <w:r>
              <w:rPr>
                <w:rFonts w:ascii="Times New Roman" w:hAnsi="Times New Roman"/>
                <w:sz w:val="18"/>
              </w:rPr>
              <w:t>457</w:t>
            </w:r>
          </w:p>
        </w:tc>
        <w:tc>
          <w:tcPr>
            <w:tcW w:type="dxa" w:w="1728"/>
          </w:tcPr>
          <w:p>
            <w:r>
              <w:rPr>
                <w:rFonts w:ascii="Times New Roman" w:hAnsi="Times New Roman"/>
                <w:sz w:val="18"/>
              </w:rPr>
              <w:t>194 (42.5%)</w:t>
            </w:r>
          </w:p>
        </w:tc>
      </w:tr>
    </w:tbl>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head-to-head comparison (Fig. 3).</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still remained inferior to the surrogate value of 0.644–0.646 depending on the matched subset.</w:t>
      </w:r>
    </w:p>
    <w:p>
      <w:pPr>
        <w:ind w:firstLine="720"/>
      </w:pPr>
      <w:r>
        <w:rPr>
          <w:rFonts w:ascii="Times New Roman" w:hAnsi="Times New Roman"/>
          <w:sz w:val="24"/>
        </w:rPr>
        <w:t>In TCGA-BRCA, the surrogate achieved macro-F1 0.485 (0.431–0.541) in the head-to-head subset (n=162), whereas the best machine-learning model reached 0.368. Across both external cohorts, the pattern was consistent: grade added some recoverable signal, but the gain was insufficient to match the conventional surrogate.</w:t>
      </w:r>
    </w:p>
    <w:p>
      <w:pPr>
        <w:spacing w:before="240"/>
        <w:jc w:val="center"/>
      </w:pPr>
      <w:r>
        <w:drawing>
          <wp:inline xmlns:a="http://schemas.openxmlformats.org/drawingml/2006/main" xmlns:pic="http://schemas.openxmlformats.org/drawingml/2006/picture">
            <wp:extent cx="5029200" cy="3911600"/>
            <wp:docPr id="3" name="Picture 3"/>
            <wp:cNvGraphicFramePr>
              <a:graphicFrameLocks noChangeAspect="1"/>
            </wp:cNvGraphicFramePr>
            <a:graphic>
              <a:graphicData uri="http://schemas.openxmlformats.org/drawingml/2006/picture">
                <pic:pic>
                  <pic:nvPicPr>
                    <pic:cNvPr id="0" name="fig3_forest_h2h.png"/>
                    <pic:cNvPicPr/>
                  </pic:nvPicPr>
                  <pic:blipFill>
                    <a:blip r:embed="rId11"/>
                    <a:stretch>
                      <a:fillRect/>
                    </a:stretch>
                  </pic:blipFill>
                  <pic:spPr>
                    <a:xfrm>
                      <a:off x="0" y="0"/>
                      <a:ext cx="5029200" cy="3911600"/>
                    </a:xfrm>
                    <a:prstGeom prst="rect"/>
                  </pic:spPr>
                </pic:pic>
              </a:graphicData>
            </a:graphic>
          </wp:inline>
        </w:drawing>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drawing>
          <wp:inline xmlns:a="http://schemas.openxmlformats.org/drawingml/2006/main" xmlns:pic="http://schemas.openxmlformats.org/drawingml/2006/picture">
            <wp:extent cx="5029200" cy="1983251"/>
            <wp:docPr id="4" name="Picture 4"/>
            <wp:cNvGraphicFramePr>
              <a:graphicFrameLocks noChangeAspect="1"/>
            </wp:cNvGraphicFramePr>
            <a:graphic>
              <a:graphicData uri="http://schemas.openxmlformats.org/drawingml/2006/picture">
                <pic:pic>
                  <pic:nvPicPr>
                    <pic:cNvPr id="0" name="fig4_confusion.png"/>
                    <pic:cNvPicPr/>
                  </pic:nvPicPr>
                  <pic:blipFill>
                    <a:blip r:embed="rId12"/>
                    <a:stretch>
                      <a:fillRect/>
                    </a:stretch>
                  </pic:blipFill>
                  <pic:spPr>
                    <a:xfrm>
                      <a:off x="0" y="0"/>
                      <a:ext cx="5029200" cy="1983251"/>
                    </a:xfrm>
                    <a:prstGeom prst="rect"/>
                  </pic:spPr>
                </pic:pic>
              </a:graphicData>
            </a:graphic>
          </wp:inline>
        </w:drawing>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drawing>
          <wp:inline xmlns:a="http://schemas.openxmlformats.org/drawingml/2006/main" xmlns:pic="http://schemas.openxmlformats.org/drawingml/2006/picture">
            <wp:extent cx="5029200" cy="4114800"/>
            <wp:docPr id="5" name="Picture 5"/>
            <wp:cNvGraphicFramePr>
              <a:graphicFrameLocks noChangeAspect="1"/>
            </wp:cNvGraphicFramePr>
            <a:graphic>
              <a:graphicData uri="http://schemas.openxmlformats.org/drawingml/2006/picture">
                <pic:pic>
                  <pic:nvPicPr>
                    <pic:cNvPr id="0" name="fig5_grey_zone.png"/>
                    <pic:cNvPicPr/>
                  </pic:nvPicPr>
                  <pic:blipFill>
                    <a:blip r:embed="rId13"/>
                    <a:stretch>
                      <a:fillRect/>
                    </a:stretch>
                  </pic:blipFill>
                  <pic:spPr>
                    <a:xfrm>
                      <a:off x="0" y="0"/>
                      <a:ext cx="5029200" cy="4114800"/>
                    </a:xfrm>
                    <a:prstGeom prst="rect"/>
                  </pic:spPr>
                </pic:pic>
              </a:graphicData>
            </a:graphic>
          </wp:inline>
        </w:drawing>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240"/>
      </w:pPr>
      <w:r>
        <w:rPr>
          <w:rFonts w:ascii="Times New Roman" w:hAnsi="Times New Roman"/>
          <w:b/>
          <w:sz w:val="20"/>
        </w:rPr>
        <w:t>Table 3. Grey-zone analysis by confidence tier.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Confidence Zone</w:t>
            </w:r>
          </w:p>
        </w:tc>
        <w:tc>
          <w:tcPr>
            <w:tcW w:type="dxa" w:w="1440"/>
          </w:tcPr>
          <w:p>
            <w:r>
              <w:rPr>
                <w:rFonts w:ascii="Times New Roman" w:hAnsi="Times New Roman"/>
                <w:b/>
                <w:sz w:val="18"/>
              </w:rPr>
              <w:t>N</w:t>
            </w:r>
          </w:p>
        </w:tc>
        <w:tc>
          <w:tcPr>
            <w:tcW w:type="dxa" w:w="1440"/>
          </w:tcPr>
          <w:p>
            <w:r>
              <w:rPr>
                <w:rFonts w:ascii="Times New Roman" w:hAnsi="Times New Roman"/>
                <w:b/>
                <w:sz w:val="18"/>
              </w:rPr>
              <w:t>N (%)</w:t>
            </w:r>
          </w:p>
        </w:tc>
        <w:tc>
          <w:tcPr>
            <w:tcW w:type="dxa" w:w="1440"/>
          </w:tcPr>
          <w:p>
            <w:r>
              <w:rPr>
                <w:rFonts w:ascii="Times New Roman" w:hAnsi="Times New Roman"/>
                <w:b/>
                <w:sz w:val="18"/>
              </w:rPr>
              <w:t>ML Accuracy</w:t>
            </w:r>
          </w:p>
        </w:tc>
        <w:tc>
          <w:tcPr>
            <w:tcW w:type="dxa" w:w="1440"/>
          </w:tcPr>
          <w:p>
            <w:r>
              <w:rPr>
                <w:rFonts w:ascii="Times New Roman" w:hAnsi="Times New Roman"/>
                <w:b/>
                <w:sz w:val="18"/>
              </w:rPr>
              <w:t>Surrogate Accuracy</w:t>
            </w:r>
          </w:p>
        </w:tc>
        <w:tc>
          <w:tcPr>
            <w:tcW w:type="dxa" w:w="1440"/>
          </w:tcPr>
          <w:p>
            <w:r>
              <w:rPr>
                <w:rFonts w:ascii="Times New Roman" w:hAnsi="Times New Roman"/>
                <w:b/>
                <w:sz w:val="18"/>
              </w:rPr>
              <w:t>Luminal A+B proportion</w:t>
            </w:r>
          </w:p>
        </w:tc>
      </w:tr>
      <w:tr>
        <w:tc>
          <w:tcPr>
            <w:tcW w:type="dxa" w:w="1440"/>
          </w:tcPr>
          <w:p>
            <w:r>
              <w:rPr>
                <w:rFonts w:ascii="Times New Roman" w:hAnsi="Times New Roman"/>
                <w:sz w:val="18"/>
              </w:rPr>
              <w:t>Low (&lt;0.50)</w:t>
            </w:r>
          </w:p>
        </w:tc>
        <w:tc>
          <w:tcPr>
            <w:tcW w:type="dxa" w:w="1440"/>
          </w:tcPr>
          <w:p>
            <w:r>
              <w:rPr>
                <w:rFonts w:ascii="Times New Roman" w:hAnsi="Times New Roman"/>
                <w:sz w:val="18"/>
              </w:rPr>
              <w:t>208</w:t>
            </w:r>
          </w:p>
        </w:tc>
        <w:tc>
          <w:tcPr>
            <w:tcW w:type="dxa" w:w="1440"/>
          </w:tcPr>
          <w:p>
            <w:r>
              <w:rPr>
                <w:rFonts w:ascii="Times New Roman" w:hAnsi="Times New Roman"/>
                <w:sz w:val="18"/>
              </w:rPr>
              <w:t>208 (13.5%)</w:t>
            </w:r>
          </w:p>
        </w:tc>
        <w:tc>
          <w:tcPr>
            <w:tcW w:type="dxa" w:w="1440"/>
          </w:tcPr>
          <w:p>
            <w:r>
              <w:rPr>
                <w:rFonts w:ascii="Times New Roman" w:hAnsi="Times New Roman"/>
                <w:sz w:val="18"/>
              </w:rPr>
              <w:t>0.159</w:t>
            </w:r>
          </w:p>
        </w:tc>
        <w:tc>
          <w:tcPr>
            <w:tcW w:type="dxa" w:w="1440"/>
          </w:tcPr>
          <w:p>
            <w:r>
              <w:rPr>
                <w:rFonts w:ascii="Times New Roman" w:hAnsi="Times New Roman"/>
                <w:sz w:val="18"/>
              </w:rPr>
              <w:t>0.548</w:t>
            </w:r>
          </w:p>
        </w:tc>
        <w:tc>
          <w:tcPr>
            <w:tcW w:type="dxa" w:w="1440"/>
          </w:tcPr>
          <w:p>
            <w:r>
              <w:rPr>
                <w:rFonts w:ascii="Times New Roman" w:hAnsi="Times New Roman"/>
                <w:sz w:val="18"/>
              </w:rPr>
              <w:t>73.6%</w:t>
            </w:r>
          </w:p>
        </w:tc>
      </w:tr>
      <w:tr>
        <w:tc>
          <w:tcPr>
            <w:tcW w:type="dxa" w:w="1440"/>
          </w:tcPr>
          <w:p>
            <w:r>
              <w:rPr>
                <w:rFonts w:ascii="Times New Roman" w:hAnsi="Times New Roman"/>
                <w:sz w:val="18"/>
              </w:rPr>
              <w:t>Medium (0.50-0.70)</w:t>
            </w:r>
          </w:p>
        </w:tc>
        <w:tc>
          <w:tcPr>
            <w:tcW w:type="dxa" w:w="1440"/>
          </w:tcPr>
          <w:p>
            <w:r>
              <w:rPr>
                <w:rFonts w:ascii="Times New Roman" w:hAnsi="Times New Roman"/>
                <w:sz w:val="18"/>
              </w:rPr>
              <w:t>438</w:t>
            </w:r>
          </w:p>
        </w:tc>
        <w:tc>
          <w:tcPr>
            <w:tcW w:type="dxa" w:w="1440"/>
          </w:tcPr>
          <w:p>
            <w:r>
              <w:rPr>
                <w:rFonts w:ascii="Times New Roman" w:hAnsi="Times New Roman"/>
                <w:sz w:val="18"/>
              </w:rPr>
              <w:t>438 (28.4%)</w:t>
            </w:r>
          </w:p>
        </w:tc>
        <w:tc>
          <w:tcPr>
            <w:tcW w:type="dxa" w:w="1440"/>
          </w:tcPr>
          <w:p>
            <w:r>
              <w:rPr>
                <w:rFonts w:ascii="Times New Roman" w:hAnsi="Times New Roman"/>
                <w:sz w:val="18"/>
              </w:rPr>
              <w:t>0.493</w:t>
            </w:r>
          </w:p>
        </w:tc>
        <w:tc>
          <w:tcPr>
            <w:tcW w:type="dxa" w:w="1440"/>
          </w:tcPr>
          <w:p>
            <w:r>
              <w:rPr>
                <w:rFonts w:ascii="Times New Roman" w:hAnsi="Times New Roman"/>
                <w:sz w:val="18"/>
              </w:rPr>
              <w:t>0.493</w:t>
            </w:r>
          </w:p>
        </w:tc>
        <w:tc>
          <w:tcPr>
            <w:tcW w:type="dxa" w:w="1440"/>
          </w:tcPr>
          <w:p>
            <w:r>
              <w:rPr>
                <w:rFonts w:ascii="Times New Roman" w:hAnsi="Times New Roman"/>
                <w:sz w:val="18"/>
              </w:rPr>
              <w:t>88.8%</w:t>
            </w:r>
          </w:p>
        </w:tc>
      </w:tr>
      <w:tr>
        <w:tc>
          <w:tcPr>
            <w:tcW w:type="dxa" w:w="1440"/>
          </w:tcPr>
          <w:p>
            <w:r>
              <w:rPr>
                <w:rFonts w:ascii="Times New Roman" w:hAnsi="Times New Roman"/>
                <w:sz w:val="18"/>
              </w:rPr>
              <w:t>High (&gt;0.70)</w:t>
            </w:r>
          </w:p>
        </w:tc>
        <w:tc>
          <w:tcPr>
            <w:tcW w:type="dxa" w:w="1440"/>
          </w:tcPr>
          <w:p>
            <w:r>
              <w:rPr>
                <w:rFonts w:ascii="Times New Roman" w:hAnsi="Times New Roman"/>
                <w:sz w:val="18"/>
              </w:rPr>
              <w:t>898</w:t>
            </w:r>
          </w:p>
        </w:tc>
        <w:tc>
          <w:tcPr>
            <w:tcW w:type="dxa" w:w="1440"/>
          </w:tcPr>
          <w:p>
            <w:r>
              <w:rPr>
                <w:rFonts w:ascii="Times New Roman" w:hAnsi="Times New Roman"/>
                <w:sz w:val="18"/>
              </w:rPr>
              <w:t>898 (58.2%)</w:t>
            </w:r>
          </w:p>
        </w:tc>
        <w:tc>
          <w:tcPr>
            <w:tcW w:type="dxa" w:w="1440"/>
          </w:tcPr>
          <w:p>
            <w:r>
              <w:rPr>
                <w:rFonts w:ascii="Times New Roman" w:hAnsi="Times New Roman"/>
                <w:sz w:val="18"/>
              </w:rPr>
              <w:t>0.731</w:t>
            </w:r>
          </w:p>
        </w:tc>
        <w:tc>
          <w:tcPr>
            <w:tcW w:type="dxa" w:w="1440"/>
          </w:tcPr>
          <w:p>
            <w:r>
              <w:rPr>
                <w:rFonts w:ascii="Times New Roman" w:hAnsi="Times New Roman"/>
                <w:sz w:val="18"/>
              </w:rPr>
              <w:t>0.738</w:t>
            </w:r>
          </w:p>
        </w:tc>
        <w:tc>
          <w:tcPr>
            <w:tcW w:type="dxa" w:w="1440"/>
          </w:tcPr>
          <w:p>
            <w:r>
              <w:rPr>
                <w:rFonts w:ascii="Times New Roman" w:hAnsi="Times New Roman"/>
                <w:sz w:val="18"/>
              </w:rPr>
              <w:t>64.9%</w:t>
            </w:r>
          </w:p>
        </w:tc>
      </w:tr>
    </w:tbl>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Macro-F1 increased from 0.514 to 0.777 in TCGA-BRCA and from 0.522 to 0.767 in METABRIC (Table 4). This result is central to interpretation: most of the classification deficit resides within the luminal boundary rather than in the broader separation of luminal, HER2-enriched, and Basal-like disease.</w:t>
      </w:r>
    </w:p>
    <w:p>
      <w:pPr>
        <w:spacing w:before="240"/>
      </w:pPr>
      <w:r>
        <w:rPr>
          <w:rFonts w:ascii="Times New Roman" w:hAnsi="Times New Roman"/>
          <w:b/>
          <w:sz w:val="20"/>
        </w:rPr>
        <w:t>Table 4. Sensitivity analysis: 4-class versus 3-class performance.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Analysis</w:t>
            </w:r>
          </w:p>
        </w:tc>
        <w:tc>
          <w:tcPr>
            <w:tcW w:type="dxa" w:w="1440"/>
          </w:tcPr>
          <w:p>
            <w:r>
              <w:rPr>
                <w:rFonts w:ascii="Times New Roman" w:hAnsi="Times New Roman"/>
                <w:b/>
                <w:sz w:val="18"/>
              </w:rPr>
              <w:t>Cohort</w:t>
            </w:r>
          </w:p>
        </w:tc>
        <w:tc>
          <w:tcPr>
            <w:tcW w:type="dxa" w:w="1440"/>
          </w:tcPr>
          <w:p>
            <w:r>
              <w:rPr>
                <w:rFonts w:ascii="Times New Roman" w:hAnsi="Times New Roman"/>
                <w:b/>
                <w:sz w:val="18"/>
              </w:rPr>
              <w:t>N</w:t>
            </w:r>
          </w:p>
        </w:tc>
        <w:tc>
          <w:tcPr>
            <w:tcW w:type="dxa" w:w="1440"/>
          </w:tcPr>
          <w:p>
            <w:r>
              <w:rPr>
                <w:rFonts w:ascii="Times New Roman" w:hAnsi="Times New Roman"/>
                <w:b/>
                <w:sz w:val="18"/>
              </w:rPr>
              <w:t>Macro F1</w:t>
            </w:r>
          </w:p>
        </w:tc>
        <w:tc>
          <w:tcPr>
            <w:tcW w:type="dxa" w:w="1440"/>
          </w:tcPr>
          <w:p>
            <w:r>
              <w:rPr>
                <w:rFonts w:ascii="Times New Roman" w:hAnsi="Times New Roman"/>
                <w:b/>
                <w:sz w:val="18"/>
              </w:rPr>
              <w:t>F1 95% CI</w:t>
            </w:r>
          </w:p>
        </w:tc>
        <w:tc>
          <w:tcPr>
            <w:tcW w:type="dxa" w:w="1440"/>
          </w:tcPr>
          <w:p>
            <w:r>
              <w:rPr>
                <w:rFonts w:ascii="Times New Roman" w:hAnsi="Times New Roman"/>
                <w:b/>
                <w:sz w:val="18"/>
              </w:rPr>
              <w:t>Kappa</w:t>
            </w:r>
          </w:p>
        </w:tc>
      </w:tr>
      <w:tr>
        <w:tc>
          <w:tcPr>
            <w:tcW w:type="dxa" w:w="1440"/>
          </w:tcPr>
          <w:p>
            <w:r>
              <w:rPr>
                <w:rFonts w:ascii="Times New Roman" w:hAnsi="Times New Roman"/>
                <w:sz w:val="18"/>
              </w:rPr>
              <w:t>3-class (Luminal grouped)</w:t>
            </w:r>
          </w:p>
        </w:tc>
        <w:tc>
          <w:tcPr>
            <w:tcW w:type="dxa" w:w="1440"/>
          </w:tcPr>
          <w:p>
            <w:r>
              <w:rPr>
                <w:rFonts w:ascii="Times New Roman" w:hAnsi="Times New Roman"/>
                <w:sz w:val="18"/>
              </w:rPr>
              <w:t>TCGA-BRCA</w:t>
            </w:r>
          </w:p>
        </w:tc>
        <w:tc>
          <w:tcPr>
            <w:tcW w:type="dxa" w:w="1440"/>
          </w:tcPr>
          <w:p>
            <w:r>
              <w:rPr>
                <w:rFonts w:ascii="Times New Roman" w:hAnsi="Times New Roman"/>
                <w:sz w:val="18"/>
              </w:rPr>
              <w:t>435</w:t>
            </w:r>
          </w:p>
        </w:tc>
        <w:tc>
          <w:tcPr>
            <w:tcW w:type="dxa" w:w="1440"/>
          </w:tcPr>
          <w:p>
            <w:r>
              <w:rPr>
                <w:rFonts w:ascii="Times New Roman" w:hAnsi="Times New Roman"/>
                <w:sz w:val="18"/>
              </w:rPr>
              <w:t>0.777</w:t>
            </w:r>
          </w:p>
        </w:tc>
        <w:tc>
          <w:tcPr>
            <w:tcW w:type="dxa" w:w="1440"/>
          </w:tcPr>
          <w:p>
            <w:r>
              <w:rPr>
                <w:rFonts w:ascii="Times New Roman" w:hAnsi="Times New Roman"/>
                <w:sz w:val="18"/>
              </w:rPr>
              <w:t>(0.720-0.826)</w:t>
            </w:r>
          </w:p>
        </w:tc>
        <w:tc>
          <w:tcPr>
            <w:tcW w:type="dxa" w:w="1440"/>
          </w:tcPr>
          <w:p>
            <w:r>
              <w:rPr>
                <w:rFonts w:ascii="Times New Roman" w:hAnsi="Times New Roman"/>
                <w:sz w:val="18"/>
              </w:rPr>
              <w:t>0.705</w:t>
            </w:r>
          </w:p>
        </w:tc>
      </w:tr>
      <w:tr>
        <w:tc>
          <w:tcPr>
            <w:tcW w:type="dxa" w:w="1440"/>
          </w:tcPr>
          <w:p>
            <w:r>
              <w:rPr>
                <w:rFonts w:ascii="Times New Roman" w:hAnsi="Times New Roman"/>
                <w:sz w:val="18"/>
              </w:rPr>
              <w:t>3-class (Luminal grouped)</w:t>
            </w:r>
          </w:p>
        </w:tc>
        <w:tc>
          <w:tcPr>
            <w:tcW w:type="dxa" w:w="1440"/>
          </w:tcPr>
          <w:p>
            <w:r>
              <w:rPr>
                <w:rFonts w:ascii="Times New Roman" w:hAnsi="Times New Roman"/>
                <w:sz w:val="18"/>
              </w:rPr>
              <w:t>METABRIC</w:t>
            </w:r>
          </w:p>
        </w:tc>
        <w:tc>
          <w:tcPr>
            <w:tcW w:type="dxa" w:w="1440"/>
          </w:tcPr>
          <w:p>
            <w:r>
              <w:rPr>
                <w:rFonts w:ascii="Times New Roman" w:hAnsi="Times New Roman"/>
                <w:sz w:val="18"/>
              </w:rPr>
              <w:t>1608</w:t>
            </w:r>
          </w:p>
        </w:tc>
        <w:tc>
          <w:tcPr>
            <w:tcW w:type="dxa" w:w="1440"/>
          </w:tcPr>
          <w:p>
            <w:r>
              <w:rPr>
                <w:rFonts w:ascii="Times New Roman" w:hAnsi="Times New Roman"/>
                <w:sz w:val="18"/>
              </w:rPr>
              <w:t>0.767</w:t>
            </w:r>
          </w:p>
        </w:tc>
        <w:tc>
          <w:tcPr>
            <w:tcW w:type="dxa" w:w="1440"/>
          </w:tcPr>
          <w:p>
            <w:r>
              <w:rPr>
                <w:rFonts w:ascii="Times New Roman" w:hAnsi="Times New Roman"/>
                <w:sz w:val="18"/>
              </w:rPr>
              <w:t>(0.739-0.796)</w:t>
            </w:r>
          </w:p>
        </w:tc>
        <w:tc>
          <w:tcPr>
            <w:tcW w:type="dxa" w:w="1440"/>
          </w:tcPr>
          <w:p>
            <w:r>
              <w:rPr>
                <w:rFonts w:ascii="Times New Roman" w:hAnsi="Times New Roman"/>
                <w:sz w:val="18"/>
              </w:rPr>
              <w:t>0.692</w:t>
            </w:r>
          </w:p>
        </w:tc>
      </w:tr>
      <w:tr>
        <w:tc>
          <w:tcPr>
            <w:tcW w:type="dxa" w:w="1440"/>
          </w:tcPr>
          <w:p>
            <w:r>
              <w:rPr>
                <w:rFonts w:ascii="Times New Roman" w:hAnsi="Times New Roman"/>
                <w:sz w:val="18"/>
              </w:rPr>
              <w:t>4-class (primary)</w:t>
            </w:r>
          </w:p>
        </w:tc>
        <w:tc>
          <w:tcPr>
            <w:tcW w:type="dxa" w:w="1440"/>
          </w:tcPr>
          <w:p>
            <w:r>
              <w:rPr>
                <w:rFonts w:ascii="Times New Roman" w:hAnsi="Times New Roman"/>
                <w:sz w:val="18"/>
              </w:rPr>
              <w:t>TCGA-BRCA</w:t>
            </w:r>
          </w:p>
        </w:tc>
        <w:tc>
          <w:tcPr>
            <w:tcW w:type="dxa" w:w="1440"/>
          </w:tcPr>
          <w:p>
            <w:r>
              <w:rPr>
                <w:rFonts w:ascii="Times New Roman" w:hAnsi="Times New Roman"/>
                <w:sz w:val="18"/>
              </w:rPr>
              <w:t>435</w:t>
            </w:r>
          </w:p>
        </w:tc>
        <w:tc>
          <w:tcPr>
            <w:tcW w:type="dxa" w:w="1440"/>
          </w:tcPr>
          <w:p>
            <w:r>
              <w:rPr>
                <w:rFonts w:ascii="Times New Roman" w:hAnsi="Times New Roman"/>
                <w:sz w:val="18"/>
              </w:rPr>
              <w:t>0.514</w:t>
            </w:r>
          </w:p>
        </w:tc>
        <w:tc>
          <w:tcPr>
            <w:tcW w:type="dxa" w:w="1440"/>
          </w:tcPr>
          <w:p>
            <w:r>
              <w:rPr>
                <w:rFonts w:ascii="Times New Roman" w:hAnsi="Times New Roman"/>
                <w:sz w:val="18"/>
              </w:rPr>
              <w:t>(0.477-0.547)</w:t>
            </w:r>
          </w:p>
        </w:tc>
        <w:tc>
          <w:tcPr>
            <w:tcW w:type="dxa" w:w="1440"/>
          </w:tcPr>
          <w:p>
            <w:r>
              <w:rPr>
                <w:rFonts w:ascii="Times New Roman" w:hAnsi="Times New Roman"/>
                <w:sz w:val="18"/>
              </w:rPr>
              <w:t>0.404</w:t>
            </w:r>
          </w:p>
        </w:tc>
      </w:tr>
      <w:tr>
        <w:tc>
          <w:tcPr>
            <w:tcW w:type="dxa" w:w="1440"/>
          </w:tcPr>
          <w:p>
            <w:r>
              <w:rPr>
                <w:rFonts w:ascii="Times New Roman" w:hAnsi="Times New Roman"/>
                <w:sz w:val="18"/>
              </w:rPr>
              <w:t>4-class (primary)</w:t>
            </w:r>
          </w:p>
        </w:tc>
        <w:tc>
          <w:tcPr>
            <w:tcW w:type="dxa" w:w="1440"/>
          </w:tcPr>
          <w:p>
            <w:r>
              <w:rPr>
                <w:rFonts w:ascii="Times New Roman" w:hAnsi="Times New Roman"/>
                <w:sz w:val="18"/>
              </w:rPr>
              <w:t>METABRIC</w:t>
            </w:r>
          </w:p>
        </w:tc>
        <w:tc>
          <w:tcPr>
            <w:tcW w:type="dxa" w:w="1440"/>
          </w:tcPr>
          <w:p>
            <w:r>
              <w:rPr>
                <w:rFonts w:ascii="Times New Roman" w:hAnsi="Times New Roman"/>
                <w:sz w:val="18"/>
              </w:rPr>
              <w:t>1608</w:t>
            </w:r>
          </w:p>
        </w:tc>
        <w:tc>
          <w:tcPr>
            <w:tcW w:type="dxa" w:w="1440"/>
          </w:tcPr>
          <w:p>
            <w:r>
              <w:rPr>
                <w:rFonts w:ascii="Times New Roman" w:hAnsi="Times New Roman"/>
                <w:sz w:val="18"/>
              </w:rPr>
              <w:t>0.522</w:t>
            </w:r>
          </w:p>
        </w:tc>
        <w:tc>
          <w:tcPr>
            <w:tcW w:type="dxa" w:w="1440"/>
          </w:tcPr>
          <w:p>
            <w:r>
              <w:rPr>
                <w:rFonts w:ascii="Times New Roman" w:hAnsi="Times New Roman"/>
                <w:sz w:val="18"/>
              </w:rPr>
              <w:t>(0.501-0.542)</w:t>
            </w:r>
          </w:p>
        </w:tc>
        <w:tc>
          <w:tcPr>
            <w:tcW w:type="dxa" w:w="1440"/>
          </w:tcPr>
          <w:p>
            <w:r>
              <w:rPr>
                <w:rFonts w:ascii="Times New Roman" w:hAnsi="Times New Roman"/>
                <w:sz w:val="18"/>
              </w:rPr>
              <w:t>0.376</w:t>
            </w:r>
          </w:p>
        </w:tc>
      </w:tr>
    </w:tbl>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(Fig. 6). Adding grade and, where available, Ki-67 produced incremental gains, but these gains plateaued below the surrogate and well below molecular classification. The limiting factor was therefore not model choice, but information content in the inputs.</w:t>
      </w:r>
    </w:p>
    <w:p>
      <w:pPr>
        <w:spacing w:before="240"/>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fig10_information_ceiling.png"/>
                    <pic:cNvPicPr/>
                  </pic:nvPicPr>
                  <pic:blipFill>
                    <a:blip r:embed="rId14"/>
                    <a:stretch>
                      <a:fillRect/>
                    </a:stretch>
                  </pic:blipFill>
                  <pic:spPr>
                    <a:xfrm>
                      <a:off x="0" y="0"/>
                      <a:ext cx="5029200" cy="3352800"/>
                    </a:xfrm>
                    <a:prstGeom prst="rect"/>
                  </pic:spPr>
                </pic:pic>
              </a:graphicData>
            </a:graphic>
          </wp:inline>
        </w:drawing>
      </w:r>
    </w:p>
    <w:p>
      <w:pPr>
        <w:spacing w:after="240"/>
      </w:pPr>
      <w:r>
        <w:rPr>
          <w:rFonts w:ascii="Times New Roman" w:hAnsi="Times New Roman"/>
          <w:i/>
          <w:sz w:val="20"/>
        </w:rPr>
        <w:t>Fig. 6. The information ceiling concept. ML performance improves with feature complexity but plateaus below the IHC surrogate.</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The practical value of molecular subtyping is unlikely to be uniform across all patients. Tumours with clearly non-luminal phenotypes, especially triple-negative and HER2-driven disease, are already reasonably well captured by routine biomarkers. By contrast, hormone receptor-positive/HER2-negative tumours near the Luminal A/Luminal B boundary remain the true zone of irreducible uncertainty [11]. In this context, the grey-zone analysis is useful not because it produces a better classifier, but because it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In this setting, the difference between logistic regression, random forest, and XGBoost was less important than the limited granularity of ER, PR, HER2, grade, and Ki-67 across public cohorts. This suggests that future efforts should focus less on increasingly complex classifiers built on the same routine variables and more on identifying what additional information—continuous biomarker measures, digital pathology, morphology-derived features,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are aligned with that literature, but extend it in three ways: first, by testing multiple machine-learning approaches rather than only rule-based surrogates; second, by requiring strict external validation across independent cohorts and platforms; and third, by using head-to-head comparisons on identical evaluable subsets. These design choices make the negative result more rigorous and, in our view, more clinically informative.</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between the surrogate and machine-learning models, bootstrap confidence intervals for all core metrics, and a grey-zone framework that translates prediction uncertainty into potential clinical utility.</w:t>
      </w:r>
    </w:p>
    <w:p>
      <w:pPr>
        <w:ind w:firstLine="720"/>
      </w:pPr>
      <w:r>
        <w:rPr>
          <w:rFonts w:ascii="Times New Roman" w:hAnsi="Times New Roman"/>
          <w:sz w:val="24"/>
        </w:rPr>
        <w:t>The study also has limitations. First, most routine biomarkers were available only in simplified categorical format, especially ER, PR, and HER2, likely underestimating the potential contribution of more granular pathology data. Second, continuous Ki-67 was available only in the smaller SCAN-B cohort, and histological grade was absent in TCGA-BRCA, limiting portability of enriched feature sets. Third, PAM50 labels were obtained from public resources with cohort-specific implementations. Fourth, this was a purely in silico study without outcome-based confirmation of the clinical consequences of discordant luminal assignments.</w:t>
      </w:r>
    </w:p>
    <w:p>
      <w:pPr>
        <w:ind w:firstLine="720"/>
      </w:pPr>
      <w:r>
        <w:rPr>
          <w:rFonts w:ascii="Times New Roman" w:hAnsi="Times New Roman"/>
          <w:sz w:val="24"/>
        </w:rPr>
        <w:t>These limitations do not weaken the core conclusion. If anything, they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not in the classifier. The irreducible uncertainty concentrates at the Luminal A/Luminal B boundary, defining a clinically relevant grey zone in which molecular testing is most likely to add value. These findings support a selective, rather than indiscriminate, use of molecular subtyping in breast cancer.</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Claude 3.5 Sonnet and Claude Opus 4 (Anthropic) in order to assist with Python and R code development for data acquisition, statistical modelling, bootstrap analysis, and publication-quality figure generation. The author(s) also used ChatGPT-4o (OpenAI) in order to support language editing and structural refinement of the manuscript text. After using these tools, the author(s) reviewed and edited the content as needed and take(s)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available at: https://github.com/oncologista/pam50-ihc-ml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drawing>
          <wp:inline xmlns:a="http://schemas.openxmlformats.org/drawingml/2006/main" xmlns:pic="http://schemas.openxmlformats.org/drawingml/2006/picture">
            <wp:extent cx="5029200" cy="3592286"/>
            <wp:docPr id="7" name="Picture 7"/>
            <wp:cNvGraphicFramePr>
              <a:graphicFrameLocks noChangeAspect="1"/>
            </wp:cNvGraphicFramePr>
            <a:graphic>
              <a:graphicData uri="http://schemas.openxmlformats.org/drawingml/2006/picture">
                <pic:pic>
                  <pic:nvPicPr>
                    <pic:cNvPr id="0" name="fig1_cohort_design.png"/>
                    <pic:cNvPicPr/>
                  </pic:nvPicPr>
                  <pic:blipFill>
                    <a:blip r:embed="rId15"/>
                    <a:stretch>
                      <a:fillRect/>
                    </a:stretch>
                  </pic:blipFill>
                  <pic:spPr>
                    <a:xfrm>
                      <a:off x="0" y="0"/>
                      <a:ext cx="5029200" cy="3592286"/>
                    </a:xfrm>
                    <a:prstGeom prst="rect"/>
                  </pic:spPr>
                </pic:pic>
              </a:graphicData>
            </a:graphic>
          </wp:inline>
        </w:drawing>
      </w:r>
    </w:p>
    <w:p>
      <w:pPr>
        <w:spacing w:after="240"/>
      </w:pPr>
      <w:r>
        <w:rPr>
          <w:rFonts w:ascii="Times New Roman" w:hAnsi="Times New Roman"/>
          <w:i/>
          <w:sz w:val="20"/>
        </w:rPr>
        <w:t>Supplementary Fig. S1. Study design and sample flow across cohorts.</w:t>
      </w:r>
    </w:p>
    <w:p>
      <w:pPr>
        <w:spacing w:before="240"/>
        <w:jc w:val="center"/>
      </w:pPr>
      <w:r>
        <w:drawing>
          <wp:inline xmlns:a="http://schemas.openxmlformats.org/drawingml/2006/main" xmlns:pic="http://schemas.openxmlformats.org/drawingml/2006/picture">
            <wp:extent cx="5029200" cy="3233057"/>
            <wp:docPr id="8" name="Picture 8"/>
            <wp:cNvGraphicFramePr>
              <a:graphicFrameLocks noChangeAspect="1"/>
            </wp:cNvGraphicFramePr>
            <a:graphic>
              <a:graphicData uri="http://schemas.openxmlformats.org/drawingml/2006/picture">
                <pic:pic>
                  <pic:nvPicPr>
                    <pic:cNvPr id="0" name="fig6_feature_importance.png"/>
                    <pic:cNvPicPr/>
                  </pic:nvPicPr>
                  <pic:blipFill>
                    <a:blip r:embed="rId16"/>
                    <a:stretch>
                      <a:fillRect/>
                    </a:stretch>
                  </pic:blipFill>
                  <pic:spPr>
                    <a:xfrm>
                      <a:off x="0" y="0"/>
                      <a:ext cx="5029200" cy="3233057"/>
                    </a:xfrm>
                    <a:prstGeom prst="rect"/>
                  </pic:spPr>
                </pic:pic>
              </a:graphicData>
            </a:graphic>
          </wp:inline>
        </w:drawing>
      </w:r>
    </w:p>
    <w:p>
      <w:pPr>
        <w:spacing w:after="240"/>
      </w:pPr>
      <w:r>
        <w:rPr>
          <w:rFonts w:ascii="Times New Roman" w:hAnsi="Times New Roman"/>
          <w:i/>
          <w:sz w:val="20"/>
        </w:rPr>
        <w:t>Supplementary Fig. S2. Feature importance (Random Forest and XGBoost).</w:t>
      </w:r>
    </w:p>
    <w:p>
      <w:pPr>
        <w:spacing w:before="240"/>
        <w:jc w:val="center"/>
      </w:pPr>
      <w:r>
        <w:drawing>
          <wp:inline xmlns:a="http://schemas.openxmlformats.org/drawingml/2006/main" xmlns:pic="http://schemas.openxmlformats.org/drawingml/2006/picture">
            <wp:extent cx="5029200" cy="3951514"/>
            <wp:docPr id="9" name="Picture 9"/>
            <wp:cNvGraphicFramePr>
              <a:graphicFrameLocks noChangeAspect="1"/>
            </wp:cNvGraphicFramePr>
            <a:graphic>
              <a:graphicData uri="http://schemas.openxmlformats.org/drawingml/2006/picture">
                <pic:pic>
                  <pic:nvPicPr>
                    <pic:cNvPr id="0" name="fig7_sensitivity_3v4.png"/>
                    <pic:cNvPicPr/>
                  </pic:nvPicPr>
                  <pic:blipFill>
                    <a:blip r:embed="rId17"/>
                    <a:stretch>
                      <a:fillRect/>
                    </a:stretch>
                  </pic:blipFill>
                  <pic:spPr>
                    <a:xfrm>
                      <a:off x="0" y="0"/>
                      <a:ext cx="5029200" cy="3951514"/>
                    </a:xfrm>
                    <a:prstGeom prst="rect"/>
                  </pic:spPr>
                </pic:pic>
              </a:graphicData>
            </a:graphic>
          </wp:inline>
        </w:drawing>
      </w:r>
    </w:p>
    <w:p>
      <w:pPr>
        <w:spacing w:after="240"/>
      </w:pPr>
      <w:r>
        <w:rPr>
          <w:rFonts w:ascii="Times New Roman" w:hAnsi="Times New Roman"/>
          <w:i/>
          <w:sz w:val="20"/>
        </w:rPr>
        <w:t>Supplementary Fig. S3. Sensitivity analysis: 4-class versus 3-class macro-F1.</w:t>
      </w:r>
    </w:p>
    <w:p>
      <w:pPr>
        <w:spacing w:before="240"/>
        <w:jc w:val="center"/>
      </w:pPr>
      <w:r>
        <w:drawing>
          <wp:inline xmlns:a="http://schemas.openxmlformats.org/drawingml/2006/main" xmlns:pic="http://schemas.openxmlformats.org/drawingml/2006/picture">
            <wp:extent cx="5029200" cy="3457575"/>
            <wp:docPr id="10" name="Picture 10"/>
            <wp:cNvGraphicFramePr>
              <a:graphicFrameLocks noChangeAspect="1"/>
            </wp:cNvGraphicFramePr>
            <a:graphic>
              <a:graphicData uri="http://schemas.openxmlformats.org/drawingml/2006/picture">
                <pic:pic>
                  <pic:nvPicPr>
                    <pic:cNvPr id="0" name="fig8_feature_set_comparison.png"/>
                    <pic:cNvPicPr/>
                  </pic:nvPicPr>
                  <pic:blipFill>
                    <a:blip r:embed="rId18"/>
                    <a:stretch>
                      <a:fillRect/>
                    </a:stretch>
                  </pic:blipFill>
                  <pic:spPr>
                    <a:xfrm>
                      <a:off x="0" y="0"/>
                      <a:ext cx="5029200" cy="3457575"/>
                    </a:xfrm>
                    <a:prstGeom prst="rect"/>
                  </pic:spPr>
                </pic:pic>
              </a:graphicData>
            </a:graphic>
          </wp:inline>
        </w:drawing>
      </w:r>
    </w:p>
    <w:p>
      <w:pPr>
        <w:spacing w:after="240"/>
      </w:pPr>
      <w:r>
        <w:rPr>
          <w:rFonts w:ascii="Times New Roman" w:hAnsi="Times New Roman"/>
          <w:i/>
          <w:sz w:val="20"/>
        </w:rPr>
        <w:t>Supplementary Fig. S4. Feature set comparison across cohorts.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