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João Batista de Sousa </w:t>
      </w:r>
      <w:r>
        <w:rPr>
          <w:rFonts w:ascii="Times New Roman" w:hAnsi="Times New Roman"/>
          <w:sz w:val="24"/>
          <w:vertAlign w:val="superscript"/>
        </w:rPr>
        <w:t>2</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120" w:after="120"/>
      </w:pPr>
      <w:r>
        <w:rPr>
          <w:rFonts w:ascii="Times New Roman" w:hAnsi="Times New Roman"/>
          <w:b/>
          <w:color w:val="960000"/>
          <w:sz w:val="20"/>
        </w:rPr>
        <w:t>[Table 1. Cohort characteristics and evaluable sample sizes by feature set.]</w:t>
      </w:r>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[4].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not available. Cases missing ER, PR, or HER2 were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In METABRIC head-to-head analysis (n=1,554), it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all cohorts, although TCGA-BRCA showed an unstable extreme due to small evaluable luminal subsets and the absence of grade.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2. Luminal A/B crossover by IHC surrogate across cohorts.</w:t>
      </w:r>
    </w:p>
    <w:p>
      <w:pPr>
        <w:spacing w:before="120" w:after="120"/>
      </w:pPr>
      <w:r>
        <w:rPr>
          <w:rFonts w:ascii="Times New Roman" w:hAnsi="Times New Roman"/>
          <w:b/>
          <w:color w:val="960000"/>
          <w:sz w:val="20"/>
        </w:rPr>
        <w:t>[Table 2. Luminal A/Luminal B crossover rates by cohort.]</w:t>
      </w:r>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head-to-head comparison (Fig. 3).</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still remained inferior to the surrogate value of 0.644–0.646 depending on the matched subset.</w:t>
      </w:r>
    </w:p>
    <w:p>
      <w:pPr>
        <w:ind w:firstLine="720"/>
      </w:pPr>
      <w:r>
        <w:rPr>
          <w:rFonts w:ascii="Times New Roman" w:hAnsi="Times New Roman"/>
          <w:sz w:val="24"/>
        </w:rPr>
        <w:t>In TCGA-BRCA, the surrogate achieved macro-F1 0.485 (0.431–0.541) in the head-to-head subset (n=162), whereas the best machine-learning model reached 0.368. Across both external cohorts, the pattern was consistent: grade added some recoverable signal, but the gain was insufficient to match the conventional surrogate.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120" w:after="120"/>
      </w:pPr>
      <w:r>
        <w:rPr>
          <w:rFonts w:ascii="Times New Roman" w:hAnsi="Times New Roman"/>
          <w:b/>
          <w:color w:val="960000"/>
          <w:sz w:val="20"/>
        </w:rPr>
        <w:t>[Table 3. Grey-zone analysis by confidence tier.]</w:t>
      </w:r>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Macro-F1 increased from 0.514 to 0.777 in TCGA-BRCA and from 0.522 to 0.767 in METABRIC (Table 4). This result is central to interpretation: most of the classification deficit resides within the luminal boundary rather than in the broader separation of luminal, HER2-enriched, and Basal-like disease.</w:t>
      </w:r>
    </w:p>
    <w:p>
      <w:pPr>
        <w:spacing w:before="120" w:after="120"/>
      </w:pPr>
      <w:r>
        <w:rPr>
          <w:rFonts w:ascii="Times New Roman" w:hAnsi="Times New Roman"/>
          <w:b/>
          <w:color w:val="960000"/>
          <w:sz w:val="20"/>
        </w:rPr>
        <w:t>[Table 4. Sensitivity analysis: 4-class versus 3-class performance.]</w:t>
      </w:r>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(Fig. 6). Adding grade and, where available, Ki-67 produced incremental gains, but these gains plateaued below the surrogate and well below molecular classification. The limiting factor was therefore not model choice, but information content in the inputs.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6. The information ceiling concept. ML performance improves with feature complexity but plateaus below the IHC surrogate.</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The practical value of molecular subtyping is unlikely to be uniform across all patients. Tumours with clearly non-luminal phenotypes, especially triple-negative and HER2-driven disease, are already reasonably well captured by routine biomarkers. By contrast, hormone receptor-positive/HER2-negative tumours near the Luminal A/Luminal B boundary remain the true zone of irreducible uncertainty [11]. In this context, the grey-zone analysis is useful not because it produces a better classifier, but because it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In this setting, the difference between logistic regression, random forest, and XGBoost was less important than the limited granularity of ER, PR, HER2, grade, and Ki-67 across public cohorts. This suggests that future efforts should focus less on increasingly complex classifiers built on the same routine variables and more on identifying what additional information—continuous biomarker measures, digital pathology, morphology-derived features,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are aligned with that literature, but extend it in three ways: first, by testing multiple machine-learning approaches rather than only rule-based surrogates; second, by requiring strict external validation across independent cohorts and platforms; and third, by using head-to-head comparisons on identical evaluable subsets. These design choices make the negative result more rigorous and, in our view, more clinically informative.</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between the surrogate and machine-learning models, bootstrap confidence intervals for all core metrics, and a grey-zone framework that translates prediction uncertainty into potential clinical utility.</w:t>
      </w:r>
    </w:p>
    <w:p>
      <w:pPr>
        <w:ind w:firstLine="720"/>
      </w:pPr>
      <w:r>
        <w:rPr>
          <w:rFonts w:ascii="Times New Roman" w:hAnsi="Times New Roman"/>
          <w:sz w:val="24"/>
        </w:rPr>
        <w:t>The study also has limitations. First, most routine biomarkers were available only in simplified categorical format, especially ER, PR, and HER2, likely underestimating the potential contribution of more granular pathology data. Second, continuous Ki-67 was available only in the smaller SCAN-B cohort, and histological grade was absent in TCGA-BRCA, limiting portability of enriched feature sets. Third, PAM50 labels were obtained from public resources with cohort-specific implementations. Fourth, this was a purely in silico study without outcome-based confirmation of the clinical consequences of discordant luminal assignments.</w:t>
      </w:r>
    </w:p>
    <w:p>
      <w:pPr>
        <w:ind w:firstLine="720"/>
      </w:pPr>
      <w:r>
        <w:rPr>
          <w:rFonts w:ascii="Times New Roman" w:hAnsi="Times New Roman"/>
          <w:sz w:val="24"/>
        </w:rPr>
        <w:t>These limitations do not weaken the core conclusion. If anything, they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not in the classifier. The irreducible uncertainty concentrates at the Luminal A/Luminal B boundary, defining a clinically relevant grey zone in which molecular testing is most likely to add value. These findings support a selective, rather than indiscriminate, use of molecular subtyping in breast cancer.</w:t>
      </w:r>
    </w:p>
    <w:p>
      <w:pPr>
        <w:spacing w:before="360" w:after="120"/>
      </w:pPr>
      <w:r>
        <w:rPr>
          <w:rFonts w:ascii="Times New Roman" w:hAnsi="Times New Roman"/>
          <w:b/>
          <w:sz w:val="28"/>
        </w:rPr>
        <w:t>Funding</w:t>
      </w:r>
    </w:p>
    <w:p>
      <w:r>
        <w:rPr>
          <w:rFonts w:ascii="Times New Roman" w:hAnsi="Times New Roman"/>
          <w:sz w:val="24"/>
        </w:rPr>
        <w:t>This research did not receive any specific grant from funding agencies in the public, commercial, or not-for-profit sectors.</w:t>
      </w:r>
    </w:p>
    <w:p>
      <w:pPr>
        <w:spacing w:before="360" w:after="120"/>
      </w:pPr>
      <w:r>
        <w:rPr>
          <w:rFonts w:ascii="Times New Roman" w:hAnsi="Times New Roman"/>
          <w:b/>
          <w:sz w:val="28"/>
        </w:rPr>
        <w:t>Declaration of competing interest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Claude 3.5 Sonnet and Claude Opus 4 (Anthropic) in order to assist with Python and R code development for data acquisition, statistical modelling, bootstrap analysis, and publication-quality figure generation. The author(s) also used ChatGPT-4o (OpenAI) in order to support language editing and structural refinement of the manuscript text. After using these tools, the author(s) reviewed and edited the content as needed and take(s)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Complete analysis code and reproducibility materials are available at: https://github.com/oncologista/pam50-ihc-ml</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S1. Study design and sample flow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S2. Feature importance (Random Forest and XGBoost).</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S3. Sensitivity analysis: 4-class versus 3-class macro-F1.</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S4. Feature set comparison across cohorts.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