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</w:pPr>
      <w:r>
        <w:rPr>
          <w:rFonts w:ascii="Times New Roman" w:hAnsi="Times New Roman"/>
          <w:b/>
          <w:sz w:val="28"/>
        </w:rPr>
        <w:t>Tables</w:t>
      </w:r>
    </w:p>
    <w:p>
      <w:pPr>
        <w:spacing w:before="240"/>
      </w:pPr>
      <w:r>
        <w:rPr>
          <w:rFonts w:ascii="Times New Roman" w:hAnsi="Times New Roman"/>
          <w:b/>
          <w:sz w:val="20"/>
        </w:rPr>
        <w:t>Table 1. Cohort characteristics and evaluable sample sizes by feature set.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(4-class PAM50)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(Set 1 complete)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(Set 2 complete)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(Surrogate classifiable)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(Head-to-head Set 1 vs Surrogate)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GSE81538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381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GSE96058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2867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2597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2464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519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1554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2. Luminal A/Luminal B crossover rates by cohort.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True LumA (N)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LumA misclassified as LumB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True LumB (N)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18"/>
              </w:rPr>
              <w:t>LumB misclassified as LumA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GSE81538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155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42 (27.1%)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105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17 (16.2%)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GSE96058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369 (25.1%)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676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196 (29.0%)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26 (92.9%)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0 (0.0%)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669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180 (26.9%)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18"/>
              </w:rPr>
              <w:t>194 (42.5%)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3. Grey-zone analysis by confidence tier.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Confidence Zone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 (%)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ML Accuracy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Surrogate Accuracy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Luminal A+B proportion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Low (&lt;0.50)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208 (13.5%)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0.548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73.6%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Medium (0.50-0.70)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438 (28.4%)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0.493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0.493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88.8%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High (&gt;0.70)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898 (58.2%)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64.9%</w:t>
            </w:r>
          </w:p>
        </w:tc>
      </w:tr>
    </w:tbl>
    <w:p/>
    <w:p>
      <w:pPr>
        <w:spacing w:before="240"/>
      </w:pPr>
      <w:r>
        <w:rPr>
          <w:rFonts w:ascii="Times New Roman" w:hAnsi="Times New Roman"/>
          <w:b/>
          <w:sz w:val="20"/>
        </w:rPr>
        <w:t>Table 4. Sensitivity analysis: 4-class versus 3-class performance.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Analysis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Cohort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Macro F1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F1 95% CI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b/>
                <w:sz w:val="18"/>
              </w:rPr>
              <w:t>Kappa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3-class (Luminal grouped)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0.777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(0.720-0.826)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0.705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3-class (Luminal grouped)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0.767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(0.739-0.796)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0.692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4-class (primary)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TCGA-BRCA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0.514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(0.477-0.547)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0.404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4-class (primary)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METABRIC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0.522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(0.501-0.542)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18"/>
              </w:rPr>
              <w:t>0.376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