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Analysis code and reproducibility materials will be made publicly available upon acceptance.</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