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/>
          <w:b/>
          <w:sz w:val="28"/>
        </w:rPr>
        <w:t>Tables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sz w:val="18"/>
        </w:rPr>
        <w:t>Table 1. Cohort characteristics and evaluable sample sizes by pathology feature set and surrogate applicability.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Cohort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(4-class PAM50)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(Receptor-only complete)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(Receptor-grade complete)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(Surrogate classifiable)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(H2H Receptor-only vs Surrogate)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 (H2H Receptor-grade vs Surrogate)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GSE81538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GSE96058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2867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2467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2429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2597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2464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2429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TCGA-BRCA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435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METABRIC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1544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1544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sz w:val="18"/>
        </w:rPr>
        <w:t>Table 2. Luminal A/Luminal B crossover rates by cohort.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Cohort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True LumA (N)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LumA misclassified as LumB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True LumB (N)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LumB misclassified as LumA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GSE81538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42 (27.1%)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 (16.2%)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GSE96058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1469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369 (25.1%)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676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196 (29.0%)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TCGA-BRCA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 (92.9%)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 (0.0%)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METABRIC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669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180 (26.9%)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457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194 (42.5%)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sz w:val="18"/>
        </w:rPr>
        <w:t>Table 3. Grey-zone analysis by confidence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Confidence Zone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%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ML Accuracy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Surrogate Accuracy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Luminal A+B proportion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Low (&lt;0.50)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13.5%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0.159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0.548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73.6%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Medium (0.50-0.70)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438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28.4%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0.493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0.493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88.8%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High (&gt;0.70)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898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58.2%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0.738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64.9%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sz w:val="18"/>
        </w:rPr>
        <w:t>Table 4. Sensitivity analysis comparing 4-class XGBoost receptor-only and 3-class luminal-grouped performance in model-evaluable subsets.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Analysis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Cohort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Macro F1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F1 95% CI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Kappa</w:t>
            </w:r>
          </w:p>
        </w:tc>
        <w:tc>
          <w:tcPr>
            <w:tcW w:type="dxa" w:w="13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Kappa 95% CI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3-class (Luminal grouped)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TCGA-BRCA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435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0.777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(0.720-0.826)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0.705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(0.627-0.769)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3-class (Luminal grouped)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METABRIC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0.767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(0.739-0.796)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0.692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(0.657-0.729)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4-class XGBoost receptor-only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TCGA-BRCA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435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0.514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(0.477-0.547)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0.404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(0.341-0.467)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4-class XGBoost receptor-only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METABRIC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0.522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(0.501-0.542)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0.376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(0.347-0.406)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