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TITLE PAGE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Routine pathology cannot reliably reproduce 4-class PAM50 intrinsic subtypes in breast cancer: a multicohort in silico study defining the luminal grey zone</w:t>
      </w:r>
    </w:p>
    <w:p/>
    <w:p>
      <w:pPr>
        <w:jc w:val="center"/>
      </w:pPr>
      <w:r>
        <w:rPr>
          <w:rFonts w:ascii="Times New Roman" w:hAnsi="Times New Roman"/>
          <w:sz w:val="24"/>
        </w:rPr>
        <w:t xml:space="preserve">Rafael de Negreiros Botan </w:t>
      </w:r>
      <w:r>
        <w:rPr>
          <w:rFonts w:ascii="Times New Roman" w:hAnsi="Times New Roman"/>
          <w:sz w:val="24"/>
          <w:vertAlign w:val="superscript"/>
        </w:rPr>
        <w:t>1,*</w:t>
      </w:r>
      <w:r>
        <w:rPr>
          <w:rFonts w:ascii="Times New Roman" w:hAnsi="Times New Roman"/>
          <w:sz w:val="24"/>
        </w:rPr>
        <w:t xml:space="preserve">, João Batista de Sousa </w:t>
      </w:r>
      <w:r>
        <w:rPr>
          <w:rFonts w:ascii="Times New Roman" w:hAnsi="Times New Roman"/>
          <w:sz w:val="24"/>
          <w:vertAlign w:val="superscript"/>
        </w:rPr>
        <w:t>2</w:t>
      </w:r>
    </w:p>
    <w:p/>
    <w:p>
      <w:pPr>
        <w:jc w:val="center"/>
      </w:pPr>
      <w:r>
        <w:rPr>
          <w:rFonts w:ascii="Times New Roman" w:hAnsi="Times New Roman"/>
          <w:i/>
          <w:sz w:val="20"/>
        </w:rPr>
        <w:t>¹ Department of Oncology, Universidade de Brasília, Brasília, Brazil</w:t>
      </w:r>
    </w:p>
    <w:p>
      <w:pPr>
        <w:jc w:val="center"/>
      </w:pPr>
      <w:r>
        <w:rPr>
          <w:rFonts w:ascii="Times New Roman" w:hAnsi="Times New Roman"/>
          <w:i/>
          <w:sz w:val="20"/>
        </w:rPr>
        <w:t>² Department of Proctology, Universidade de Brasília, Brasília, Brazil</w:t>
      </w:r>
    </w:p>
    <w:p>
      <w:pPr>
        <w:jc w:val="center"/>
      </w:pPr>
      <w:r>
        <w:rPr>
          <w:rFonts w:ascii="Times New Roman" w:hAnsi="Times New Roman"/>
          <w:sz w:val="20"/>
        </w:rPr>
        <w:t>* Corresponding author: Rafael de Negreiros Botan – oncologista@gmail.com</w:t>
      </w:r>
    </w:p>
    <w:p/>
    <w:p/>
    <w:p>
      <w:r>
        <w:rPr>
          <w:rFonts w:ascii="Times New Roman" w:hAnsi="Times New Roman"/>
          <w:b/>
          <w:sz w:val="22"/>
        </w:rPr>
        <w:t xml:space="preserve">Running title: </w:t>
      </w:r>
      <w:r>
        <w:rPr>
          <w:rFonts w:ascii="Times New Roman" w:hAnsi="Times New Roman"/>
          <w:i/>
          <w:sz w:val="22"/>
        </w:rPr>
        <w:t>Information ceiling for routine-data approximation of PAM50</w:t>
      </w:r>
    </w:p>
    <w:p/>
    <w:p>
      <w:r>
        <w:rPr>
          <w:rFonts w:ascii="Times New Roman" w:hAnsi="Times New Roman"/>
          <w:b/>
          <w:sz w:val="22"/>
        </w:rPr>
        <w:t xml:space="preserve">Keywords: </w:t>
      </w:r>
      <w:r>
        <w:rPr>
          <w:rFonts w:ascii="Times New Roman" w:hAnsi="Times New Roman"/>
          <w:sz w:val="22"/>
        </w:rPr>
        <w:t>breast cancer; PAM50; intrinsic subtype; immunohistochemistry; machine learning; grey zone</w:t>
      </w:r>
    </w:p>
    <w:p/>
    <w:p>
      <w:r>
        <w:rPr>
          <w:rFonts w:ascii="Times New Roman" w:hAnsi="Times New Roman"/>
          <w:b/>
          <w:sz w:val="22"/>
        </w:rPr>
        <w:t xml:space="preserve">Word count: </w:t>
      </w:r>
      <w:r>
        <w:rPr>
          <w:rFonts w:ascii="Times New Roman" w:hAnsi="Times New Roman"/>
          <w:sz w:val="22"/>
        </w:rPr>
        <w:t>Abstract: ~250 words; Main text: ~2,200 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