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r>
        <w:rPr>
          <w:rFonts w:ascii="Times New Roman" w:hAnsi="Times New Roman"/>
          <w:b/>
          <w:i w:val="0"/>
          <w:sz w:val="24"/>
        </w:rPr>
        <w:t>Cover Letter – The Breast</w:t>
      </w:r>
    </w:p>
    <w:p>
      <w:pPr>
        <w:spacing w:after="240"/>
      </w:pPr>
      <w:r>
        <w:rPr>
          <w:rFonts w:ascii="Times New Roman" w:hAnsi="Times New Roman"/>
          <w:b w:val="0"/>
          <w:i w:val="0"/>
          <w:sz w:val="24"/>
        </w:rPr>
        <w:t>March 2025</w:t>
      </w:r>
    </w:p>
    <w:p>
      <w:pPr>
        <w:spacing w:after="40"/>
      </w:pPr>
      <w:r>
        <w:rPr>
          <w:rFonts w:ascii="Times New Roman" w:hAnsi="Times New Roman"/>
          <w:b/>
          <w:sz w:val="24"/>
        </w:rPr>
        <w:t>Prof. Fatima Cardoso, MD</w:t>
      </w:r>
    </w:p>
    <w:p>
      <w:pPr>
        <w:spacing w:after="40"/>
      </w:pPr>
      <w:r>
        <w:rPr>
          <w:rFonts w:ascii="Times New Roman" w:hAnsi="Times New Roman"/>
          <w:sz w:val="24"/>
        </w:rPr>
        <w:t>Editor-in-Chief</w:t>
      </w:r>
    </w:p>
    <w:p>
      <w:pPr>
        <w:spacing w:after="240"/>
      </w:pPr>
      <w:r>
        <w:rPr>
          <w:rFonts w:ascii="Times New Roman" w:hAnsi="Times New Roman"/>
          <w:i/>
          <w:sz w:val="24"/>
        </w:rPr>
        <w:t>The Breast</w:t>
      </w:r>
    </w:p>
    <w:p>
      <w:pPr>
        <w:spacing w:after="240"/>
      </w:pPr>
      <w:r>
        <w:rPr>
          <w:rFonts w:ascii="Times New Roman" w:hAnsi="Times New Roman"/>
          <w:b w:val="0"/>
          <w:i w:val="0"/>
          <w:sz w:val="24"/>
        </w:rPr>
        <w:t>Dear Prof. Cardoso,</w:t>
      </w:r>
    </w:p>
    <w:p>
      <w:pPr>
        <w:spacing w:after="160"/>
      </w:pPr>
      <w:r>
        <w:rPr>
          <w:rFonts w:ascii="Times New Roman" w:hAnsi="Times New Roman"/>
          <w:b w:val="0"/>
          <w:i w:val="0"/>
          <w:sz w:val="24"/>
        </w:rPr>
        <w:t>Please find attached our manuscript entitled “Routine pathology cannot reliably reproduce 4-class PAM50 intrinsic subtypes in breast cancer: a multicohort in silico study defining the luminal grey zone” for consideration as an Original Article in The Breast.</w:t>
      </w:r>
    </w:p>
    <w:p>
      <w:pPr>
        <w:spacing w:after="160"/>
      </w:pPr>
      <w:r>
        <w:rPr>
          <w:rFonts w:ascii="Times New Roman" w:hAnsi="Times New Roman"/>
          <w:b w:val="0"/>
          <w:i w:val="0"/>
          <w:sz w:val="24"/>
        </w:rPr>
        <w:t>This study addresses a clinically relevant question: how far can routine clinicopathological data approximate intrinsic molecular subtypes, and where does molecular testing provide genuine added value? Using four public cohorts with PAM50 labels (GSE81538, GSE96058, TCGA-BRCA, and METABRIC; total n=5,377), we compared a conventional immunohistochemical surrogate with multiple machine-learning models trained on nested feature sets of increasing complexity. Across external validations using matched-denominator head-to-head comparisons, no model outperformed the surrogate. More importantly, both approaches showed a consistent performance ceiling, with the dominant source of error concentrated at the Luminal A/Luminal B boundary.</w:t>
      </w:r>
    </w:p>
    <w:p>
      <w:pPr>
        <w:spacing w:after="80"/>
      </w:pPr>
      <w:r>
        <w:rPr>
          <w:rFonts w:ascii="Times New Roman" w:hAnsi="Times New Roman"/>
          <w:b w:val="0"/>
          <w:i w:val="0"/>
          <w:sz w:val="24"/>
        </w:rPr>
        <w:t>We believe the manuscript is well suited to The Breast for three reasons:</w:t>
      </w:r>
    </w:p>
    <w:p>
      <w:pPr>
        <w:spacing w:after="80"/>
      </w:pPr>
      <w:r>
        <w:rPr>
          <w:rFonts w:ascii="Times New Roman" w:hAnsi="Times New Roman"/>
          <w:b w:val="0"/>
          <w:i w:val="0"/>
          <w:sz w:val="24"/>
        </w:rPr>
        <w:t>1. Clinical relevance. The study addresses the everyday tension between accessible surrogate classification and costlier molecular assays. Rather than proposing another marginally positive algorithm, it defines the real-world limit of routine-data approximation and clarifies where genomic subtyping remains most valuable.</w:t>
      </w:r>
    </w:p>
    <w:p>
      <w:pPr>
        <w:spacing w:after="80"/>
      </w:pPr>
      <w:r>
        <w:rPr>
          <w:rFonts w:ascii="Times New Roman" w:hAnsi="Times New Roman"/>
          <w:b w:val="0"/>
          <w:i w:val="0"/>
          <w:sz w:val="24"/>
        </w:rPr>
        <w:t>2. Methodological rigour. The study uses four independent cohorts spanning two molecular platforms, strict external validation, bootstrap confidence intervals, and matched-denominator comparisons. The framing of TCGA-BRCA as a structurally limited validation cohort —owing to the absence of both Ki-67 and histological grade— is explicitly addressed in the methods, ensuring transparent interpretation of results.</w:t>
      </w:r>
    </w:p>
    <w:p>
      <w:pPr>
        <w:spacing w:after="160"/>
      </w:pPr>
      <w:r>
        <w:rPr>
          <w:rFonts w:ascii="Times New Roman" w:hAnsi="Times New Roman"/>
          <w:b w:val="0"/>
          <w:i w:val="0"/>
          <w:sz w:val="24"/>
        </w:rPr>
        <w:t>3. Actionable interpretation. A grey-zone framework identifies a specific subgroup —predominantly HR-positive/HER2-negative tumours near the Luminal A/Luminal B boundary— in which routine classification is least reliable and molecular testing is most likely to refine biological interpretation.</w:t>
      </w:r>
    </w:p>
    <w:p>
      <w:pPr>
        <w:spacing w:after="160"/>
      </w:pPr>
      <w:r>
        <w:rPr>
          <w:rFonts w:ascii="Times New Roman" w:hAnsi="Times New Roman"/>
          <w:b w:val="0"/>
          <w:i w:val="0"/>
          <w:sz w:val="24"/>
        </w:rPr>
        <w:t>The principal contribution is therefore the negative result itself: routine clinicopathological variables impose an information ceiling that no algorithm can overcome, and the irreducible uncertainty concentrates in a clinically meaningful luminal grey zone.</w:t>
      </w:r>
    </w:p>
    <w:p>
      <w:pPr>
        <w:spacing w:after="160"/>
      </w:pPr>
      <w:r>
        <w:rPr>
          <w:rFonts w:ascii="Times New Roman" w:hAnsi="Times New Roman"/>
          <w:b w:val="0"/>
          <w:i w:val="0"/>
          <w:sz w:val="24"/>
        </w:rPr>
        <w:t>This manuscript has not been published previously and is not under consideration elsewhere. All authors have approved the submission and declare no conflicts of interest. All data analysed are publicly available from established repositories (NCBI GEO and cBioPortal). The study was conducted entirely in silico using de-identified datasets; ethics approval was therefore not required. Complete analysis code and reproducibility materials are publicly available at: https://github.com/RafaelBotan/pam50-ihc-ml</w:t>
      </w:r>
    </w:p>
    <w:p>
      <w:pPr>
        <w:spacing w:after="240"/>
      </w:pPr>
      <w:r>
        <w:rPr>
          <w:rFonts w:ascii="Times New Roman" w:hAnsi="Times New Roman"/>
          <w:b w:val="0"/>
          <w:i w:val="0"/>
          <w:sz w:val="24"/>
        </w:rPr>
        <w:t>Thank you for your consideration. We believe this work will be of interest to the multidisciplinary readership of The Breast, particularly clinicians and translational researchers working at the interface between routine biomarkers and molecular classification.</w:t>
      </w:r>
    </w:p>
    <w:p>
      <w:pPr>
        <w:spacing w:after="240"/>
      </w:pPr>
      <w:r>
        <w:rPr>
          <w:rFonts w:ascii="Times New Roman" w:hAnsi="Times New Roman"/>
          <w:b w:val="0"/>
          <w:i w:val="0"/>
          <w:sz w:val="24"/>
        </w:rPr>
        <w:t>Sincerely,</w:t>
      </w:r>
    </w:p>
    <w:p>
      <w:pPr>
        <w:spacing w:after="80"/>
      </w:pPr>
      <w:r>
        <w:rPr>
          <w:rFonts w:ascii="Times New Roman" w:hAnsi="Times New Roman"/>
          <w:b/>
          <w:sz w:val="24"/>
        </w:rPr>
        <w:t>Rafael de Negreiros Botan, MD</w:t>
      </w:r>
    </w:p>
    <w:p>
      <w:pPr>
        <w:spacing w:after="40"/>
      </w:pPr>
      <w:r>
        <w:rPr>
          <w:rFonts w:ascii="Times New Roman" w:hAnsi="Times New Roman"/>
          <w:sz w:val="22"/>
        </w:rPr>
        <w:t>Department of Oncology</w:t>
        <w:br/>
        <w:t>Universidade de Brasília</w:t>
        <w:br/>
        <w:t>Brasília, Brazil</w:t>
      </w:r>
    </w:p>
    <w:p>
      <w:pPr>
        <w:spacing w:after="40"/>
      </w:pPr>
      <w:r>
        <w:rPr>
          <w:rFonts w:ascii="Times New Roman" w:hAnsi="Times New Roman"/>
          <w:sz w:val="22"/>
        </w:rPr>
        <w:t>Email: oncologista@gmail.com</w:t>
      </w:r>
    </w:p>
    <w:p/>
    <w:p>
      <w:pPr>
        <w:spacing w:after="120"/>
      </w:pPr>
      <w:r>
        <w:rPr>
          <w:rFonts w:ascii="Times New Roman" w:hAnsi="Times New Roman"/>
          <w:b w:val="0"/>
          <w:i/>
          <w:sz w:val="24"/>
        </w:rPr>
        <w:t>On behalf of all authors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