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Sandro José Martins </w:t>
      </w:r>
      <w:r>
        <w:rPr>
          <w:rFonts w:ascii="Times New Roman" w:hAnsi="Times New Roman"/>
          <w:sz w:val="24"/>
          <w:vertAlign w:val="superscript"/>
        </w:rPr>
        <w:t>2</w:t>
      </w:r>
      <w:r>
        <w:rPr>
          <w:rFonts w:ascii="Times New Roman" w:hAnsi="Times New Roman"/>
          <w:sz w:val="24"/>
        </w:rPr>
        <w:t xml:space="preserve">, João Batista de Sousa </w:t>
      </w:r>
      <w:r>
        <w:rPr>
          <w:rFonts w:ascii="Times New Roman" w:hAnsi="Times New Roman"/>
          <w:sz w:val="24"/>
          <w:vertAlign w:val="superscript"/>
        </w:rPr>
        <w:t>3</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Oncology Unit, Hospital Universitário de Brasília (HUB/EBSERH), Universidade de Brasília, Brasília, Brazil</w:t>
      </w:r>
    </w:p>
    <w:p>
      <w:pPr>
        <w:jc w:val="center"/>
      </w:pPr>
      <w:r>
        <w:rPr>
          <w:rFonts w:ascii="Times New Roman" w:hAnsi="Times New Roman"/>
          <w:i/>
          <w:sz w:val="20"/>
        </w:rPr>
        <w:t>³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240"/>
      </w:pPr>
      <w:r>
        <w:rPr>
          <w:rFonts w:ascii="Times New Roman" w:hAnsi="Times New Roman"/>
          <w:b/>
          <w:sz w:val="20"/>
        </w:rPr>
        <w:t>Table 1. Cohort characteristics and evaluable sample sizes by feature set and surrogate applicability.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Cohort</w:t>
            </w:r>
          </w:p>
        </w:tc>
        <w:tc>
          <w:tcPr>
            <w:tcW w:type="dxa" w:w="1440"/>
          </w:tcPr>
          <w:p>
            <w:r>
              <w:rPr>
                <w:rFonts w:ascii="Times New Roman" w:hAnsi="Times New Roman"/>
                <w:b/>
                <w:sz w:val="18"/>
              </w:rPr>
              <w:t>N (4-class PAM50)</w:t>
            </w:r>
          </w:p>
        </w:tc>
        <w:tc>
          <w:tcPr>
            <w:tcW w:type="dxa" w:w="1440"/>
          </w:tcPr>
          <w:p>
            <w:r>
              <w:rPr>
                <w:rFonts w:ascii="Times New Roman" w:hAnsi="Times New Roman"/>
                <w:b/>
                <w:sz w:val="18"/>
              </w:rPr>
              <w:t>N (Set 1 complete)</w:t>
            </w:r>
          </w:p>
        </w:tc>
        <w:tc>
          <w:tcPr>
            <w:tcW w:type="dxa" w:w="1440"/>
          </w:tcPr>
          <w:p>
            <w:r>
              <w:rPr>
                <w:rFonts w:ascii="Times New Roman" w:hAnsi="Times New Roman"/>
                <w:b/>
                <w:sz w:val="18"/>
              </w:rPr>
              <w:t>N (Set 2 complete)</w:t>
            </w:r>
          </w:p>
        </w:tc>
        <w:tc>
          <w:tcPr>
            <w:tcW w:type="dxa" w:w="1440"/>
          </w:tcPr>
          <w:p>
            <w:r>
              <w:rPr>
                <w:rFonts w:ascii="Times New Roman" w:hAnsi="Times New Roman"/>
                <w:b/>
                <w:sz w:val="18"/>
              </w:rPr>
              <w:t>N (Surrogate classifiable)</w:t>
            </w:r>
          </w:p>
        </w:tc>
        <w:tc>
          <w:tcPr>
            <w:tcW w:type="dxa" w:w="1440"/>
          </w:tcPr>
          <w:p>
            <w:r>
              <w:rPr>
                <w:rFonts w:ascii="Times New Roman" w:hAnsi="Times New Roman"/>
                <w:b/>
                <w:sz w:val="18"/>
              </w:rPr>
              <w:t>N (Head-to-head Set 1 vs Surrogate)</w:t>
            </w:r>
          </w:p>
        </w:tc>
      </w:tr>
      <w:tr>
        <w:tc>
          <w:tcPr>
            <w:tcW w:type="dxa" w:w="1440"/>
          </w:tcPr>
          <w:p>
            <w:r>
              <w:rPr>
                <w:rFonts w:ascii="Times New Roman" w:hAnsi="Times New Roman"/>
                <w:sz w:val="18"/>
              </w:rPr>
              <w:t>GSE81538</w:t>
            </w:r>
          </w:p>
        </w:tc>
        <w:tc>
          <w:tcPr>
            <w:tcW w:type="dxa" w:w="1440"/>
          </w:tcPr>
          <w:p>
            <w:r>
              <w:rPr>
                <w:rFonts w:ascii="Times New Roman" w:hAnsi="Times New Roman"/>
                <w:sz w:val="18"/>
              </w:rPr>
              <w:t>383</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r>
      <w:tr>
        <w:tc>
          <w:tcPr>
            <w:tcW w:type="dxa" w:w="1440"/>
          </w:tcPr>
          <w:p>
            <w:r>
              <w:rPr>
                <w:rFonts w:ascii="Times New Roman" w:hAnsi="Times New Roman"/>
                <w:sz w:val="18"/>
              </w:rPr>
              <w:t>GSE96058</w:t>
            </w:r>
          </w:p>
        </w:tc>
        <w:tc>
          <w:tcPr>
            <w:tcW w:type="dxa" w:w="1440"/>
          </w:tcPr>
          <w:p>
            <w:r>
              <w:rPr>
                <w:rFonts w:ascii="Times New Roman" w:hAnsi="Times New Roman"/>
                <w:sz w:val="18"/>
              </w:rPr>
              <w:t>2867</w:t>
            </w:r>
          </w:p>
        </w:tc>
        <w:tc>
          <w:tcPr>
            <w:tcW w:type="dxa" w:w="1440"/>
          </w:tcPr>
          <w:p>
            <w:r>
              <w:rPr>
                <w:rFonts w:ascii="Times New Roman" w:hAnsi="Times New Roman"/>
                <w:sz w:val="18"/>
              </w:rPr>
              <w:t>2467</w:t>
            </w:r>
          </w:p>
        </w:tc>
        <w:tc>
          <w:tcPr>
            <w:tcW w:type="dxa" w:w="1440"/>
          </w:tcPr>
          <w:p>
            <w:r>
              <w:rPr>
                <w:rFonts w:ascii="Times New Roman" w:hAnsi="Times New Roman"/>
                <w:sz w:val="18"/>
              </w:rPr>
              <w:t>2429</w:t>
            </w:r>
          </w:p>
        </w:tc>
        <w:tc>
          <w:tcPr>
            <w:tcW w:type="dxa" w:w="1440"/>
          </w:tcPr>
          <w:p>
            <w:r>
              <w:rPr>
                <w:rFonts w:ascii="Times New Roman" w:hAnsi="Times New Roman"/>
                <w:sz w:val="18"/>
              </w:rPr>
              <w:t>2597</w:t>
            </w:r>
          </w:p>
        </w:tc>
        <w:tc>
          <w:tcPr>
            <w:tcW w:type="dxa" w:w="1440"/>
          </w:tcPr>
          <w:p>
            <w:r>
              <w:rPr>
                <w:rFonts w:ascii="Times New Roman" w:hAnsi="Times New Roman"/>
                <w:sz w:val="18"/>
              </w:rPr>
              <w:t>2464</w:t>
            </w:r>
          </w:p>
        </w:tc>
      </w:tr>
      <w:tr>
        <w:tc>
          <w:tcPr>
            <w:tcW w:type="dxa" w:w="1440"/>
          </w:tcPr>
          <w:p>
            <w:r>
              <w:rPr>
                <w:rFonts w:ascii="Times New Roman" w:hAnsi="Times New Roman"/>
                <w:sz w:val="18"/>
              </w:rPr>
              <w:t>TCGA-BRCA</w:t>
            </w:r>
          </w:p>
        </w:tc>
        <w:tc>
          <w:tcPr>
            <w:tcW w:type="dxa" w:w="1440"/>
          </w:tcPr>
          <w:p>
            <w:r>
              <w:rPr>
                <w:rFonts w:ascii="Times New Roman" w:hAnsi="Times New Roman"/>
                <w:sz w:val="18"/>
              </w:rPr>
              <w:t>519</w:t>
            </w:r>
          </w:p>
        </w:tc>
        <w:tc>
          <w:tcPr>
            <w:tcW w:type="dxa" w:w="1440"/>
          </w:tcPr>
          <w:p>
            <w:r>
              <w:rPr>
                <w:rFonts w:ascii="Times New Roman" w:hAnsi="Times New Roman"/>
                <w:sz w:val="18"/>
              </w:rPr>
              <w:t>435</w:t>
            </w:r>
          </w:p>
        </w:tc>
        <w:tc>
          <w:tcPr>
            <w:tcW w:type="dxa" w:w="1440"/>
          </w:tcPr>
          <w:p>
            <w:r>
              <w:rPr>
                <w:rFonts w:ascii="Times New Roman" w:hAnsi="Times New Roman"/>
                <w:sz w:val="18"/>
              </w:rPr>
              <w:t>0</w:t>
            </w:r>
          </w:p>
        </w:tc>
        <w:tc>
          <w:tcPr>
            <w:tcW w:type="dxa" w:w="1440"/>
          </w:tcPr>
          <w:p>
            <w:r>
              <w:rPr>
                <w:rFonts w:ascii="Times New Roman" w:hAnsi="Times New Roman"/>
                <w:sz w:val="18"/>
              </w:rPr>
              <w:t>162</w:t>
            </w:r>
          </w:p>
        </w:tc>
        <w:tc>
          <w:tcPr>
            <w:tcW w:type="dxa" w:w="1440"/>
          </w:tcPr>
          <w:p>
            <w:r>
              <w:rPr>
                <w:rFonts w:ascii="Times New Roman" w:hAnsi="Times New Roman"/>
                <w:sz w:val="18"/>
              </w:rPr>
              <w:t>162</w:t>
            </w:r>
          </w:p>
        </w:tc>
      </w:tr>
      <w:tr>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1608</w:t>
            </w:r>
          </w:p>
        </w:tc>
        <w:tc>
          <w:tcPr>
            <w:tcW w:type="dxa" w:w="1440"/>
          </w:tcPr>
          <w:p>
            <w:r>
              <w:rPr>
                <w:rFonts w:ascii="Times New Roman" w:hAnsi="Times New Roman"/>
                <w:sz w:val="18"/>
              </w:rPr>
              <w:t>1544</w:t>
            </w:r>
          </w:p>
        </w:tc>
        <w:tc>
          <w:tcPr>
            <w:tcW w:type="dxa" w:w="1440"/>
          </w:tcPr>
          <w:p>
            <w:r>
              <w:rPr>
                <w:rFonts w:ascii="Times New Roman" w:hAnsi="Times New Roman"/>
                <w:sz w:val="18"/>
              </w:rPr>
              <w:t>1554</w:t>
            </w:r>
          </w:p>
        </w:tc>
        <w:tc>
          <w:tcPr>
            <w:tcW w:type="dxa" w:w="1440"/>
          </w:tcPr>
          <w:p>
            <w:r>
              <w:rPr>
                <w:rFonts w:ascii="Times New Roman" w:hAnsi="Times New Roman"/>
                <w:sz w:val="18"/>
              </w:rPr>
              <w:t>1554</w:t>
            </w:r>
          </w:p>
        </w:tc>
      </w:tr>
    </w:tbl>
    <w:p>
      <w:pPr>
        <w:spacing w:before="80"/>
      </w:pPr>
      <w:r>
        <w:rPr>
          <w:rFonts w:ascii="Times New Roman" w:hAnsi="Times New Roman"/>
          <w:i/>
          <w:sz w:val="16"/>
        </w:rPr>
        <w:t>Abbreviations: PAM50, Prediction Analysis of Microarray 50; IHC, immunohistochemistry. Set 1: ER, PR, HER2. Set 2: Set 1 plus histological grade. Set 3: Set 2 plus Ki-67. Source n refers to the total cohort size available in the source dataset. N (4-class PAM50) refers to tumours with an evaluable 4-class molecular reference label after exclusion of Normal-like and claudin-low categories. N (Surrogate classifiable) refers to tumours for which full 4-class surrogate assignment was possible. In HR-positive/HER2-negative tumours, this required a proliferation variable (Ki-67 or grade) to separate Luminal A-like from Luminal B-like; therefore, surrogate applicability was reduced in TCGA-BRCA, where grade was unavailable and Ki-67 was absent. N (Head-to-head Set 1 vs Surrogate) refers to the exact matched subset classifiable by both the machine-learning model and the surrogate, used for fair denominator comparisons.</w:t>
      </w:r>
    </w:p>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2_cohort_characteristics.png"/>
                    <pic:cNvPicPr/>
                  </pic:nvPicPr>
                  <pic:blipFill>
                    <a:blip r:embed="rId9"/>
                    <a:stretch>
                      <a:fillRect/>
                    </a:stretch>
                  </pic:blipFill>
                  <pic:spPr>
                    <a:xfrm>
                      <a:off x="0" y="0"/>
                      <a:ext cx="5029200" cy="3771900"/>
                    </a:xfrm>
                    <a:prstGeom prst="rect"/>
                  </pic:spPr>
                </pic:pic>
              </a:graphicData>
            </a:graphic>
          </wp:inline>
        </w:drawing>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drawing>
          <wp:inline xmlns:a="http://schemas.openxmlformats.org/drawingml/2006/main" xmlns:pic="http://schemas.openxmlformats.org/drawingml/2006/picture">
            <wp:extent cx="5029200" cy="3073400"/>
            <wp:docPr id="2" name="Picture 2"/>
            <wp:cNvGraphicFramePr>
              <a:graphicFrameLocks noChangeAspect="1"/>
            </wp:cNvGraphicFramePr>
            <a:graphic>
              <a:graphicData uri="http://schemas.openxmlformats.org/drawingml/2006/picture">
                <pic:pic>
                  <pic:nvPicPr>
                    <pic:cNvPr id="0" name="fig4_luminal_crossover.png"/>
                    <pic:cNvPicPr/>
                  </pic:nvPicPr>
                  <pic:blipFill>
                    <a:blip r:embed="rId10"/>
                    <a:stretch>
                      <a:fillRect/>
                    </a:stretch>
                  </pic:blipFill>
                  <pic:spPr>
                    <a:xfrm>
                      <a:off x="0" y="0"/>
                      <a:ext cx="5029200" cy="3073400"/>
                    </a:xfrm>
                    <a:prstGeom prst="rect"/>
                  </pic:spPr>
                </pic:pic>
              </a:graphicData>
            </a:graphic>
          </wp:inline>
        </w:drawing>
      </w:r>
    </w:p>
    <w:p>
      <w:pPr>
        <w:spacing w:after="240"/>
      </w:pPr>
      <w:r>
        <w:rPr>
          <w:rFonts w:ascii="Times New Roman" w:hAnsi="Times New Roman"/>
          <w:i/>
          <w:sz w:val="20"/>
        </w:rPr>
        <w:t>Fig. 2. Luminal A/B crossover by IHC surrogate across cohorts.</w:t>
      </w:r>
    </w:p>
    <w:p>
      <w:pPr>
        <w:spacing w:before="240"/>
      </w:pPr>
      <w:r>
        <w:rPr>
          <w:rFonts w:ascii="Times New Roman" w:hAnsi="Times New Roman"/>
          <w:b/>
          <w:sz w:val="20"/>
        </w:rPr>
        <w:t>Table 2. Luminal A/Luminal B crossover rates by cohort.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Cohort</w:t>
            </w:r>
          </w:p>
        </w:tc>
        <w:tc>
          <w:tcPr>
            <w:tcW w:type="dxa" w:w="1728"/>
          </w:tcPr>
          <w:p>
            <w:r>
              <w:rPr>
                <w:rFonts w:ascii="Times New Roman" w:hAnsi="Times New Roman"/>
                <w:b/>
                <w:sz w:val="18"/>
              </w:rPr>
              <w:t>True LumA (N)</w:t>
            </w:r>
          </w:p>
        </w:tc>
        <w:tc>
          <w:tcPr>
            <w:tcW w:type="dxa" w:w="1728"/>
          </w:tcPr>
          <w:p>
            <w:r>
              <w:rPr>
                <w:rFonts w:ascii="Times New Roman" w:hAnsi="Times New Roman"/>
                <w:b/>
                <w:sz w:val="18"/>
              </w:rPr>
              <w:t>LumA misclassified as LumB</w:t>
            </w:r>
          </w:p>
        </w:tc>
        <w:tc>
          <w:tcPr>
            <w:tcW w:type="dxa" w:w="1728"/>
          </w:tcPr>
          <w:p>
            <w:r>
              <w:rPr>
                <w:rFonts w:ascii="Times New Roman" w:hAnsi="Times New Roman"/>
                <w:b/>
                <w:sz w:val="18"/>
              </w:rPr>
              <w:t>True LumB (N)</w:t>
            </w:r>
          </w:p>
        </w:tc>
        <w:tc>
          <w:tcPr>
            <w:tcW w:type="dxa" w:w="1728"/>
          </w:tcPr>
          <w:p>
            <w:r>
              <w:rPr>
                <w:rFonts w:ascii="Times New Roman" w:hAnsi="Times New Roman"/>
                <w:b/>
                <w:sz w:val="18"/>
              </w:rPr>
              <w:t>LumB misclassified as LumA</w:t>
            </w:r>
          </w:p>
        </w:tc>
      </w:tr>
      <w:tr>
        <w:tc>
          <w:tcPr>
            <w:tcW w:type="dxa" w:w="1728"/>
          </w:tcPr>
          <w:p>
            <w:r>
              <w:rPr>
                <w:rFonts w:ascii="Times New Roman" w:hAnsi="Times New Roman"/>
                <w:sz w:val="18"/>
              </w:rPr>
              <w:t>GSE81538</w:t>
            </w:r>
          </w:p>
        </w:tc>
        <w:tc>
          <w:tcPr>
            <w:tcW w:type="dxa" w:w="1728"/>
          </w:tcPr>
          <w:p>
            <w:r>
              <w:rPr>
                <w:rFonts w:ascii="Times New Roman" w:hAnsi="Times New Roman"/>
                <w:sz w:val="18"/>
              </w:rPr>
              <w:t>155</w:t>
            </w:r>
          </w:p>
        </w:tc>
        <w:tc>
          <w:tcPr>
            <w:tcW w:type="dxa" w:w="1728"/>
          </w:tcPr>
          <w:p>
            <w:r>
              <w:rPr>
                <w:rFonts w:ascii="Times New Roman" w:hAnsi="Times New Roman"/>
                <w:sz w:val="18"/>
              </w:rPr>
              <w:t>42 (27.1%)</w:t>
            </w:r>
          </w:p>
        </w:tc>
        <w:tc>
          <w:tcPr>
            <w:tcW w:type="dxa" w:w="1728"/>
          </w:tcPr>
          <w:p>
            <w:r>
              <w:rPr>
                <w:rFonts w:ascii="Times New Roman" w:hAnsi="Times New Roman"/>
                <w:sz w:val="18"/>
              </w:rPr>
              <w:t>105</w:t>
            </w:r>
          </w:p>
        </w:tc>
        <w:tc>
          <w:tcPr>
            <w:tcW w:type="dxa" w:w="1728"/>
          </w:tcPr>
          <w:p>
            <w:r>
              <w:rPr>
                <w:rFonts w:ascii="Times New Roman" w:hAnsi="Times New Roman"/>
                <w:sz w:val="18"/>
              </w:rPr>
              <w:t>17 (16.2%)</w:t>
            </w:r>
          </w:p>
        </w:tc>
      </w:tr>
      <w:tr>
        <w:tc>
          <w:tcPr>
            <w:tcW w:type="dxa" w:w="1728"/>
          </w:tcPr>
          <w:p>
            <w:r>
              <w:rPr>
                <w:rFonts w:ascii="Times New Roman" w:hAnsi="Times New Roman"/>
                <w:sz w:val="18"/>
              </w:rPr>
              <w:t>GSE96058</w:t>
            </w:r>
          </w:p>
        </w:tc>
        <w:tc>
          <w:tcPr>
            <w:tcW w:type="dxa" w:w="1728"/>
          </w:tcPr>
          <w:p>
            <w:r>
              <w:rPr>
                <w:rFonts w:ascii="Times New Roman" w:hAnsi="Times New Roman"/>
                <w:sz w:val="18"/>
              </w:rPr>
              <w:t>1469</w:t>
            </w:r>
          </w:p>
        </w:tc>
        <w:tc>
          <w:tcPr>
            <w:tcW w:type="dxa" w:w="1728"/>
          </w:tcPr>
          <w:p>
            <w:r>
              <w:rPr>
                <w:rFonts w:ascii="Times New Roman" w:hAnsi="Times New Roman"/>
                <w:sz w:val="18"/>
              </w:rPr>
              <w:t>369 (25.1%)</w:t>
            </w:r>
          </w:p>
        </w:tc>
        <w:tc>
          <w:tcPr>
            <w:tcW w:type="dxa" w:w="1728"/>
          </w:tcPr>
          <w:p>
            <w:r>
              <w:rPr>
                <w:rFonts w:ascii="Times New Roman" w:hAnsi="Times New Roman"/>
                <w:sz w:val="18"/>
              </w:rPr>
              <w:t>676</w:t>
            </w:r>
          </w:p>
        </w:tc>
        <w:tc>
          <w:tcPr>
            <w:tcW w:type="dxa" w:w="1728"/>
          </w:tcPr>
          <w:p>
            <w:r>
              <w:rPr>
                <w:rFonts w:ascii="Times New Roman" w:hAnsi="Times New Roman"/>
                <w:sz w:val="18"/>
              </w:rPr>
              <w:t>196 (29.0%)</w:t>
            </w:r>
          </w:p>
        </w:tc>
      </w:tr>
      <w:tr>
        <w:tc>
          <w:tcPr>
            <w:tcW w:type="dxa" w:w="1728"/>
          </w:tcPr>
          <w:p>
            <w:r>
              <w:rPr>
                <w:rFonts w:ascii="Times New Roman" w:hAnsi="Times New Roman"/>
                <w:sz w:val="18"/>
              </w:rPr>
              <w:t>TCGA-BRCA</w:t>
            </w:r>
          </w:p>
        </w:tc>
        <w:tc>
          <w:tcPr>
            <w:tcW w:type="dxa" w:w="1728"/>
          </w:tcPr>
          <w:p>
            <w:r>
              <w:rPr>
                <w:rFonts w:ascii="Times New Roman" w:hAnsi="Times New Roman"/>
                <w:sz w:val="18"/>
              </w:rPr>
              <w:t>28</w:t>
            </w:r>
          </w:p>
        </w:tc>
        <w:tc>
          <w:tcPr>
            <w:tcW w:type="dxa" w:w="1728"/>
          </w:tcPr>
          <w:p>
            <w:r>
              <w:rPr>
                <w:rFonts w:ascii="Times New Roman" w:hAnsi="Times New Roman"/>
                <w:sz w:val="18"/>
              </w:rPr>
              <w:t>26 (92.9%)</w:t>
            </w:r>
          </w:p>
        </w:tc>
        <w:tc>
          <w:tcPr>
            <w:tcW w:type="dxa" w:w="1728"/>
          </w:tcPr>
          <w:p>
            <w:r>
              <w:rPr>
                <w:rFonts w:ascii="Times New Roman" w:hAnsi="Times New Roman"/>
                <w:sz w:val="18"/>
              </w:rPr>
              <w:t>25</w:t>
            </w:r>
          </w:p>
        </w:tc>
        <w:tc>
          <w:tcPr>
            <w:tcW w:type="dxa" w:w="1728"/>
          </w:tcPr>
          <w:p>
            <w:r>
              <w:rPr>
                <w:rFonts w:ascii="Times New Roman" w:hAnsi="Times New Roman"/>
                <w:sz w:val="18"/>
              </w:rPr>
              <w:t>0 (0.0%)</w:t>
            </w:r>
          </w:p>
        </w:tc>
      </w:tr>
      <w:tr>
        <w:tc>
          <w:tcPr>
            <w:tcW w:type="dxa" w:w="1728"/>
          </w:tcPr>
          <w:p>
            <w:r>
              <w:rPr>
                <w:rFonts w:ascii="Times New Roman" w:hAnsi="Times New Roman"/>
                <w:sz w:val="18"/>
              </w:rPr>
              <w:t>METABRIC</w:t>
            </w:r>
          </w:p>
        </w:tc>
        <w:tc>
          <w:tcPr>
            <w:tcW w:type="dxa" w:w="1728"/>
          </w:tcPr>
          <w:p>
            <w:r>
              <w:rPr>
                <w:rFonts w:ascii="Times New Roman" w:hAnsi="Times New Roman"/>
                <w:sz w:val="18"/>
              </w:rPr>
              <w:t>669</w:t>
            </w:r>
          </w:p>
        </w:tc>
        <w:tc>
          <w:tcPr>
            <w:tcW w:type="dxa" w:w="1728"/>
          </w:tcPr>
          <w:p>
            <w:r>
              <w:rPr>
                <w:rFonts w:ascii="Times New Roman" w:hAnsi="Times New Roman"/>
                <w:sz w:val="18"/>
              </w:rPr>
              <w:t>180 (26.9%)</w:t>
            </w:r>
          </w:p>
        </w:tc>
        <w:tc>
          <w:tcPr>
            <w:tcW w:type="dxa" w:w="1728"/>
          </w:tcPr>
          <w:p>
            <w:r>
              <w:rPr>
                <w:rFonts w:ascii="Times New Roman" w:hAnsi="Times New Roman"/>
                <w:sz w:val="18"/>
              </w:rPr>
              <w:t>457</w:t>
            </w:r>
          </w:p>
        </w:tc>
        <w:tc>
          <w:tcPr>
            <w:tcW w:type="dxa" w:w="1728"/>
          </w:tcPr>
          <w:p>
            <w:r>
              <w:rPr>
                <w:rFonts w:ascii="Times New Roman" w:hAnsi="Times New Roman"/>
                <w:sz w:val="18"/>
              </w:rPr>
              <w:t>194 (42.5%)</w:t>
            </w:r>
          </w:p>
        </w:tc>
      </w:tr>
    </w:tbl>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drawing>
          <wp:inline xmlns:a="http://schemas.openxmlformats.org/drawingml/2006/main" xmlns:pic="http://schemas.openxmlformats.org/drawingml/2006/picture">
            <wp:extent cx="5029200" cy="3911600"/>
            <wp:docPr id="3" name="Picture 3"/>
            <wp:cNvGraphicFramePr>
              <a:graphicFrameLocks noChangeAspect="1"/>
            </wp:cNvGraphicFramePr>
            <a:graphic>
              <a:graphicData uri="http://schemas.openxmlformats.org/drawingml/2006/picture">
                <pic:pic>
                  <pic:nvPicPr>
                    <pic:cNvPr id="0" name="fig3_forest_h2h.png"/>
                    <pic:cNvPicPr/>
                  </pic:nvPicPr>
                  <pic:blipFill>
                    <a:blip r:embed="rId11"/>
                    <a:stretch>
                      <a:fillRect/>
                    </a:stretch>
                  </pic:blipFill>
                  <pic:spPr>
                    <a:xfrm>
                      <a:off x="0" y="0"/>
                      <a:ext cx="5029200" cy="3911600"/>
                    </a:xfrm>
                    <a:prstGeom prst="rect"/>
                  </pic:spPr>
                </pic:pic>
              </a:graphicData>
            </a:graphic>
          </wp:inline>
        </w:drawing>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drawing>
          <wp:inline xmlns:a="http://schemas.openxmlformats.org/drawingml/2006/main" xmlns:pic="http://schemas.openxmlformats.org/drawingml/2006/picture">
            <wp:extent cx="5029200" cy="1983251"/>
            <wp:docPr id="4" name="Picture 4"/>
            <wp:cNvGraphicFramePr>
              <a:graphicFrameLocks noChangeAspect="1"/>
            </wp:cNvGraphicFramePr>
            <a:graphic>
              <a:graphicData uri="http://schemas.openxmlformats.org/drawingml/2006/picture">
                <pic:pic>
                  <pic:nvPicPr>
                    <pic:cNvPr id="0" name="fig4_confusion.png"/>
                    <pic:cNvPicPr/>
                  </pic:nvPicPr>
                  <pic:blipFill>
                    <a:blip r:embed="rId12"/>
                    <a:stretch>
                      <a:fillRect/>
                    </a:stretch>
                  </pic:blipFill>
                  <pic:spPr>
                    <a:xfrm>
                      <a:off x="0" y="0"/>
                      <a:ext cx="5029200" cy="1983251"/>
                    </a:xfrm>
                    <a:prstGeom prst="rect"/>
                  </pic:spPr>
                </pic:pic>
              </a:graphicData>
            </a:graphic>
          </wp:inline>
        </w:drawing>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fig5_grey_zone.png"/>
                    <pic:cNvPicPr/>
                  </pic:nvPicPr>
                  <pic:blipFill>
                    <a:blip r:embed="rId13"/>
                    <a:stretch>
                      <a:fillRect/>
                    </a:stretch>
                  </pic:blipFill>
                  <pic:spPr>
                    <a:xfrm>
                      <a:off x="0" y="0"/>
                      <a:ext cx="5029200" cy="4114800"/>
                    </a:xfrm>
                    <a:prstGeom prst="rect"/>
                  </pic:spPr>
                </pic:pic>
              </a:graphicData>
            </a:graphic>
          </wp:inline>
        </w:drawing>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240"/>
      </w:pPr>
      <w:r>
        <w:rPr>
          <w:rFonts w:ascii="Times New Roman" w:hAnsi="Times New Roman"/>
          <w:b/>
          <w:sz w:val="20"/>
        </w:rPr>
        <w:t>Table 3. Grey-zone analysis by confidence tier.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Confidence Zone</w:t>
            </w:r>
          </w:p>
        </w:tc>
        <w:tc>
          <w:tcPr>
            <w:tcW w:type="dxa" w:w="1440"/>
          </w:tcPr>
          <w:p>
            <w:r>
              <w:rPr>
                <w:rFonts w:ascii="Times New Roman" w:hAnsi="Times New Roman"/>
                <w:b/>
                <w:sz w:val="18"/>
              </w:rPr>
              <w:t>N</w:t>
            </w:r>
          </w:p>
        </w:tc>
        <w:tc>
          <w:tcPr>
            <w:tcW w:type="dxa" w:w="1440"/>
          </w:tcPr>
          <w:p>
            <w:r>
              <w:rPr>
                <w:rFonts w:ascii="Times New Roman" w:hAnsi="Times New Roman"/>
                <w:b/>
                <w:sz w:val="18"/>
              </w:rPr>
              <w:t>N (%)</w:t>
            </w:r>
          </w:p>
        </w:tc>
        <w:tc>
          <w:tcPr>
            <w:tcW w:type="dxa" w:w="1440"/>
          </w:tcPr>
          <w:p>
            <w:r>
              <w:rPr>
                <w:rFonts w:ascii="Times New Roman" w:hAnsi="Times New Roman"/>
                <w:b/>
                <w:sz w:val="18"/>
              </w:rPr>
              <w:t>ML Accuracy</w:t>
            </w:r>
          </w:p>
        </w:tc>
        <w:tc>
          <w:tcPr>
            <w:tcW w:type="dxa" w:w="1440"/>
          </w:tcPr>
          <w:p>
            <w:r>
              <w:rPr>
                <w:rFonts w:ascii="Times New Roman" w:hAnsi="Times New Roman"/>
                <w:b/>
                <w:sz w:val="18"/>
              </w:rPr>
              <w:t>Surrogate Accuracy</w:t>
            </w:r>
          </w:p>
        </w:tc>
        <w:tc>
          <w:tcPr>
            <w:tcW w:type="dxa" w:w="1440"/>
          </w:tcPr>
          <w:p>
            <w:r>
              <w:rPr>
                <w:rFonts w:ascii="Times New Roman" w:hAnsi="Times New Roman"/>
                <w:b/>
                <w:sz w:val="18"/>
              </w:rPr>
              <w:t>Luminal A+B proportion</w:t>
            </w:r>
          </w:p>
        </w:tc>
      </w:tr>
      <w:tr>
        <w:tc>
          <w:tcPr>
            <w:tcW w:type="dxa" w:w="1440"/>
          </w:tcPr>
          <w:p>
            <w:r>
              <w:rPr>
                <w:rFonts w:ascii="Times New Roman" w:hAnsi="Times New Roman"/>
                <w:sz w:val="18"/>
              </w:rPr>
              <w:t>Low (&lt;0.50)</w:t>
            </w:r>
          </w:p>
        </w:tc>
        <w:tc>
          <w:tcPr>
            <w:tcW w:type="dxa" w:w="1440"/>
          </w:tcPr>
          <w:p>
            <w:r>
              <w:rPr>
                <w:rFonts w:ascii="Times New Roman" w:hAnsi="Times New Roman"/>
                <w:sz w:val="18"/>
              </w:rPr>
              <w:t>208</w:t>
            </w:r>
          </w:p>
        </w:tc>
        <w:tc>
          <w:tcPr>
            <w:tcW w:type="dxa" w:w="1440"/>
          </w:tcPr>
          <w:p>
            <w:r>
              <w:rPr>
                <w:rFonts w:ascii="Times New Roman" w:hAnsi="Times New Roman"/>
                <w:sz w:val="18"/>
              </w:rPr>
              <w:t>208 (13.5%)</w:t>
            </w:r>
          </w:p>
        </w:tc>
        <w:tc>
          <w:tcPr>
            <w:tcW w:type="dxa" w:w="1440"/>
          </w:tcPr>
          <w:p>
            <w:r>
              <w:rPr>
                <w:rFonts w:ascii="Times New Roman" w:hAnsi="Times New Roman"/>
                <w:sz w:val="18"/>
              </w:rPr>
              <w:t>0.159</w:t>
            </w:r>
          </w:p>
        </w:tc>
        <w:tc>
          <w:tcPr>
            <w:tcW w:type="dxa" w:w="1440"/>
          </w:tcPr>
          <w:p>
            <w:r>
              <w:rPr>
                <w:rFonts w:ascii="Times New Roman" w:hAnsi="Times New Roman"/>
                <w:sz w:val="18"/>
              </w:rPr>
              <w:t>0.548</w:t>
            </w:r>
          </w:p>
        </w:tc>
        <w:tc>
          <w:tcPr>
            <w:tcW w:type="dxa" w:w="1440"/>
          </w:tcPr>
          <w:p>
            <w:r>
              <w:rPr>
                <w:rFonts w:ascii="Times New Roman" w:hAnsi="Times New Roman"/>
                <w:sz w:val="18"/>
              </w:rPr>
              <w:t>73.6%</w:t>
            </w:r>
          </w:p>
        </w:tc>
      </w:tr>
      <w:tr>
        <w:tc>
          <w:tcPr>
            <w:tcW w:type="dxa" w:w="1440"/>
          </w:tcPr>
          <w:p>
            <w:r>
              <w:rPr>
                <w:rFonts w:ascii="Times New Roman" w:hAnsi="Times New Roman"/>
                <w:sz w:val="18"/>
              </w:rPr>
              <w:t>Medium (0.50-0.70)</w:t>
            </w:r>
          </w:p>
        </w:tc>
        <w:tc>
          <w:tcPr>
            <w:tcW w:type="dxa" w:w="1440"/>
          </w:tcPr>
          <w:p>
            <w:r>
              <w:rPr>
                <w:rFonts w:ascii="Times New Roman" w:hAnsi="Times New Roman"/>
                <w:sz w:val="18"/>
              </w:rPr>
              <w:t>438</w:t>
            </w:r>
          </w:p>
        </w:tc>
        <w:tc>
          <w:tcPr>
            <w:tcW w:type="dxa" w:w="1440"/>
          </w:tcPr>
          <w:p>
            <w:r>
              <w:rPr>
                <w:rFonts w:ascii="Times New Roman" w:hAnsi="Times New Roman"/>
                <w:sz w:val="18"/>
              </w:rPr>
              <w:t>438 (28.4%)</w:t>
            </w:r>
          </w:p>
        </w:tc>
        <w:tc>
          <w:tcPr>
            <w:tcW w:type="dxa" w:w="1440"/>
          </w:tcPr>
          <w:p>
            <w:r>
              <w:rPr>
                <w:rFonts w:ascii="Times New Roman" w:hAnsi="Times New Roman"/>
                <w:sz w:val="18"/>
              </w:rPr>
              <w:t>0.493</w:t>
            </w:r>
          </w:p>
        </w:tc>
        <w:tc>
          <w:tcPr>
            <w:tcW w:type="dxa" w:w="1440"/>
          </w:tcPr>
          <w:p>
            <w:r>
              <w:rPr>
                <w:rFonts w:ascii="Times New Roman" w:hAnsi="Times New Roman"/>
                <w:sz w:val="18"/>
              </w:rPr>
              <w:t>0.493</w:t>
            </w:r>
          </w:p>
        </w:tc>
        <w:tc>
          <w:tcPr>
            <w:tcW w:type="dxa" w:w="1440"/>
          </w:tcPr>
          <w:p>
            <w:r>
              <w:rPr>
                <w:rFonts w:ascii="Times New Roman" w:hAnsi="Times New Roman"/>
                <w:sz w:val="18"/>
              </w:rPr>
              <w:t>88.8%</w:t>
            </w:r>
          </w:p>
        </w:tc>
      </w:tr>
      <w:tr>
        <w:tc>
          <w:tcPr>
            <w:tcW w:type="dxa" w:w="1440"/>
          </w:tcPr>
          <w:p>
            <w:r>
              <w:rPr>
                <w:rFonts w:ascii="Times New Roman" w:hAnsi="Times New Roman"/>
                <w:sz w:val="18"/>
              </w:rPr>
              <w:t>High (&gt;0.70)</w:t>
            </w:r>
          </w:p>
        </w:tc>
        <w:tc>
          <w:tcPr>
            <w:tcW w:type="dxa" w:w="1440"/>
          </w:tcPr>
          <w:p>
            <w:r>
              <w:rPr>
                <w:rFonts w:ascii="Times New Roman" w:hAnsi="Times New Roman"/>
                <w:sz w:val="18"/>
              </w:rPr>
              <w:t>898</w:t>
            </w:r>
          </w:p>
        </w:tc>
        <w:tc>
          <w:tcPr>
            <w:tcW w:type="dxa" w:w="1440"/>
          </w:tcPr>
          <w:p>
            <w:r>
              <w:rPr>
                <w:rFonts w:ascii="Times New Roman" w:hAnsi="Times New Roman"/>
                <w:sz w:val="18"/>
              </w:rPr>
              <w:t>898 (58.2%)</w:t>
            </w:r>
          </w:p>
        </w:tc>
        <w:tc>
          <w:tcPr>
            <w:tcW w:type="dxa" w:w="1440"/>
          </w:tcPr>
          <w:p>
            <w:r>
              <w:rPr>
                <w:rFonts w:ascii="Times New Roman" w:hAnsi="Times New Roman"/>
                <w:sz w:val="18"/>
              </w:rPr>
              <w:t>0.731</w:t>
            </w:r>
          </w:p>
        </w:tc>
        <w:tc>
          <w:tcPr>
            <w:tcW w:type="dxa" w:w="1440"/>
          </w:tcPr>
          <w:p>
            <w:r>
              <w:rPr>
                <w:rFonts w:ascii="Times New Roman" w:hAnsi="Times New Roman"/>
                <w:sz w:val="18"/>
              </w:rPr>
              <w:t>0.738</w:t>
            </w:r>
          </w:p>
        </w:tc>
        <w:tc>
          <w:tcPr>
            <w:tcW w:type="dxa" w:w="1440"/>
          </w:tcPr>
          <w:p>
            <w:r>
              <w:rPr>
                <w:rFonts w:ascii="Times New Roman" w:hAnsi="Times New Roman"/>
                <w:sz w:val="18"/>
              </w:rPr>
              <w:t>64.9%</w:t>
            </w:r>
          </w:p>
        </w:tc>
      </w:tr>
    </w:tbl>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240"/>
      </w:pPr>
      <w:r>
        <w:rPr>
          <w:rFonts w:ascii="Times New Roman" w:hAnsi="Times New Roman"/>
          <w:b/>
          <w:sz w:val="20"/>
        </w:rPr>
        <w:t>Table 4. Sensitivity analysis comparing 4-class and 3-class performance in model-evaluable subsets.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b/>
                <w:sz w:val="18"/>
              </w:rPr>
              <w:t>Analysis</w:t>
            </w:r>
          </w:p>
        </w:tc>
        <w:tc>
          <w:tcPr>
            <w:tcW w:type="dxa" w:w="1080"/>
          </w:tcPr>
          <w:p>
            <w:r>
              <w:rPr>
                <w:rFonts w:ascii="Times New Roman" w:hAnsi="Times New Roman"/>
                <w:b/>
                <w:sz w:val="18"/>
              </w:rPr>
              <w:t>Model</w:t>
            </w:r>
          </w:p>
        </w:tc>
        <w:tc>
          <w:tcPr>
            <w:tcW w:type="dxa" w:w="1080"/>
          </w:tcPr>
          <w:p>
            <w:r>
              <w:rPr>
                <w:rFonts w:ascii="Times New Roman" w:hAnsi="Times New Roman"/>
                <w:b/>
                <w:sz w:val="18"/>
              </w:rPr>
              <w:t>Feature Set</w:t>
            </w:r>
          </w:p>
        </w:tc>
        <w:tc>
          <w:tcPr>
            <w:tcW w:type="dxa" w:w="1080"/>
          </w:tcPr>
          <w:p>
            <w:r>
              <w:rPr>
                <w:rFonts w:ascii="Times New Roman" w:hAnsi="Times New Roman"/>
                <w:b/>
                <w:sz w:val="18"/>
              </w:rPr>
              <w:t>Cohort</w:t>
            </w:r>
          </w:p>
        </w:tc>
        <w:tc>
          <w:tcPr>
            <w:tcW w:type="dxa" w:w="1080"/>
          </w:tcPr>
          <w:p>
            <w:r>
              <w:rPr>
                <w:rFonts w:ascii="Times New Roman" w:hAnsi="Times New Roman"/>
                <w:b/>
                <w:sz w:val="18"/>
              </w:rPr>
              <w:t>N</w:t>
            </w:r>
          </w:p>
        </w:tc>
        <w:tc>
          <w:tcPr>
            <w:tcW w:type="dxa" w:w="1080"/>
          </w:tcPr>
          <w:p>
            <w:r>
              <w:rPr>
                <w:rFonts w:ascii="Times New Roman" w:hAnsi="Times New Roman"/>
                <w:b/>
                <w:sz w:val="18"/>
              </w:rPr>
              <w:t>Macro F1</w:t>
            </w:r>
          </w:p>
        </w:tc>
        <w:tc>
          <w:tcPr>
            <w:tcW w:type="dxa" w:w="1080"/>
          </w:tcPr>
          <w:p>
            <w:r>
              <w:rPr>
                <w:rFonts w:ascii="Times New Roman" w:hAnsi="Times New Roman"/>
                <w:b/>
                <w:sz w:val="18"/>
              </w:rPr>
              <w:t>F1 95% CI</w:t>
            </w:r>
          </w:p>
        </w:tc>
        <w:tc>
          <w:tcPr>
            <w:tcW w:type="dxa" w:w="1080"/>
          </w:tcPr>
          <w:p>
            <w:r>
              <w:rPr>
                <w:rFonts w:ascii="Times New Roman" w:hAnsi="Times New Roman"/>
                <w:b/>
                <w:sz w:val="18"/>
              </w:rPr>
              <w:t>Kappa</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0.777</w:t>
            </w:r>
          </w:p>
        </w:tc>
        <w:tc>
          <w:tcPr>
            <w:tcW w:type="dxa" w:w="1080"/>
          </w:tcPr>
          <w:p>
            <w:r>
              <w:rPr>
                <w:rFonts w:ascii="Times New Roman" w:hAnsi="Times New Roman"/>
                <w:sz w:val="18"/>
              </w:rPr>
              <w:t>(0.720-0.826)</w:t>
            </w:r>
          </w:p>
        </w:tc>
        <w:tc>
          <w:tcPr>
            <w:tcW w:type="dxa" w:w="1080"/>
          </w:tcPr>
          <w:p>
            <w:r>
              <w:rPr>
                <w:rFonts w:ascii="Times New Roman" w:hAnsi="Times New Roman"/>
                <w:sz w:val="18"/>
              </w:rPr>
              <w:t>0.705</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0.767</w:t>
            </w:r>
          </w:p>
        </w:tc>
        <w:tc>
          <w:tcPr>
            <w:tcW w:type="dxa" w:w="1080"/>
          </w:tcPr>
          <w:p>
            <w:r>
              <w:rPr>
                <w:rFonts w:ascii="Times New Roman" w:hAnsi="Times New Roman"/>
                <w:sz w:val="18"/>
              </w:rPr>
              <w:t>(0.739-0.796)</w:t>
            </w:r>
          </w:p>
        </w:tc>
        <w:tc>
          <w:tcPr>
            <w:tcW w:type="dxa" w:w="1080"/>
          </w:tcPr>
          <w:p>
            <w:r>
              <w:rPr>
                <w:rFonts w:ascii="Times New Roman" w:hAnsi="Times New Roman"/>
                <w:sz w:val="18"/>
              </w:rPr>
              <w:t>0.692</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0.514</w:t>
            </w:r>
          </w:p>
        </w:tc>
        <w:tc>
          <w:tcPr>
            <w:tcW w:type="dxa" w:w="1080"/>
          </w:tcPr>
          <w:p>
            <w:r>
              <w:rPr>
                <w:rFonts w:ascii="Times New Roman" w:hAnsi="Times New Roman"/>
                <w:sz w:val="18"/>
              </w:rPr>
              <w:t>(0.477-0.547)</w:t>
            </w:r>
          </w:p>
        </w:tc>
        <w:tc>
          <w:tcPr>
            <w:tcW w:type="dxa" w:w="1080"/>
          </w:tcPr>
          <w:p>
            <w:r>
              <w:rPr>
                <w:rFonts w:ascii="Times New Roman" w:hAnsi="Times New Roman"/>
                <w:sz w:val="18"/>
              </w:rPr>
              <w:t>0.404</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0.522</w:t>
            </w:r>
          </w:p>
        </w:tc>
        <w:tc>
          <w:tcPr>
            <w:tcW w:type="dxa" w:w="1080"/>
          </w:tcPr>
          <w:p>
            <w:r>
              <w:rPr>
                <w:rFonts w:ascii="Times New Roman" w:hAnsi="Times New Roman"/>
                <w:sz w:val="18"/>
              </w:rPr>
              <w:t>(0.501-0.542)</w:t>
            </w:r>
          </w:p>
        </w:tc>
        <w:tc>
          <w:tcPr>
            <w:tcW w:type="dxa" w:w="1080"/>
          </w:tcPr>
          <w:p>
            <w:r>
              <w:rPr>
                <w:rFonts w:ascii="Times New Roman" w:hAnsi="Times New Roman"/>
                <w:sz w:val="18"/>
              </w:rPr>
              <w:t>0.376</w:t>
            </w:r>
          </w:p>
        </w:tc>
      </w:tr>
    </w:tbl>
    <w:p>
      <w:pPr>
        <w:spacing w:before="80"/>
      </w:pPr>
      <w:r>
        <w:rPr>
          <w:rFonts w:ascii="Times New Roman" w:hAnsi="Times New Roman"/>
          <w:i/>
          <w:sz w:val="16"/>
        </w:rPr>
        <w:t>All values refer to XGBoost Set 1 (ER, PR, HER2) applied to the largest model-evaluable subset in each cohort. The 4-class macro-F1 values (0.514 and 0.522) are therefore not directly comparable to the matched head-to-head results in Section 3.3, which use XGBoost Set 2 (+ grade) on a different denominator (n=1,544 in METABRIC). All direct surrogate-versus-model comparisons are reported separately using identical denominators.</w:t>
      </w:r>
    </w:p>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Sandro José Martins: </w:t>
      </w:r>
      <w:r>
        <w:rPr>
          <w:rFonts w:ascii="Times New Roman" w:hAnsi="Times New Roman"/>
          <w:sz w:val="24"/>
        </w:rPr>
        <w:t xml:space="preserve">Validation, Writing – review &amp; editing.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fig1_cohort_design.png"/>
                    <pic:cNvPicPr/>
                  </pic:nvPicPr>
                  <pic:blipFill>
                    <a:blip r:embed="rId14"/>
                    <a:stretch>
                      <a:fillRect/>
                    </a:stretch>
                  </pic:blipFill>
                  <pic:spPr>
                    <a:xfrm>
                      <a:off x="0" y="0"/>
                      <a:ext cx="5029200" cy="3592286"/>
                    </a:xfrm>
                    <a:prstGeom prst="rect"/>
                  </pic:spPr>
                </pic:pic>
              </a:graphicData>
            </a:graphic>
          </wp:inline>
        </w:drawing>
      </w:r>
    </w:p>
    <w:p>
      <w:pPr>
        <w:spacing w:after="240"/>
      </w:pPr>
      <w:r>
        <w:rPr>
          <w:rFonts w:ascii="Times New Roman" w:hAnsi="Times New Roman"/>
          <w:i/>
          <w:sz w:val="20"/>
        </w:rPr>
        <w:t>Supplementary Fig. S1. Study design and sample flow across cohorts.</w:t>
      </w:r>
    </w:p>
    <w:p>
      <w:pPr>
        <w:spacing w:before="240"/>
        <w:jc w:val="center"/>
      </w:pPr>
      <w:r>
        <w:drawing>
          <wp:inline xmlns:a="http://schemas.openxmlformats.org/drawingml/2006/main" xmlns:pic="http://schemas.openxmlformats.org/drawingml/2006/picture">
            <wp:extent cx="5029200" cy="3233057"/>
            <wp:docPr id="7" name="Picture 7"/>
            <wp:cNvGraphicFramePr>
              <a:graphicFrameLocks noChangeAspect="1"/>
            </wp:cNvGraphicFramePr>
            <a:graphic>
              <a:graphicData uri="http://schemas.openxmlformats.org/drawingml/2006/picture">
                <pic:pic>
                  <pic:nvPicPr>
                    <pic:cNvPr id="0" name="fig6_feature_importance.png"/>
                    <pic:cNvPicPr/>
                  </pic:nvPicPr>
                  <pic:blipFill>
                    <a:blip r:embed="rId15"/>
                    <a:stretch>
                      <a:fillRect/>
                    </a:stretch>
                  </pic:blipFill>
                  <pic:spPr>
                    <a:xfrm>
                      <a:off x="0" y="0"/>
                      <a:ext cx="5029200" cy="3233057"/>
                    </a:xfrm>
                    <a:prstGeom prst="rect"/>
                  </pic:spPr>
                </pic:pic>
              </a:graphicData>
            </a:graphic>
          </wp:inline>
        </w:drawing>
      </w:r>
    </w:p>
    <w:p>
      <w:pPr>
        <w:spacing w:after="240"/>
      </w:pPr>
      <w:r>
        <w:rPr>
          <w:rFonts w:ascii="Times New Roman" w:hAnsi="Times New Roman"/>
          <w:i/>
          <w:sz w:val="20"/>
        </w:rPr>
        <w:t>Supplementary Fig. S2. Feature importance (Random Forest and XGBoost).</w:t>
      </w:r>
    </w:p>
    <w:p>
      <w:pPr>
        <w:spacing w:before="240"/>
        <w:jc w:val="center"/>
      </w:pPr>
      <w:r>
        <w:drawing>
          <wp:inline xmlns:a="http://schemas.openxmlformats.org/drawingml/2006/main" xmlns:pic="http://schemas.openxmlformats.org/drawingml/2006/picture">
            <wp:extent cx="5029200" cy="3951514"/>
            <wp:docPr id="8" name="Picture 8"/>
            <wp:cNvGraphicFramePr>
              <a:graphicFrameLocks noChangeAspect="1"/>
            </wp:cNvGraphicFramePr>
            <a:graphic>
              <a:graphicData uri="http://schemas.openxmlformats.org/drawingml/2006/picture">
                <pic:pic>
                  <pic:nvPicPr>
                    <pic:cNvPr id="0" name="fig7_sensitivity_3v4.png"/>
                    <pic:cNvPicPr/>
                  </pic:nvPicPr>
                  <pic:blipFill>
                    <a:blip r:embed="rId16"/>
                    <a:stretch>
                      <a:fillRect/>
                    </a:stretch>
                  </pic:blipFill>
                  <pic:spPr>
                    <a:xfrm>
                      <a:off x="0" y="0"/>
                      <a:ext cx="5029200" cy="3951514"/>
                    </a:xfrm>
                    <a:prstGeom prst="rect"/>
                  </pic:spPr>
                </pic:pic>
              </a:graphicData>
            </a:graphic>
          </wp:inline>
        </w:drawing>
      </w:r>
    </w:p>
    <w:p>
      <w:pPr>
        <w:spacing w:after="240"/>
      </w:pPr>
      <w:r>
        <w:rPr>
          <w:rFonts w:ascii="Times New Roman" w:hAnsi="Times New Roman"/>
          <w:i/>
          <w:sz w:val="20"/>
        </w:rPr>
        <w:t>Supplementary Fig. S3. Sensitivity analysis: 4-class versus 3-class macro-F1.</w:t>
      </w:r>
    </w:p>
    <w:p>
      <w:pPr>
        <w:spacing w:before="240"/>
        <w:jc w:val="center"/>
      </w:pPr>
      <w:r>
        <w:drawing>
          <wp:inline xmlns:a="http://schemas.openxmlformats.org/drawingml/2006/main" xmlns:pic="http://schemas.openxmlformats.org/drawingml/2006/picture">
            <wp:extent cx="5029200" cy="3457575"/>
            <wp:docPr id="9" name="Picture 9"/>
            <wp:cNvGraphicFramePr>
              <a:graphicFrameLocks noChangeAspect="1"/>
            </wp:cNvGraphicFramePr>
            <a:graphic>
              <a:graphicData uri="http://schemas.openxmlformats.org/drawingml/2006/picture">
                <pic:pic>
                  <pic:nvPicPr>
                    <pic:cNvPr id="0" name="fig8_feature_set_comparison.png"/>
                    <pic:cNvPicPr/>
                  </pic:nvPicPr>
                  <pic:blipFill>
                    <a:blip r:embed="rId17"/>
                    <a:stretch>
                      <a:fillRect/>
                    </a:stretch>
                  </pic:blipFill>
                  <pic:spPr>
                    <a:xfrm>
                      <a:off x="0" y="0"/>
                      <a:ext cx="5029200" cy="3457575"/>
                    </a:xfrm>
                    <a:prstGeom prst="rect"/>
                  </pic:spPr>
                </pic:pic>
              </a:graphicData>
            </a:graphic>
          </wp:inline>
        </w:drawing>
      </w:r>
    </w:p>
    <w:p>
      <w:pPr>
        <w:spacing w:after="240"/>
      </w:pPr>
      <w:r>
        <w:rPr>
          <w:rFonts w:ascii="Times New Roman" w:hAnsi="Times New Roman"/>
          <w:i/>
          <w:sz w:val="20"/>
        </w:rPr>
        <w:t>Supplementary Fig. S4. Feature set comparison across cohorts.</w:t>
      </w:r>
    </w:p>
    <w:p>
      <w:pPr>
        <w:spacing w:before="240"/>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fig10_information_ceiling.png"/>
                    <pic:cNvPicPr/>
                  </pic:nvPicPr>
                  <pic:blipFill>
                    <a:blip r:embed="rId18"/>
                    <a:stretch>
                      <a:fillRect/>
                    </a:stretch>
                  </pic:blipFill>
                  <pic:spPr>
                    <a:xfrm>
                      <a:off x="0" y="0"/>
                      <a:ext cx="5029200" cy="3352800"/>
                    </a:xfrm>
                    <a:prstGeom prst="rect"/>
                  </pic:spPr>
                </pic:pic>
              </a:graphicData>
            </a:graphic>
          </wp:inline>
        </w:drawing>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