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Sandro José Martins </w:t>
      </w:r>
      <w:r>
        <w:rPr>
          <w:rFonts w:ascii="Times New Roman" w:hAnsi="Times New Roman"/>
          <w:sz w:val="24"/>
          <w:vertAlign w:val="superscript"/>
        </w:rPr>
        <w:t>2</w:t>
      </w:r>
      <w:r>
        <w:rPr>
          <w:rFonts w:ascii="Times New Roman" w:hAnsi="Times New Roman"/>
          <w:sz w:val="24"/>
        </w:rPr>
        <w:t xml:space="preserve">, João Batista de Sousa </w:t>
      </w:r>
      <w:r>
        <w:rPr>
          <w:rFonts w:ascii="Times New Roman" w:hAnsi="Times New Roman"/>
          <w:sz w:val="24"/>
          <w:vertAlign w:val="superscript"/>
        </w:rPr>
        <w:t>3</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Oncology Unit, Hospital Universitário de Brasília (HUB/EBSERH), Universidade de Brasília, Brasília, Brazil</w:t>
      </w:r>
    </w:p>
    <w:p>
      <w:pPr>
        <w:jc w:val="center"/>
      </w:pPr>
      <w:r>
        <w:rPr>
          <w:rFonts w:ascii="Times New Roman" w:hAnsi="Times New Roman"/>
          <w:i/>
          <w:sz w:val="20"/>
        </w:rPr>
        <w:t>³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120" w:after="120"/>
      </w:pPr>
      <w:r>
        <w:rPr>
          <w:rFonts w:ascii="Times New Roman" w:hAnsi="Times New Roman"/>
          <w:b/>
          <w:color w:val="960000"/>
          <w:sz w:val="20"/>
        </w:rPr>
        <w:t>[Table 1. Cohort characteristics and evaluable sample sizes by feature set and surrogate applicability.]</w:t>
      </w:r>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2. Luminal A/B crossover by IHC surrogate across cohorts.</w:t>
      </w:r>
    </w:p>
    <w:p>
      <w:pPr>
        <w:spacing w:before="120" w:after="120"/>
      </w:pPr>
      <w:r>
        <w:rPr>
          <w:rFonts w:ascii="Times New Roman" w:hAnsi="Times New Roman"/>
          <w:b/>
          <w:color w:val="960000"/>
          <w:sz w:val="20"/>
        </w:rPr>
        <w:t>[Table 2. Luminal A/Luminal B crossover rates by cohort.]</w:t>
      </w:r>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120" w:after="120"/>
      </w:pPr>
      <w:r>
        <w:rPr>
          <w:rFonts w:ascii="Times New Roman" w:hAnsi="Times New Roman"/>
          <w:b/>
          <w:color w:val="960000"/>
          <w:sz w:val="20"/>
        </w:rPr>
        <w:t>[Table 3. Grey-zone analysis by confidence tier.]</w:t>
      </w:r>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120" w:after="120"/>
      </w:pPr>
      <w:r>
        <w:rPr>
          <w:rFonts w:ascii="Times New Roman" w:hAnsi="Times New Roman"/>
          <w:b/>
          <w:color w:val="960000"/>
          <w:sz w:val="20"/>
        </w:rPr>
        <w:t>[Table 4. Sensitivity analysis comparing 4-class and 3-class performance in model-evaluable subsets.]</w:t>
      </w:r>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Sandro José Martins: </w:t>
      </w:r>
      <w:r>
        <w:rPr>
          <w:rFonts w:ascii="Times New Roman" w:hAnsi="Times New Roman"/>
          <w:sz w:val="24"/>
        </w:rPr>
        <w:t xml:space="preserve">Validation, Writing – review &amp; editing.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publicly available at: https://github.com/RafaelBotan/pam50-ihc-ml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S1. Study design and sample flow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S2. Feature importance (Random Forest and XGBoost).</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S3. Sensitivity analysis: 4-class versus 3-class macro-F1.</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S4. Feature set comparison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