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18F67" w14:textId="77777777" w:rsidR="00DF0D7D" w:rsidRDefault="00000000">
      <w:pPr>
        <w:pStyle w:val="Ttulo2"/>
        <w:ind w:left="-360"/>
        <w:rPr>
          <w:color w:val="4A86E8"/>
          <w:sz w:val="32"/>
          <w:szCs w:val="32"/>
        </w:rPr>
      </w:pPr>
      <w:bookmarkStart w:id="0" w:name="_hvbcmqwzo9do" w:colFirst="0" w:colLast="0"/>
      <w:bookmarkEnd w:id="0"/>
      <w:r>
        <w:rPr>
          <w:color w:val="4A86E8"/>
          <w:sz w:val="32"/>
          <w:szCs w:val="32"/>
        </w:rPr>
        <w:t>NIST SP 800-30 Rev. 1</w:t>
      </w:r>
    </w:p>
    <w:p w14:paraId="47F72481" w14:textId="77777777" w:rsidR="00DF0D7D" w:rsidRDefault="00000000">
      <w:pPr>
        <w:pStyle w:val="Ttulo2"/>
        <w:ind w:left="-360"/>
        <w:rPr>
          <w:sz w:val="32"/>
          <w:szCs w:val="32"/>
        </w:rPr>
      </w:pPr>
      <w:bookmarkStart w:id="1" w:name="_ekl67tysisut" w:colFirst="0" w:colLast="0"/>
      <w:bookmarkEnd w:id="1"/>
      <w:r>
        <w:pict w14:anchorId="08C4BBFE">
          <v:rect id="_x0000_i1025" style="width:0;height:1.5pt" o:hralign="center" o:hrstd="t" o:hr="t" fillcolor="#a0a0a0" stroked="f"/>
        </w:pict>
      </w:r>
    </w:p>
    <w:p w14:paraId="6F404AA4" w14:textId="06A79ACA" w:rsidR="00DF0D7D" w:rsidRPr="00D64E7F" w:rsidRDefault="00D64E7F">
      <w:pPr>
        <w:pStyle w:val="Ttulo3"/>
        <w:spacing w:after="200" w:line="360" w:lineRule="auto"/>
        <w:ind w:left="-360"/>
        <w:rPr>
          <w:b/>
          <w:lang w:val="pt-BR"/>
        </w:rPr>
      </w:pPr>
      <w:bookmarkStart w:id="2" w:name="_d24nmev6lr6a" w:colFirst="0" w:colLast="0"/>
      <w:bookmarkEnd w:id="2"/>
      <w:r w:rsidRPr="00D64E7F">
        <w:rPr>
          <w:b/>
          <w:lang w:val="pt-BR"/>
        </w:rPr>
        <w:t>Guia para avaliação de risco</w:t>
      </w:r>
    </w:p>
    <w:p w14:paraId="433AB839" w14:textId="77777777" w:rsidR="00D64E7F" w:rsidRPr="00D64E7F" w:rsidRDefault="00D64E7F" w:rsidP="00D64E7F">
      <w:pPr>
        <w:spacing w:before="0" w:line="276" w:lineRule="auto"/>
        <w:ind w:left="-360" w:right="-360"/>
        <w:rPr>
          <w:color w:val="000000"/>
          <w:lang w:val="pt-BR"/>
        </w:rPr>
      </w:pPr>
      <w:r w:rsidRPr="00D64E7F">
        <w:rPr>
          <w:color w:val="000000"/>
          <w:lang w:val="pt-BR"/>
        </w:rPr>
        <w:t>O NIST SP 800-30 é uma publicação que fornece orientação sobre a realização de avaliações de risco. Ele descreve estratégias para identificar, analisar e remediar riscos. As organizações usam o NIST SP 800-30 para obter insights sobre a probabilidade e a gravidade potenciais dos riscos, ajudando-as a tomar decisões informadas sobre alocação de recursos, implementação de controles e priorização de esforços de remediação.</w:t>
      </w:r>
    </w:p>
    <w:p w14:paraId="3EBA308F" w14:textId="77777777" w:rsidR="00D64E7F" w:rsidRPr="00D64E7F" w:rsidRDefault="00D64E7F" w:rsidP="00D64E7F">
      <w:pPr>
        <w:spacing w:before="0" w:line="276" w:lineRule="auto"/>
        <w:ind w:left="-360" w:right="-360"/>
        <w:rPr>
          <w:color w:val="000000"/>
          <w:lang w:val="pt-BR"/>
        </w:rPr>
      </w:pPr>
    </w:p>
    <w:p w14:paraId="07E5AD3A" w14:textId="77777777" w:rsidR="00D64E7F" w:rsidRPr="00D64E7F" w:rsidRDefault="00D64E7F" w:rsidP="00D64E7F">
      <w:pPr>
        <w:spacing w:before="0" w:line="276" w:lineRule="auto"/>
        <w:ind w:left="-360" w:right="-360"/>
        <w:rPr>
          <w:color w:val="000000"/>
          <w:lang w:val="pt-BR"/>
        </w:rPr>
      </w:pPr>
      <w:r w:rsidRPr="00D64E7F">
        <w:rPr>
          <w:color w:val="000000"/>
          <w:lang w:val="pt-BR"/>
        </w:rPr>
        <w:t>Este documento de quatro páginas é adaptado do NIST SP 800-30 Rev. 1. O termo "Rev. 1" significa que é a primeira versão atualizada desta publicação. O NIST ocasionalmente revisa seus documentos para incorporar novas informações, refletir mudanças na tecnologia e nos requisitos regulatórios ou abordar feedback.</w:t>
      </w:r>
    </w:p>
    <w:p w14:paraId="1133444B" w14:textId="77777777" w:rsidR="00D64E7F" w:rsidRPr="00D64E7F" w:rsidRDefault="00D64E7F" w:rsidP="00D64E7F">
      <w:pPr>
        <w:spacing w:before="0" w:line="276" w:lineRule="auto"/>
        <w:ind w:left="-360" w:right="-360"/>
        <w:rPr>
          <w:color w:val="000000"/>
          <w:lang w:val="pt-BR"/>
        </w:rPr>
      </w:pPr>
    </w:p>
    <w:p w14:paraId="118599CE" w14:textId="76CFA9E4" w:rsidR="00DF0D7D" w:rsidRPr="00D64E7F" w:rsidRDefault="00D64E7F" w:rsidP="00D64E7F">
      <w:pPr>
        <w:spacing w:before="0" w:line="276" w:lineRule="auto"/>
        <w:ind w:left="-360" w:right="-360"/>
        <w:rPr>
          <w:color w:val="000000"/>
          <w:lang w:val="pt-BR"/>
        </w:rPr>
      </w:pPr>
      <w:r w:rsidRPr="00D64E7F">
        <w:rPr>
          <w:color w:val="000000"/>
          <w:lang w:val="pt-BR"/>
        </w:rPr>
        <w:t xml:space="preserve">Observação: o Computer Security </w:t>
      </w:r>
      <w:proofErr w:type="spellStart"/>
      <w:r w:rsidRPr="00D64E7F">
        <w:rPr>
          <w:color w:val="000000"/>
          <w:lang w:val="pt-BR"/>
        </w:rPr>
        <w:t>Resources</w:t>
      </w:r>
      <w:proofErr w:type="spellEnd"/>
      <w:r w:rsidRPr="00D64E7F">
        <w:rPr>
          <w:color w:val="000000"/>
          <w:lang w:val="pt-BR"/>
        </w:rPr>
        <w:t xml:space="preserve"> Center do NIST contém mais informações sobre o SP 800-30 Rev. 1</w:t>
      </w:r>
      <w:r w:rsidR="00000000" w:rsidRPr="00D64E7F">
        <w:rPr>
          <w:color w:val="000000"/>
          <w:lang w:val="pt-BR"/>
        </w:rPr>
        <w:t>.</w:t>
      </w:r>
    </w:p>
    <w:p w14:paraId="4D6A3C11" w14:textId="77777777" w:rsidR="00DF0D7D" w:rsidRPr="00D64E7F" w:rsidRDefault="00DF0D7D">
      <w:pPr>
        <w:spacing w:before="0" w:line="360" w:lineRule="auto"/>
        <w:ind w:left="-360" w:right="-360"/>
        <w:rPr>
          <w:color w:val="000000"/>
          <w:lang w:val="pt-BR"/>
        </w:rPr>
      </w:pPr>
    </w:p>
    <w:p w14:paraId="7F8F35E8" w14:textId="4E29A905" w:rsidR="00DF0D7D" w:rsidRPr="00D64E7F" w:rsidRDefault="00D64E7F">
      <w:pPr>
        <w:pStyle w:val="Ttulo3"/>
        <w:spacing w:before="0" w:line="360" w:lineRule="auto"/>
        <w:ind w:left="-360" w:right="-360"/>
        <w:rPr>
          <w:b/>
          <w:color w:val="000000"/>
          <w:lang w:val="pt-BR"/>
        </w:rPr>
      </w:pPr>
      <w:bookmarkStart w:id="3" w:name="_mptljh80haez" w:colFirst="0" w:colLast="0"/>
      <w:bookmarkEnd w:id="3"/>
      <w:r w:rsidRPr="00D64E7F">
        <w:rPr>
          <w:b/>
          <w:color w:val="000000"/>
          <w:lang w:val="pt-BR"/>
        </w:rPr>
        <w:t>Fontes de ameaça</w:t>
      </w:r>
    </w:p>
    <w:p w14:paraId="2A31EBCA" w14:textId="77777777" w:rsidR="00D64E7F" w:rsidRPr="00D64E7F" w:rsidRDefault="00D64E7F" w:rsidP="00D64E7F">
      <w:pPr>
        <w:ind w:left="-360" w:right="-360"/>
        <w:rPr>
          <w:color w:val="000000"/>
          <w:lang w:val="pt-BR"/>
        </w:rPr>
      </w:pPr>
      <w:r w:rsidRPr="00D64E7F">
        <w:rPr>
          <w:color w:val="000000"/>
          <w:lang w:val="pt-BR"/>
        </w:rPr>
        <w:t>O NIST SP 800-30 define e categoriza fontes de ameaças como entidades ou circunstâncias que podem impactar negativamente os sistemas de informação de uma organização. Essas informações são úteis para identificar e avaliar riscos potenciais. Ao referenciá-las, considere a intenção/capacidades de fontes de ameaças internas e externas.</w:t>
      </w:r>
    </w:p>
    <w:p w14:paraId="0079487C" w14:textId="582F62B9" w:rsidR="00DF0D7D" w:rsidRPr="00D64E7F" w:rsidRDefault="00D64E7F" w:rsidP="00D64E7F">
      <w:pPr>
        <w:ind w:left="-360" w:right="-360"/>
        <w:rPr>
          <w:color w:val="000000"/>
          <w:lang w:val="pt-BR"/>
        </w:rPr>
      </w:pPr>
      <w:r w:rsidRPr="00D64E7F">
        <w:rPr>
          <w:color w:val="000000"/>
          <w:lang w:val="pt-BR"/>
        </w:rPr>
        <w:t>Nota: A tabela a seguir lista algumas possíveis fontes de ameaças que podem comprometer um servidor de banco de dados acessível publicamente</w:t>
      </w:r>
      <w:r w:rsidR="00000000" w:rsidRPr="00D64E7F">
        <w:rPr>
          <w:color w:val="000000"/>
          <w:lang w:val="pt-BR"/>
        </w:rPr>
        <w:t>.</w:t>
      </w:r>
    </w:p>
    <w:p w14:paraId="47DE5FF7" w14:textId="77777777" w:rsidR="00DF0D7D" w:rsidRPr="00D64E7F" w:rsidRDefault="00DF0D7D">
      <w:pPr>
        <w:ind w:left="-360" w:right="-360"/>
        <w:rPr>
          <w:lang w:val="pt-BR"/>
        </w:rPr>
      </w:pPr>
    </w:p>
    <w:tbl>
      <w:tblPr>
        <w:tblStyle w:val="a"/>
        <w:tblW w:w="10095" w:type="dxa"/>
        <w:tblInd w:w="-3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810"/>
        <w:gridCol w:w="5385"/>
      </w:tblGrid>
      <w:tr w:rsidR="00DF0D7D" w:rsidRPr="00D64E7F" w14:paraId="5F2F72D1" w14:textId="77777777"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452EF" w14:textId="75EE89CF" w:rsidR="00DF0D7D" w:rsidRPr="00D64E7F" w:rsidRDefault="00000000">
            <w:pPr>
              <w:widowControl w:val="0"/>
              <w:spacing w:before="0" w:line="240" w:lineRule="auto"/>
              <w:ind w:left="-360" w:right="-360"/>
              <w:jc w:val="center"/>
            </w:pPr>
            <w:r w:rsidRPr="00D64E7F">
              <w:t>T</w:t>
            </w:r>
            <w:r w:rsidR="00D64E7F">
              <w:t>ipo</w:t>
            </w:r>
          </w:p>
        </w:tc>
        <w:tc>
          <w:tcPr>
            <w:tcW w:w="38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75B6" w14:textId="73D04C76" w:rsidR="00DF0D7D" w:rsidRPr="00D64E7F" w:rsidRDefault="00000000">
            <w:pPr>
              <w:widowControl w:val="0"/>
              <w:spacing w:before="0" w:line="240" w:lineRule="auto"/>
            </w:pPr>
            <w:proofErr w:type="spellStart"/>
            <w:r w:rsidRPr="00D64E7F">
              <w:t>Ex</w:t>
            </w:r>
            <w:r w:rsidR="00D64E7F">
              <w:t>emplos</w:t>
            </w:r>
            <w:proofErr w:type="spellEnd"/>
          </w:p>
        </w:tc>
        <w:tc>
          <w:tcPr>
            <w:tcW w:w="53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AD9F" w14:textId="657187AE" w:rsidR="00DF0D7D" w:rsidRPr="00D64E7F" w:rsidRDefault="00000000">
            <w:pPr>
              <w:widowControl w:val="0"/>
              <w:spacing w:before="0" w:line="240" w:lineRule="auto"/>
              <w:ind w:right="-45"/>
            </w:pPr>
            <w:proofErr w:type="spellStart"/>
            <w:r w:rsidRPr="00D64E7F">
              <w:t>Descri</w:t>
            </w:r>
            <w:r w:rsidR="00D64E7F">
              <w:t>ção</w:t>
            </w:r>
            <w:proofErr w:type="spellEnd"/>
          </w:p>
        </w:tc>
      </w:tr>
      <w:tr w:rsidR="00DF0D7D" w:rsidRPr="00D64E7F" w14:paraId="75DC2F11" w14:textId="77777777">
        <w:trPr>
          <w:trHeight w:val="3090"/>
        </w:trPr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4B5C3" w14:textId="77777777" w:rsidR="00DF0D7D" w:rsidRDefault="00000000">
            <w:pPr>
              <w:widowControl w:val="0"/>
              <w:spacing w:before="0" w:line="240" w:lineRule="auto"/>
              <w:ind w:right="-3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114300" distB="114300" distL="114300" distR="114300" wp14:anchorId="7E6CB631" wp14:editId="2B967B79">
                      <wp:extent cx="409575" cy="1304925"/>
                      <wp:effectExtent l="0" t="0" r="0" b="0"/>
                      <wp:docPr id="2" name="Caixa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-5400000">
                                <a:off x="-449250" y="449250"/>
                                <a:ext cx="1298700" cy="400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C5176D" w14:textId="77777777" w:rsidR="00DF0D7D" w:rsidRDefault="00000000">
                                  <w:pPr>
                                    <w:spacing w:before="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8"/>
                                    </w:rPr>
                                    <w:t>Human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409575" cy="1304925"/>
                      <wp:effectExtent b="0" l="0" r="0" t="0"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" cy="1304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C98D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Usuário padrão</w:t>
            </w:r>
          </w:p>
          <w:p w14:paraId="2128FA72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Funcionário</w:t>
            </w:r>
          </w:p>
          <w:p w14:paraId="3C1CA12F" w14:textId="77777777" w:rsid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Cliente</w:t>
            </w:r>
          </w:p>
          <w:p w14:paraId="6E639395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</w:p>
          <w:p w14:paraId="316063A3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Usuário privilegiado</w:t>
            </w:r>
          </w:p>
          <w:p w14:paraId="59DB3CB4" w14:textId="77777777" w:rsid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Administrador do sistema</w:t>
            </w:r>
          </w:p>
          <w:p w14:paraId="5FE2EF6D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</w:p>
          <w:p w14:paraId="4AB4B316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Grupo</w:t>
            </w:r>
          </w:p>
          <w:p w14:paraId="114729D6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Concorrente</w:t>
            </w:r>
          </w:p>
          <w:p w14:paraId="721CBE39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Fornecedor</w:t>
            </w:r>
          </w:p>
          <w:p w14:paraId="53BA757C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Parceiro de negócios</w:t>
            </w:r>
          </w:p>
          <w:p w14:paraId="3339FBBA" w14:textId="77777777" w:rsid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Estado-nação</w:t>
            </w:r>
          </w:p>
          <w:p w14:paraId="0E56A915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</w:p>
          <w:p w14:paraId="527AD4B4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Outsider</w:t>
            </w:r>
          </w:p>
          <w:p w14:paraId="4D3ED7D4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</w:rPr>
            </w:pPr>
            <w:r w:rsidRPr="00D64E7F">
              <w:rPr>
                <w:i/>
              </w:rPr>
              <w:t>● Hacker</w:t>
            </w:r>
          </w:p>
          <w:p w14:paraId="7EEAC311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</w:rPr>
            </w:pPr>
            <w:r w:rsidRPr="00D64E7F">
              <w:rPr>
                <w:i/>
              </w:rPr>
              <w:t xml:space="preserve">● </w:t>
            </w:r>
            <w:proofErr w:type="spellStart"/>
            <w:r w:rsidRPr="00D64E7F">
              <w:rPr>
                <w:i/>
              </w:rPr>
              <w:t>Hacktivista</w:t>
            </w:r>
            <w:proofErr w:type="spellEnd"/>
          </w:p>
          <w:p w14:paraId="7CFD4A0B" w14:textId="0F4A6854" w:rsidR="00DF0D7D" w:rsidRDefault="00D64E7F" w:rsidP="00D64E7F">
            <w:pPr>
              <w:widowControl w:val="0"/>
              <w:spacing w:before="0" w:line="240" w:lineRule="auto"/>
              <w:rPr>
                <w:sz w:val="20"/>
                <w:szCs w:val="20"/>
              </w:rPr>
            </w:pPr>
            <w:r w:rsidRPr="00D64E7F">
              <w:rPr>
                <w:i/>
              </w:rPr>
              <w:t xml:space="preserve">● </w:t>
            </w:r>
            <w:proofErr w:type="spellStart"/>
            <w:r w:rsidRPr="00D64E7F">
              <w:rPr>
                <w:i/>
              </w:rPr>
              <w:t>Ameaça</w:t>
            </w:r>
            <w:proofErr w:type="spellEnd"/>
            <w:r w:rsidRPr="00D64E7F">
              <w:rPr>
                <w:i/>
              </w:rPr>
              <w:t xml:space="preserve"> </w:t>
            </w:r>
            <w:proofErr w:type="spellStart"/>
            <w:r w:rsidRPr="00D64E7F">
              <w:rPr>
                <w:i/>
              </w:rPr>
              <w:t>persistente</w:t>
            </w:r>
            <w:proofErr w:type="spellEnd"/>
            <w:r w:rsidRPr="00D64E7F">
              <w:rPr>
                <w:i/>
              </w:rPr>
              <w:t xml:space="preserve"> </w:t>
            </w:r>
            <w:proofErr w:type="spellStart"/>
            <w:r w:rsidRPr="00D64E7F">
              <w:rPr>
                <w:i/>
              </w:rPr>
              <w:t>avançada</w:t>
            </w:r>
            <w:proofErr w:type="spellEnd"/>
            <w:r w:rsidRPr="00D64E7F">
              <w:rPr>
                <w:i/>
              </w:rPr>
              <w:t xml:space="preserve"> (APT)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E90F8" w14:textId="311298F3" w:rsidR="00DF0D7D" w:rsidRPr="00D64E7F" w:rsidRDefault="00D64E7F">
            <w:pPr>
              <w:widowControl w:val="0"/>
              <w:spacing w:before="0" w:line="240" w:lineRule="auto"/>
              <w:ind w:right="-45"/>
              <w:rPr>
                <w:lang w:val="pt-BR"/>
              </w:rPr>
            </w:pPr>
            <w:r w:rsidRPr="00D64E7F">
              <w:rPr>
                <w:lang w:val="pt-BR"/>
              </w:rPr>
              <w:t>Ameaças que surgem de indivíduos ou grupos que podem explorar recursos cibernéticos propositalmente ou acidentalmente. Por exemplo, eles podem alterar dados de uma forma que impacte negativamente a empresa. Alternativamente, eles podem intencionalmente roubar dados e danificar equipamentos comerciais.</w:t>
            </w:r>
          </w:p>
        </w:tc>
      </w:tr>
      <w:tr w:rsidR="00DF0D7D" w:rsidRPr="00D64E7F" w14:paraId="016112D4" w14:textId="77777777">
        <w:trPr>
          <w:trHeight w:val="2580"/>
        </w:trPr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68921" w14:textId="77777777" w:rsidR="00DF0D7D" w:rsidRDefault="00000000">
            <w:pPr>
              <w:widowControl w:val="0"/>
              <w:spacing w:before="0" w:line="240" w:lineRule="auto"/>
              <w:ind w:right="-360"/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470BAC98" wp14:editId="25E922AE">
                      <wp:extent cx="409575" cy="1390650"/>
                      <wp:effectExtent l="0" t="0" r="0" b="0"/>
                      <wp:docPr id="1" name="Caixa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-5400000">
                                <a:off x="-491850" y="491975"/>
                                <a:ext cx="1383900" cy="400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AE04E5" w14:textId="77777777" w:rsidR="00DF0D7D" w:rsidRDefault="00000000">
                                  <w:pPr>
                                    <w:spacing w:before="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8"/>
                                    </w:rPr>
                                    <w:t>Technological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409575" cy="1390650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" cy="13906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9D766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Hardware</w:t>
            </w:r>
          </w:p>
          <w:p w14:paraId="40493EA5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Armazenamento</w:t>
            </w:r>
          </w:p>
          <w:p w14:paraId="54F50A92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Processamento</w:t>
            </w:r>
          </w:p>
          <w:p w14:paraId="57A35995" w14:textId="77777777" w:rsid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Comunicações</w:t>
            </w:r>
          </w:p>
          <w:p w14:paraId="5B91E36C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</w:p>
          <w:p w14:paraId="30B07B1A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Software</w:t>
            </w:r>
          </w:p>
          <w:p w14:paraId="7D6F6357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Sistema(s) operacional(ais)</w:t>
            </w:r>
          </w:p>
          <w:p w14:paraId="35430B13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</w:rPr>
            </w:pPr>
            <w:r w:rsidRPr="00D64E7F">
              <w:rPr>
                <w:i/>
              </w:rPr>
              <w:t>● Rede</w:t>
            </w:r>
          </w:p>
          <w:p w14:paraId="7DC09851" w14:textId="680CA527" w:rsidR="00DF0D7D" w:rsidRDefault="00D64E7F" w:rsidP="00D64E7F">
            <w:pPr>
              <w:widowControl w:val="0"/>
              <w:spacing w:before="0" w:line="240" w:lineRule="auto"/>
              <w:rPr>
                <w:sz w:val="20"/>
                <w:szCs w:val="20"/>
              </w:rPr>
            </w:pPr>
            <w:r w:rsidRPr="00D64E7F">
              <w:rPr>
                <w:i/>
              </w:rPr>
              <w:t xml:space="preserve">● Software </w:t>
            </w:r>
            <w:proofErr w:type="spellStart"/>
            <w:r w:rsidRPr="00D64E7F">
              <w:rPr>
                <w:i/>
              </w:rPr>
              <w:t>malicioso</w:t>
            </w:r>
            <w:proofErr w:type="spellEnd"/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5170" w14:textId="22D82E91" w:rsidR="00DF0D7D" w:rsidRPr="00D64E7F" w:rsidRDefault="00D64E7F">
            <w:pPr>
              <w:widowControl w:val="0"/>
              <w:spacing w:before="0" w:line="240" w:lineRule="auto"/>
              <w:ind w:right="-45"/>
              <w:rPr>
                <w:lang w:val="pt-BR"/>
              </w:rPr>
            </w:pPr>
            <w:r w:rsidRPr="00D64E7F">
              <w:rPr>
                <w:lang w:val="pt-BR"/>
              </w:rPr>
              <w:t>Ameaças que se originam de fatores não humanos. Por exemplo, falhas de equipamentos devido ao envelhecimento, esgotamento de recursos ou outras circunstâncias</w:t>
            </w:r>
            <w:r w:rsidR="00000000" w:rsidRPr="00D64E7F">
              <w:rPr>
                <w:lang w:val="pt-BR"/>
              </w:rPr>
              <w:t>.</w:t>
            </w:r>
          </w:p>
        </w:tc>
      </w:tr>
      <w:tr w:rsidR="00DF0D7D" w:rsidRPr="00D64E7F" w14:paraId="2D639F33" w14:textId="77777777"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BFA07" w14:textId="77777777" w:rsidR="00DF0D7D" w:rsidRDefault="00000000">
            <w:pPr>
              <w:widowControl w:val="0"/>
              <w:spacing w:before="0" w:line="240" w:lineRule="auto"/>
              <w:ind w:right="-120"/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7BE4306B" wp14:editId="7C227673">
                      <wp:extent cx="409575" cy="1495425"/>
                      <wp:effectExtent l="0" t="0" r="0" b="0"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-5400000">
                                <a:off x="-543000" y="543075"/>
                                <a:ext cx="1486200" cy="400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9AC268" w14:textId="77777777" w:rsidR="00DF0D7D" w:rsidRDefault="00000000">
                                  <w:pPr>
                                    <w:spacing w:before="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8"/>
                                    </w:rPr>
                                    <w:t>Environmental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BE430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8" type="#_x0000_t202" style="width:32.25pt;height:117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" filled="f" stroked="f">
                      <v:textbox style="mso-fit-shape-to-text:t" inset="2.53958mm,2.53958mm,2.53958mm,2.53958mm">
                        <w:txbxContent>
                          <w:p w14:paraId="139AC268" w14:textId="77777777" w:rsidR="00DF0D7D" w:rsidRDefault="00000000">
                            <w:pPr>
                              <w:spacing w:before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Environmental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AC02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Ambiente operacional</w:t>
            </w:r>
          </w:p>
          <w:p w14:paraId="751C754E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Controles de temperatura</w:t>
            </w:r>
          </w:p>
          <w:p w14:paraId="5FCD3475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Controles de umidade</w:t>
            </w:r>
          </w:p>
          <w:p w14:paraId="5E6267E9" w14:textId="77777777" w:rsid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Fontes de alimentação defeituosas</w:t>
            </w:r>
          </w:p>
          <w:p w14:paraId="5011F983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</w:p>
          <w:p w14:paraId="003935B5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Riscos naturais</w:t>
            </w:r>
          </w:p>
          <w:p w14:paraId="2DCE0EFC" w14:textId="77777777" w:rsidR="00D64E7F" w:rsidRPr="00D64E7F" w:rsidRDefault="00D64E7F" w:rsidP="00D64E7F">
            <w:pPr>
              <w:widowControl w:val="0"/>
              <w:spacing w:before="0" w:line="240" w:lineRule="auto"/>
              <w:rPr>
                <w:i/>
                <w:lang w:val="pt-BR"/>
              </w:rPr>
            </w:pPr>
            <w:r w:rsidRPr="00D64E7F">
              <w:rPr>
                <w:i/>
                <w:lang w:val="pt-BR"/>
              </w:rPr>
              <w:t>● Quedas de energia</w:t>
            </w:r>
          </w:p>
          <w:p w14:paraId="26F2ECD8" w14:textId="5521B629" w:rsidR="00DF0D7D" w:rsidRPr="00D64E7F" w:rsidRDefault="00D64E7F" w:rsidP="00D64E7F">
            <w:pPr>
              <w:widowControl w:val="0"/>
              <w:spacing w:before="0" w:line="240" w:lineRule="auto"/>
              <w:rPr>
                <w:sz w:val="20"/>
                <w:szCs w:val="20"/>
                <w:lang w:val="pt-BR"/>
              </w:rPr>
            </w:pPr>
            <w:r w:rsidRPr="00D64E7F">
              <w:rPr>
                <w:i/>
                <w:lang w:val="pt-BR"/>
              </w:rPr>
              <w:t>● Eventos climáticos extremos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4D6DC" w14:textId="58D4ECA1" w:rsidR="00DF0D7D" w:rsidRPr="00D64E7F" w:rsidRDefault="00D64E7F">
            <w:pPr>
              <w:widowControl w:val="0"/>
              <w:spacing w:before="0" w:line="240" w:lineRule="auto"/>
              <w:ind w:right="-45"/>
              <w:rPr>
                <w:lang w:val="pt-BR"/>
              </w:rPr>
            </w:pPr>
            <w:r w:rsidRPr="00D64E7F">
              <w:rPr>
                <w:lang w:val="pt-BR"/>
              </w:rPr>
              <w:t>Ameaças que surgem de fatores acidentais, não humanos. Por exemplo, falhas de equipamento causadas pelo ambiente operacional.</w:t>
            </w:r>
          </w:p>
        </w:tc>
      </w:tr>
    </w:tbl>
    <w:p w14:paraId="61DF22DE" w14:textId="77777777" w:rsidR="00DF0D7D" w:rsidRPr="00D64E7F" w:rsidRDefault="00DF0D7D">
      <w:pPr>
        <w:ind w:left="-360" w:right="-360"/>
        <w:rPr>
          <w:color w:val="000000"/>
          <w:lang w:val="pt-BR"/>
        </w:rPr>
      </w:pPr>
    </w:p>
    <w:p w14:paraId="48499975" w14:textId="77777777" w:rsidR="00DF0D7D" w:rsidRPr="00D64E7F" w:rsidRDefault="00DF0D7D">
      <w:pPr>
        <w:spacing w:before="0" w:line="360" w:lineRule="auto"/>
        <w:ind w:left="-360" w:right="-360"/>
        <w:rPr>
          <w:color w:val="000000"/>
          <w:lang w:val="pt-BR"/>
        </w:rPr>
      </w:pPr>
    </w:p>
    <w:p w14:paraId="4A90EC2E" w14:textId="24C78A91" w:rsidR="00DF0D7D" w:rsidRDefault="00D64E7F">
      <w:pPr>
        <w:pStyle w:val="Ttulo3"/>
        <w:spacing w:before="0" w:line="360" w:lineRule="auto"/>
        <w:ind w:left="-360" w:right="-360"/>
        <w:rPr>
          <w:b/>
          <w:color w:val="000000"/>
        </w:rPr>
      </w:pPr>
      <w:bookmarkStart w:id="4" w:name="_nflw24qpcagu" w:colFirst="0" w:colLast="0"/>
      <w:bookmarkEnd w:id="4"/>
      <w:proofErr w:type="spellStart"/>
      <w:r w:rsidRPr="00D64E7F">
        <w:rPr>
          <w:b/>
          <w:color w:val="000000"/>
        </w:rPr>
        <w:t>Eventos</w:t>
      </w:r>
      <w:proofErr w:type="spellEnd"/>
      <w:r w:rsidRPr="00D64E7F">
        <w:rPr>
          <w:b/>
          <w:color w:val="000000"/>
        </w:rPr>
        <w:t xml:space="preserve"> de </w:t>
      </w:r>
      <w:proofErr w:type="spellStart"/>
      <w:r w:rsidRPr="00D64E7F">
        <w:rPr>
          <w:b/>
          <w:color w:val="000000"/>
        </w:rPr>
        <w:t>ameaça</w:t>
      </w:r>
      <w:proofErr w:type="spellEnd"/>
    </w:p>
    <w:p w14:paraId="3CB45EF5" w14:textId="77777777" w:rsidR="00D64E7F" w:rsidRPr="00D64E7F" w:rsidRDefault="00D64E7F" w:rsidP="00D64E7F">
      <w:pPr>
        <w:ind w:left="-360" w:right="-360"/>
        <w:rPr>
          <w:color w:val="000000"/>
          <w:lang w:val="pt-BR"/>
        </w:rPr>
      </w:pPr>
      <w:r w:rsidRPr="00D64E7F">
        <w:rPr>
          <w:color w:val="000000"/>
          <w:lang w:val="pt-BR"/>
        </w:rPr>
        <w:t xml:space="preserve">O NIST SP 800-30 define e categoriza eventos de ameaça como instâncias reais em que uma fonte de ameaça explora uma vulnerabilidade e causa danos ou prejuízos aos sistemas de informação de uma organização. Essas informações são úteis para obter insights sobre os tipos de riscos que os </w:t>
      </w:r>
      <w:r w:rsidRPr="00D64E7F">
        <w:rPr>
          <w:color w:val="000000"/>
          <w:lang w:val="pt-BR"/>
        </w:rPr>
        <w:lastRenderedPageBreak/>
        <w:t>ativos enfrentam. Controles e contramedidas mais eficazes podem ser identificados ao entender possíveis eventos de ameaça,</w:t>
      </w:r>
    </w:p>
    <w:p w14:paraId="7BEF1741" w14:textId="6EABA60E" w:rsidR="00DF0D7D" w:rsidRPr="00D64E7F" w:rsidRDefault="00D64E7F" w:rsidP="00D64E7F">
      <w:pPr>
        <w:ind w:left="-360" w:right="-360"/>
        <w:rPr>
          <w:color w:val="000000"/>
          <w:lang w:val="pt-BR"/>
        </w:rPr>
      </w:pPr>
      <w:r w:rsidRPr="00D64E7F">
        <w:rPr>
          <w:color w:val="000000"/>
          <w:lang w:val="pt-BR"/>
        </w:rPr>
        <w:t>Observação: a tabela a seguir lista apenas alguns possíveis eventos de ameaça que podem comprometer um servidor de banco de dados acessível publicamente</w:t>
      </w:r>
      <w:r w:rsidR="00000000" w:rsidRPr="00D64E7F">
        <w:rPr>
          <w:color w:val="000000"/>
          <w:lang w:val="pt-BR"/>
        </w:rPr>
        <w:t>.</w:t>
      </w:r>
    </w:p>
    <w:p w14:paraId="1E5C221C" w14:textId="77777777" w:rsidR="00DF0D7D" w:rsidRPr="00D64E7F" w:rsidRDefault="00DF0D7D">
      <w:pPr>
        <w:spacing w:before="0" w:line="360" w:lineRule="auto"/>
        <w:ind w:left="-360" w:right="-360"/>
        <w:rPr>
          <w:color w:val="000000"/>
          <w:lang w:val="pt-BR"/>
        </w:rPr>
      </w:pPr>
    </w:p>
    <w:tbl>
      <w:tblPr>
        <w:tblStyle w:val="a0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32"/>
        <w:gridCol w:w="5033"/>
      </w:tblGrid>
      <w:tr w:rsidR="00DF0D7D" w14:paraId="28DD42B8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54BA3" w14:textId="7CA72DE0" w:rsidR="00DF0D7D" w:rsidRDefault="00000000">
            <w:pPr>
              <w:spacing w:before="0" w:line="276" w:lineRule="auto"/>
              <w:ind w:right="-30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Ex</w:t>
            </w:r>
            <w:r w:rsidR="00D64E7F">
              <w:rPr>
                <w:b/>
                <w:color w:val="000000"/>
              </w:rPr>
              <w:t>emplos</w:t>
            </w:r>
            <w:proofErr w:type="spellEnd"/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38049" w14:textId="0721FE12" w:rsidR="00DF0D7D" w:rsidRDefault="00000000">
            <w:pPr>
              <w:spacing w:before="0" w:line="276" w:lineRule="auto"/>
              <w:ind w:right="-30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Descr</w:t>
            </w:r>
            <w:r w:rsidR="00D64E7F">
              <w:rPr>
                <w:b/>
                <w:color w:val="000000"/>
              </w:rPr>
              <w:t>ção</w:t>
            </w:r>
            <w:proofErr w:type="spellEnd"/>
          </w:p>
        </w:tc>
      </w:tr>
      <w:tr w:rsidR="00DF0D7D" w:rsidRPr="00D64E7F" w14:paraId="4E039AB7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4A49" w14:textId="39958BBB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Realizar reconhecimento e vigilância da organização</w:t>
            </w:r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FAA43" w14:textId="0D377E8E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examina e avalia as vulnerabilidades da empresa ao longo do tempo usando várias ferramentas (por exemplo, varredura, observação física)</w:t>
            </w:r>
            <w:r w:rsidR="00000000" w:rsidRPr="00D64E7F">
              <w:rPr>
                <w:color w:val="000000"/>
                <w:lang w:val="pt-BR"/>
              </w:rPr>
              <w:t>.</w:t>
            </w:r>
          </w:p>
        </w:tc>
      </w:tr>
      <w:tr w:rsidR="00DF0D7D" w:rsidRPr="00D64E7F" w14:paraId="5D617B79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3382B" w14:textId="6FAA693E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 xml:space="preserve">Obter informações confidenciais por meio de </w:t>
            </w:r>
            <w:proofErr w:type="spellStart"/>
            <w:r w:rsidRPr="00D64E7F">
              <w:rPr>
                <w:color w:val="000000"/>
                <w:lang w:val="pt-BR"/>
              </w:rPr>
              <w:t>exfiltração</w:t>
            </w:r>
            <w:proofErr w:type="spellEnd"/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B3B8" w14:textId="7A560FBB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instala software malicioso em sistemas organizacionais para localizar e adquirir informações confidenciais.</w:t>
            </w:r>
          </w:p>
        </w:tc>
      </w:tr>
      <w:tr w:rsidR="00DF0D7D" w:rsidRPr="00D64E7F" w14:paraId="2FB2CB2F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C4CB" w14:textId="0601745E" w:rsidR="00DF0D7D" w:rsidRDefault="00D64E7F">
            <w:pPr>
              <w:spacing w:before="0" w:line="276" w:lineRule="auto"/>
              <w:ind w:right="-30"/>
              <w:rPr>
                <w:color w:val="000000"/>
              </w:rPr>
            </w:pPr>
            <w:proofErr w:type="spellStart"/>
            <w:r w:rsidRPr="00D64E7F">
              <w:rPr>
                <w:color w:val="000000"/>
              </w:rPr>
              <w:t>Alterar</w:t>
            </w:r>
            <w:proofErr w:type="spellEnd"/>
            <w:r w:rsidRPr="00D64E7F">
              <w:rPr>
                <w:color w:val="000000"/>
              </w:rPr>
              <w:t>/</w:t>
            </w:r>
            <w:proofErr w:type="spellStart"/>
            <w:r w:rsidRPr="00D64E7F">
              <w:rPr>
                <w:color w:val="000000"/>
              </w:rPr>
              <w:t>Excluir</w:t>
            </w:r>
            <w:proofErr w:type="spellEnd"/>
            <w:r w:rsidRPr="00D64E7F">
              <w:rPr>
                <w:color w:val="000000"/>
              </w:rPr>
              <w:t xml:space="preserve"> </w:t>
            </w:r>
            <w:proofErr w:type="spellStart"/>
            <w:r w:rsidRPr="00D64E7F">
              <w:rPr>
                <w:color w:val="000000"/>
              </w:rPr>
              <w:t>informações</w:t>
            </w:r>
            <w:proofErr w:type="spellEnd"/>
            <w:r w:rsidRPr="00D64E7F">
              <w:rPr>
                <w:color w:val="000000"/>
              </w:rPr>
              <w:t xml:space="preserve"> </w:t>
            </w:r>
            <w:proofErr w:type="spellStart"/>
            <w:r w:rsidRPr="00D64E7F">
              <w:rPr>
                <w:color w:val="000000"/>
              </w:rPr>
              <w:t>críticas</w:t>
            </w:r>
            <w:proofErr w:type="spellEnd"/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98E8" w14:textId="4651A842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altera ou exclui dados essenciais para as operações comerciais diárias.</w:t>
            </w:r>
          </w:p>
        </w:tc>
      </w:tr>
      <w:tr w:rsidR="00DF0D7D" w:rsidRPr="00D64E7F" w14:paraId="09FAE4AE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87D0" w14:textId="1FE3443D" w:rsidR="00DF0D7D" w:rsidRDefault="00D64E7F">
            <w:pPr>
              <w:spacing w:before="0" w:line="276" w:lineRule="auto"/>
              <w:ind w:right="-30"/>
              <w:rPr>
                <w:color w:val="000000"/>
              </w:rPr>
            </w:pPr>
            <w:proofErr w:type="spellStart"/>
            <w:r w:rsidRPr="00D64E7F">
              <w:rPr>
                <w:color w:val="000000"/>
              </w:rPr>
              <w:t>Crie</w:t>
            </w:r>
            <w:proofErr w:type="spellEnd"/>
            <w:r w:rsidRPr="00D64E7F">
              <w:rPr>
                <w:color w:val="000000"/>
              </w:rPr>
              <w:t xml:space="preserve"> </w:t>
            </w:r>
            <w:proofErr w:type="spellStart"/>
            <w:r w:rsidRPr="00D64E7F">
              <w:rPr>
                <w:color w:val="000000"/>
              </w:rPr>
              <w:t>certificados</w:t>
            </w:r>
            <w:proofErr w:type="spellEnd"/>
            <w:r w:rsidRPr="00D64E7F">
              <w:rPr>
                <w:color w:val="000000"/>
              </w:rPr>
              <w:t xml:space="preserve"> </w:t>
            </w:r>
            <w:proofErr w:type="spellStart"/>
            <w:r w:rsidRPr="00D64E7F">
              <w:rPr>
                <w:color w:val="000000"/>
              </w:rPr>
              <w:t>falsificados</w:t>
            </w:r>
            <w:proofErr w:type="spellEnd"/>
            <w:r w:rsidRPr="00D64E7F">
              <w:rPr>
                <w:color w:val="000000"/>
              </w:rPr>
              <w:t>.</w:t>
            </w:r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2A2D" w14:textId="43E99E8C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compromete uma autoridade de certificação para fazer com que suas conexões pareçam legítimas.</w:t>
            </w:r>
          </w:p>
        </w:tc>
      </w:tr>
      <w:tr w:rsidR="00DF0D7D" w:rsidRPr="00D64E7F" w14:paraId="65D4DAFF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3A300" w14:textId="08460F0E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 xml:space="preserve">Instale </w:t>
            </w:r>
            <w:proofErr w:type="spellStart"/>
            <w:r w:rsidRPr="00D64E7F">
              <w:rPr>
                <w:color w:val="000000"/>
                <w:lang w:val="pt-BR"/>
              </w:rPr>
              <w:t>sniffers</w:t>
            </w:r>
            <w:proofErr w:type="spellEnd"/>
            <w:r w:rsidRPr="00D64E7F">
              <w:rPr>
                <w:color w:val="000000"/>
                <w:lang w:val="pt-BR"/>
              </w:rPr>
              <w:t xml:space="preserve"> de rede persistentes e direcionados em sistemas de informações organizacionais.</w:t>
            </w:r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13541" w14:textId="617B4D14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instala um software projetado para coletar (farejar) tráfego de rede durante um período de tempo contínuo.</w:t>
            </w:r>
          </w:p>
        </w:tc>
      </w:tr>
      <w:tr w:rsidR="00DF0D7D" w:rsidRPr="00D64E7F" w14:paraId="642EBCC2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676B" w14:textId="77679819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Realizar ataques de negação de serviço (</w:t>
            </w:r>
            <w:proofErr w:type="spellStart"/>
            <w:r w:rsidRPr="00D64E7F">
              <w:rPr>
                <w:color w:val="000000"/>
                <w:lang w:val="pt-BR"/>
              </w:rPr>
              <w:t>DoS</w:t>
            </w:r>
            <w:proofErr w:type="spellEnd"/>
            <w:r w:rsidRPr="00D64E7F">
              <w:rPr>
                <w:color w:val="000000"/>
                <w:lang w:val="pt-BR"/>
              </w:rPr>
              <w:t>).</w:t>
            </w:r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343C" w14:textId="08AF9C9C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envia solicitações excessivas e automatizadas para sobrecarregar os recursos operacionais do sistema.</w:t>
            </w:r>
          </w:p>
        </w:tc>
      </w:tr>
      <w:tr w:rsidR="00DF0D7D" w:rsidRPr="00D64E7F" w14:paraId="4A7FF0D3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C4BF2" w14:textId="3DC3FC7A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Interrompa operações de missão crítica.</w:t>
            </w:r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A6B37" w14:textId="6740645C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compromete a integridade das informações de tal forma que impede a empresa de realizar operações críticas.</w:t>
            </w:r>
          </w:p>
        </w:tc>
      </w:tr>
      <w:tr w:rsidR="00DF0D7D" w:rsidRPr="00D64E7F" w14:paraId="02BE0D7C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6B24F" w14:textId="7E00D738" w:rsidR="00DF0D7D" w:rsidRDefault="00D64E7F">
            <w:pPr>
              <w:spacing w:before="0" w:line="276" w:lineRule="auto"/>
              <w:ind w:right="-30"/>
              <w:rPr>
                <w:color w:val="000000"/>
              </w:rPr>
            </w:pPr>
            <w:proofErr w:type="spellStart"/>
            <w:r w:rsidRPr="00D64E7F">
              <w:rPr>
                <w:color w:val="000000"/>
              </w:rPr>
              <w:t>Ofusque</w:t>
            </w:r>
            <w:proofErr w:type="spellEnd"/>
            <w:r w:rsidRPr="00D64E7F">
              <w:rPr>
                <w:color w:val="000000"/>
              </w:rPr>
              <w:t xml:space="preserve"> </w:t>
            </w:r>
            <w:proofErr w:type="spellStart"/>
            <w:r w:rsidRPr="00D64E7F">
              <w:rPr>
                <w:color w:val="000000"/>
              </w:rPr>
              <w:t>ataques</w:t>
            </w:r>
            <w:proofErr w:type="spellEnd"/>
            <w:r w:rsidRPr="00D64E7F">
              <w:rPr>
                <w:color w:val="000000"/>
              </w:rPr>
              <w:t xml:space="preserve"> </w:t>
            </w:r>
            <w:proofErr w:type="spellStart"/>
            <w:r w:rsidRPr="00D64E7F">
              <w:rPr>
                <w:color w:val="000000"/>
              </w:rPr>
              <w:t>futuros</w:t>
            </w:r>
            <w:proofErr w:type="spellEnd"/>
            <w:r w:rsidRPr="00D64E7F">
              <w:rPr>
                <w:color w:val="000000"/>
              </w:rPr>
              <w:t>.</w:t>
            </w:r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4A82" w14:textId="0BA8D95B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>A fonte da ameaça toma medidas para inibir a eficácia dos sistemas de detecção de intrusão ou dos recursos de auditoria da empresa.</w:t>
            </w:r>
          </w:p>
        </w:tc>
      </w:tr>
      <w:tr w:rsidR="00DF0D7D" w:rsidRPr="00D64E7F" w14:paraId="077ACD67" w14:textId="77777777">
        <w:trPr>
          <w:trHeight w:val="600"/>
        </w:trPr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8009F" w14:textId="06DA328B" w:rsidR="00DF0D7D" w:rsidRDefault="00D64E7F">
            <w:pPr>
              <w:spacing w:before="0" w:line="276" w:lineRule="auto"/>
              <w:ind w:right="-30"/>
              <w:rPr>
                <w:color w:val="000000"/>
              </w:rPr>
            </w:pPr>
            <w:r w:rsidRPr="00D64E7F">
              <w:rPr>
                <w:color w:val="000000"/>
              </w:rPr>
              <w:t xml:space="preserve">Realize </w:t>
            </w:r>
            <w:proofErr w:type="spellStart"/>
            <w:r w:rsidRPr="00D64E7F">
              <w:rPr>
                <w:color w:val="000000"/>
              </w:rPr>
              <w:t>ataques</w:t>
            </w:r>
            <w:proofErr w:type="spellEnd"/>
            <w:r w:rsidRPr="00D64E7F">
              <w:rPr>
                <w:color w:val="000000"/>
              </w:rPr>
              <w:t xml:space="preserve"> do </w:t>
            </w:r>
            <w:proofErr w:type="spellStart"/>
            <w:r w:rsidRPr="00D64E7F">
              <w:rPr>
                <w:color w:val="000000"/>
              </w:rPr>
              <w:t>tipo</w:t>
            </w:r>
            <w:proofErr w:type="spellEnd"/>
            <w:r w:rsidRPr="00D64E7F">
              <w:rPr>
                <w:color w:val="000000"/>
              </w:rPr>
              <w:t xml:space="preserve"> "man-in-the-middle".</w:t>
            </w:r>
          </w:p>
        </w:tc>
        <w:tc>
          <w:tcPr>
            <w:tcW w:w="5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C4E8" w14:textId="3944F089" w:rsidR="00DF0D7D" w:rsidRPr="00D64E7F" w:rsidRDefault="00D64E7F">
            <w:pPr>
              <w:spacing w:before="0" w:line="276" w:lineRule="auto"/>
              <w:ind w:right="-30"/>
              <w:rPr>
                <w:color w:val="000000"/>
                <w:lang w:val="pt-BR"/>
              </w:rPr>
            </w:pPr>
            <w:r w:rsidRPr="00D64E7F">
              <w:rPr>
                <w:color w:val="000000"/>
                <w:lang w:val="pt-BR"/>
              </w:rPr>
              <w:t xml:space="preserve">A fonte de ameaça espiona sessões entre sistemas internos e externos. Mais tarde, eles retransmitem mensagens entre sistemas </w:t>
            </w:r>
            <w:r w:rsidRPr="00D64E7F">
              <w:rPr>
                <w:color w:val="000000"/>
                <w:lang w:val="pt-BR"/>
              </w:rPr>
              <w:lastRenderedPageBreak/>
              <w:t>organizacionais e externos que os fazem acreditar que estão falando diretamente uns com os outros por uma conexão privada.</w:t>
            </w:r>
          </w:p>
        </w:tc>
      </w:tr>
    </w:tbl>
    <w:p w14:paraId="0D26A916" w14:textId="77777777" w:rsidR="00DF0D7D" w:rsidRPr="00D64E7F" w:rsidRDefault="00DF0D7D">
      <w:pPr>
        <w:spacing w:before="0" w:line="360" w:lineRule="auto"/>
        <w:ind w:left="-360" w:right="-360"/>
        <w:rPr>
          <w:lang w:val="pt-BR"/>
        </w:rPr>
      </w:pPr>
    </w:p>
    <w:p w14:paraId="1F315B1B" w14:textId="1FEA33DA" w:rsidR="00DF0D7D" w:rsidRPr="00D64E7F" w:rsidRDefault="00D64E7F">
      <w:pPr>
        <w:pStyle w:val="Ttulo2"/>
        <w:ind w:left="-360" w:right="-360"/>
        <w:rPr>
          <w:color w:val="000000"/>
          <w:lang w:val="pt-BR"/>
        </w:rPr>
      </w:pPr>
      <w:bookmarkStart w:id="5" w:name="_6x8rkjwa8fzc" w:colFirst="0" w:colLast="0"/>
      <w:bookmarkEnd w:id="5"/>
      <w:r w:rsidRPr="00D64E7F">
        <w:rPr>
          <w:color w:val="000000"/>
          <w:lang w:val="pt-BR"/>
        </w:rPr>
        <w:t>Probabilidade de um evento de ameaça</w:t>
      </w:r>
    </w:p>
    <w:p w14:paraId="391C6F7C" w14:textId="77777777" w:rsidR="00D64E7F" w:rsidRPr="00D64E7F" w:rsidRDefault="00D64E7F" w:rsidP="00D64E7F">
      <w:pPr>
        <w:ind w:left="-360" w:right="-360"/>
        <w:rPr>
          <w:lang w:val="pt-BR"/>
        </w:rPr>
      </w:pPr>
      <w:r w:rsidRPr="00D64E7F">
        <w:rPr>
          <w:lang w:val="pt-BR"/>
        </w:rPr>
        <w:t>Em geral, a probabilidade de um evento de ameaça deve ser uma pontuação baseada em uma combinação de fatores. Por exemplo, qualquer evidência disponível que você tenha, experiência anterior e seu julgamento especializado.</w:t>
      </w:r>
    </w:p>
    <w:p w14:paraId="3FEF52C3" w14:textId="12EDC99B" w:rsidR="00DF0D7D" w:rsidRPr="00D64E7F" w:rsidRDefault="00D64E7F" w:rsidP="00D64E7F">
      <w:pPr>
        <w:ind w:left="-360" w:right="-360"/>
        <w:rPr>
          <w:lang w:val="pt-BR"/>
        </w:rPr>
      </w:pPr>
      <w:r w:rsidRPr="00D64E7F">
        <w:rPr>
          <w:lang w:val="pt-BR"/>
        </w:rPr>
        <w:t>Considere a intenção/capacidades de uma fonte de ameaça e eventos de ameaça em potencial ao produzir uma pontuação de probabilidade.</w:t>
      </w:r>
    </w:p>
    <w:p w14:paraId="5B46C899" w14:textId="77777777" w:rsidR="00DF0D7D" w:rsidRPr="00D64E7F" w:rsidRDefault="00DF0D7D">
      <w:pPr>
        <w:ind w:left="-360" w:right="-360"/>
        <w:rPr>
          <w:lang w:val="pt-BR"/>
        </w:rPr>
      </w:pPr>
    </w:p>
    <w:tbl>
      <w:tblPr>
        <w:tblStyle w:val="a1"/>
        <w:tblW w:w="8895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695"/>
        <w:gridCol w:w="5280"/>
      </w:tblGrid>
      <w:tr w:rsidR="00DF0D7D" w14:paraId="745703DC" w14:textId="77777777">
        <w:trPr>
          <w:trHeight w:val="42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A738B" w14:textId="77777777" w:rsidR="00DF0D7D" w:rsidRDefault="00000000">
            <w:pPr>
              <w:widowControl w:val="0"/>
              <w:spacing w:before="0" w:line="240" w:lineRule="auto"/>
              <w:ind w:right="-90"/>
              <w:rPr>
                <w:b/>
              </w:rPr>
            </w:pPr>
            <w:r>
              <w:rPr>
                <w:b/>
              </w:rPr>
              <w:t>Qualitative values</w:t>
            </w:r>
          </w:p>
        </w:tc>
        <w:tc>
          <w:tcPr>
            <w:tcW w:w="1695" w:type="dxa"/>
          </w:tcPr>
          <w:p w14:paraId="6B7F6CCA" w14:textId="77777777" w:rsidR="00DF0D7D" w:rsidRDefault="00000000">
            <w:pPr>
              <w:widowControl w:val="0"/>
              <w:spacing w:before="0" w:line="240" w:lineRule="auto"/>
              <w:ind w:right="-120"/>
              <w:rPr>
                <w:b/>
              </w:rPr>
            </w:pPr>
            <w:r>
              <w:rPr>
                <w:b/>
              </w:rPr>
              <w:t>Quantitative values</w:t>
            </w:r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D84A9" w14:textId="77777777" w:rsidR="00DF0D7D" w:rsidRDefault="00000000">
            <w:pPr>
              <w:widowControl w:val="0"/>
              <w:spacing w:before="0" w:line="240" w:lineRule="auto"/>
              <w:ind w:right="-3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F0D7D" w:rsidRPr="00D64E7F" w14:paraId="45989FD1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FF2A" w14:textId="77777777" w:rsidR="00DF0D7D" w:rsidRDefault="00000000">
            <w:pPr>
              <w:widowControl w:val="0"/>
              <w:spacing w:before="0" w:line="240" w:lineRule="auto"/>
              <w:ind w:right="-90"/>
            </w:pPr>
            <w:r>
              <w:t>High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CBFF" w14:textId="77777777" w:rsidR="00DF0D7D" w:rsidRDefault="00000000">
            <w:pPr>
              <w:widowControl w:val="0"/>
              <w:spacing w:before="0" w:line="240" w:lineRule="auto"/>
              <w:ind w:right="-120"/>
            </w:pPr>
            <w:r>
              <w:t>3</w:t>
            </w:r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B207" w14:textId="73696352" w:rsidR="00DF0D7D" w:rsidRPr="00D64E7F" w:rsidRDefault="00D64E7F">
            <w:pPr>
              <w:widowControl w:val="0"/>
              <w:spacing w:before="0" w:line="240" w:lineRule="auto"/>
              <w:ind w:right="-30"/>
              <w:rPr>
                <w:lang w:val="pt-BR"/>
              </w:rPr>
            </w:pPr>
            <w:r w:rsidRPr="00D64E7F">
              <w:rPr>
                <w:lang w:val="pt-BR"/>
              </w:rPr>
              <w:t>A fonte da ameaça quase certamente iniciará um evento de segurança. Um evento pode ter efeitos múltiplos, severos ou catastróficos nas operações e ativos comerciais</w:t>
            </w:r>
            <w:r w:rsidR="00000000" w:rsidRPr="00D64E7F">
              <w:rPr>
                <w:lang w:val="pt-BR"/>
              </w:rPr>
              <w:t>.</w:t>
            </w:r>
          </w:p>
        </w:tc>
      </w:tr>
      <w:tr w:rsidR="00DF0D7D" w:rsidRPr="00D64E7F" w14:paraId="16A6EADF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F6A3" w14:textId="77777777" w:rsidR="00DF0D7D" w:rsidRDefault="00000000">
            <w:pPr>
              <w:widowControl w:val="0"/>
              <w:spacing w:before="0" w:line="240" w:lineRule="auto"/>
              <w:ind w:right="-90"/>
            </w:pPr>
            <w:r>
              <w:t>Moderate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D794B" w14:textId="77777777" w:rsidR="00DF0D7D" w:rsidRDefault="00000000">
            <w:pPr>
              <w:widowControl w:val="0"/>
              <w:spacing w:before="0" w:line="240" w:lineRule="auto"/>
              <w:ind w:right="-120"/>
            </w:pPr>
            <w:r>
              <w:t>2</w:t>
            </w:r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2749" w14:textId="1D944F40" w:rsidR="00DF0D7D" w:rsidRPr="00D64E7F" w:rsidRDefault="00D64E7F">
            <w:pPr>
              <w:widowControl w:val="0"/>
              <w:spacing w:before="0" w:line="240" w:lineRule="auto"/>
              <w:ind w:right="-30"/>
              <w:rPr>
                <w:lang w:val="pt-BR"/>
              </w:rPr>
            </w:pPr>
            <w:r w:rsidRPr="00D64E7F">
              <w:rPr>
                <w:lang w:val="pt-BR"/>
              </w:rPr>
              <w:t>A fonte da ameaça tem alguma probabilidade de iniciar um evento de segurança. Um evento pode reduzir significativamente a funcionalidade das operações e ativos organizacionais</w:t>
            </w:r>
            <w:r w:rsidR="00000000" w:rsidRPr="00D64E7F">
              <w:rPr>
                <w:lang w:val="pt-BR"/>
              </w:rPr>
              <w:t>.</w:t>
            </w:r>
          </w:p>
        </w:tc>
      </w:tr>
      <w:tr w:rsidR="00DF0D7D" w:rsidRPr="00D64E7F" w14:paraId="24E4DB2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2E34" w14:textId="77777777" w:rsidR="00DF0D7D" w:rsidRDefault="00000000">
            <w:pPr>
              <w:widowControl w:val="0"/>
              <w:spacing w:before="0" w:line="240" w:lineRule="auto"/>
              <w:ind w:right="-90"/>
            </w:pPr>
            <w:r>
              <w:t>Low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2356A" w14:textId="77777777" w:rsidR="00DF0D7D" w:rsidRDefault="00000000">
            <w:pPr>
              <w:widowControl w:val="0"/>
              <w:spacing w:before="0" w:line="240" w:lineRule="auto"/>
              <w:ind w:right="-120"/>
            </w:pPr>
            <w:r>
              <w:t>1</w:t>
            </w:r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80A02" w14:textId="74B9EE95" w:rsidR="00DF0D7D" w:rsidRPr="00D64E7F" w:rsidRDefault="00D64E7F">
            <w:pPr>
              <w:widowControl w:val="0"/>
              <w:spacing w:before="0" w:line="240" w:lineRule="auto"/>
              <w:ind w:right="-30"/>
              <w:rPr>
                <w:lang w:val="pt-BR"/>
              </w:rPr>
            </w:pPr>
            <w:r w:rsidRPr="00D64E7F">
              <w:rPr>
                <w:lang w:val="pt-BR"/>
              </w:rPr>
              <w:t>É altamente improvável que a fonte da ameaça inicie um evento de segurança. Um evento pode ter efeitos menores e insignificantes nas operações e ativos comerciais</w:t>
            </w:r>
            <w:r w:rsidR="00000000" w:rsidRPr="00D64E7F">
              <w:rPr>
                <w:lang w:val="pt-BR"/>
              </w:rPr>
              <w:t>.</w:t>
            </w:r>
          </w:p>
        </w:tc>
      </w:tr>
    </w:tbl>
    <w:p w14:paraId="7AB81459" w14:textId="77777777" w:rsidR="00DF0D7D" w:rsidRPr="00D64E7F" w:rsidRDefault="00DF0D7D">
      <w:pPr>
        <w:ind w:left="-360" w:right="-360"/>
        <w:rPr>
          <w:lang w:val="pt-BR"/>
        </w:rPr>
      </w:pPr>
    </w:p>
    <w:p w14:paraId="02F1887B" w14:textId="7D66A880" w:rsidR="00DF0D7D" w:rsidRPr="00D64E7F" w:rsidRDefault="00D64E7F">
      <w:pPr>
        <w:pStyle w:val="Ttulo2"/>
        <w:ind w:left="-360" w:right="-360"/>
        <w:rPr>
          <w:color w:val="000000"/>
          <w:lang w:val="pt-BR"/>
        </w:rPr>
      </w:pPr>
      <w:bookmarkStart w:id="6" w:name="_tqo5kvd9svw4" w:colFirst="0" w:colLast="0"/>
      <w:bookmarkEnd w:id="6"/>
      <w:r w:rsidRPr="00D64E7F">
        <w:rPr>
          <w:color w:val="000000"/>
          <w:lang w:val="pt-BR"/>
        </w:rPr>
        <w:t>Gravidade de um evento de ameaça</w:t>
      </w:r>
    </w:p>
    <w:p w14:paraId="2547BA98" w14:textId="77777777" w:rsidR="00D64E7F" w:rsidRPr="00D64E7F" w:rsidRDefault="00D64E7F" w:rsidP="00D64E7F">
      <w:pPr>
        <w:ind w:left="-360" w:right="-360"/>
        <w:rPr>
          <w:lang w:val="pt-BR"/>
        </w:rPr>
      </w:pPr>
      <w:r w:rsidRPr="00D64E7F">
        <w:rPr>
          <w:lang w:val="pt-BR"/>
        </w:rPr>
        <w:t>Em geral, a gravidade de um evento de ameaça é uma medida de seu impacto potencial nas operações comerciais. Por exemplo, o evento faria com que uma função comercial parasse completamente? Poderia interromper temporariamente um processo comercial e passar despercebido?</w:t>
      </w:r>
    </w:p>
    <w:p w14:paraId="2D911789" w14:textId="4BCE1B3B" w:rsidR="00DF0D7D" w:rsidRPr="00D64E7F" w:rsidRDefault="00D64E7F" w:rsidP="00D64E7F">
      <w:pPr>
        <w:ind w:left="-360" w:right="-360"/>
        <w:rPr>
          <w:lang w:val="pt-BR"/>
        </w:rPr>
      </w:pPr>
      <w:r w:rsidRPr="00D64E7F">
        <w:rPr>
          <w:lang w:val="pt-BR"/>
        </w:rPr>
        <w:t>Considere o impacto comercial de eventos de ameaça ao produzir uma pontuação de gravidade</w:t>
      </w:r>
      <w:r w:rsidR="00000000" w:rsidRPr="00D64E7F">
        <w:rPr>
          <w:lang w:val="pt-BR"/>
        </w:rPr>
        <w:t>.</w:t>
      </w:r>
    </w:p>
    <w:p w14:paraId="3240B22F" w14:textId="77777777" w:rsidR="00DF0D7D" w:rsidRPr="00D64E7F" w:rsidRDefault="00DF0D7D">
      <w:pPr>
        <w:ind w:left="-360" w:right="-360"/>
        <w:rPr>
          <w:lang w:val="pt-BR"/>
        </w:rPr>
      </w:pPr>
    </w:p>
    <w:tbl>
      <w:tblPr>
        <w:tblStyle w:val="a2"/>
        <w:tblW w:w="891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695"/>
        <w:gridCol w:w="5295"/>
      </w:tblGrid>
      <w:tr w:rsidR="00DF0D7D" w14:paraId="0AD5DCC1" w14:textId="77777777">
        <w:trPr>
          <w:trHeight w:val="42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09458" w14:textId="77777777" w:rsidR="00DF0D7D" w:rsidRDefault="00000000">
            <w:pPr>
              <w:widowControl w:val="0"/>
              <w:spacing w:before="0" w:line="240" w:lineRule="auto"/>
              <w:ind w:right="-90"/>
              <w:rPr>
                <w:b/>
              </w:rPr>
            </w:pPr>
            <w:r>
              <w:rPr>
                <w:b/>
              </w:rPr>
              <w:t>Qualitative values</w:t>
            </w:r>
          </w:p>
        </w:tc>
        <w:tc>
          <w:tcPr>
            <w:tcW w:w="1695" w:type="dxa"/>
          </w:tcPr>
          <w:p w14:paraId="6C47DF4D" w14:textId="77777777" w:rsidR="00DF0D7D" w:rsidRDefault="00000000">
            <w:pPr>
              <w:widowControl w:val="0"/>
              <w:spacing w:before="0" w:line="240" w:lineRule="auto"/>
              <w:ind w:right="-120"/>
              <w:rPr>
                <w:b/>
              </w:rPr>
            </w:pPr>
            <w:r>
              <w:rPr>
                <w:b/>
              </w:rPr>
              <w:t>Quantitative values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E81CA" w14:textId="77777777" w:rsidR="00DF0D7D" w:rsidRDefault="00000000">
            <w:pPr>
              <w:widowControl w:val="0"/>
              <w:spacing w:before="0" w:line="240" w:lineRule="auto"/>
              <w:ind w:right="-10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F0D7D" w:rsidRPr="00D64E7F" w14:paraId="2D40D142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29EB2" w14:textId="77777777" w:rsidR="00DF0D7D" w:rsidRDefault="00000000">
            <w:pPr>
              <w:widowControl w:val="0"/>
              <w:spacing w:before="0" w:line="240" w:lineRule="auto"/>
              <w:ind w:right="-90"/>
            </w:pPr>
            <w:r>
              <w:t>High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EF08D" w14:textId="77777777" w:rsidR="00DF0D7D" w:rsidRDefault="00000000">
            <w:pPr>
              <w:widowControl w:val="0"/>
              <w:spacing w:before="0" w:line="240" w:lineRule="auto"/>
              <w:ind w:right="-120"/>
            </w:pPr>
            <w:r>
              <w:t>3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1B8D" w14:textId="51736ECB" w:rsidR="00DF0D7D" w:rsidRPr="00D64E7F" w:rsidRDefault="00D64E7F">
            <w:pPr>
              <w:widowControl w:val="0"/>
              <w:spacing w:before="0" w:line="240" w:lineRule="auto"/>
              <w:ind w:right="-105"/>
              <w:rPr>
                <w:lang w:val="pt-BR"/>
              </w:rPr>
            </w:pPr>
            <w:r w:rsidRPr="00D64E7F">
              <w:rPr>
                <w:lang w:val="pt-BR"/>
              </w:rPr>
              <w:t>A fonte da ameaça quase certamente iniciará um evento de segurança. Um evento pode ter efeitos múltiplos, severos ou catastróficos nas operações e ativos comerciais.</w:t>
            </w:r>
          </w:p>
        </w:tc>
      </w:tr>
      <w:tr w:rsidR="00DF0D7D" w:rsidRPr="00D64E7F" w14:paraId="69D6792F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88D12" w14:textId="77777777" w:rsidR="00DF0D7D" w:rsidRDefault="00000000">
            <w:pPr>
              <w:widowControl w:val="0"/>
              <w:spacing w:before="0" w:line="240" w:lineRule="auto"/>
              <w:ind w:right="-90"/>
            </w:pPr>
            <w:r>
              <w:t>Moderate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B8F1" w14:textId="77777777" w:rsidR="00DF0D7D" w:rsidRDefault="00000000">
            <w:pPr>
              <w:widowControl w:val="0"/>
              <w:spacing w:before="0" w:line="240" w:lineRule="auto"/>
              <w:ind w:right="-120"/>
            </w:pPr>
            <w:r>
              <w:t>2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BC160" w14:textId="56CC8A24" w:rsidR="00DF0D7D" w:rsidRPr="00D64E7F" w:rsidRDefault="00D64E7F">
            <w:pPr>
              <w:widowControl w:val="0"/>
              <w:spacing w:before="0" w:line="240" w:lineRule="auto"/>
              <w:ind w:right="-105"/>
              <w:rPr>
                <w:lang w:val="pt-BR"/>
              </w:rPr>
            </w:pPr>
            <w:r w:rsidRPr="00D64E7F">
              <w:rPr>
                <w:lang w:val="pt-BR"/>
              </w:rPr>
              <w:t>A fonte da ameaça tem alguma probabilidade de iniciar um evento de segurança. Um evento pode reduzir significativamente a funcionalidade das operações e ativos organizacionais</w:t>
            </w:r>
            <w:r w:rsidR="00000000" w:rsidRPr="00D64E7F">
              <w:rPr>
                <w:lang w:val="pt-BR"/>
              </w:rPr>
              <w:t>.</w:t>
            </w:r>
          </w:p>
        </w:tc>
      </w:tr>
      <w:tr w:rsidR="00DF0D7D" w:rsidRPr="00D64E7F" w14:paraId="60AD8514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3DCD5" w14:textId="77777777" w:rsidR="00DF0D7D" w:rsidRDefault="00000000">
            <w:pPr>
              <w:widowControl w:val="0"/>
              <w:spacing w:before="0" w:line="240" w:lineRule="auto"/>
              <w:ind w:right="-90"/>
            </w:pPr>
            <w:r>
              <w:t>Low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BD2A3" w14:textId="77777777" w:rsidR="00DF0D7D" w:rsidRDefault="00000000">
            <w:pPr>
              <w:widowControl w:val="0"/>
              <w:spacing w:before="0" w:line="240" w:lineRule="auto"/>
              <w:ind w:right="-120"/>
            </w:pPr>
            <w:r>
              <w:t>1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956" w14:textId="326F332C" w:rsidR="00DF0D7D" w:rsidRPr="00D64E7F" w:rsidRDefault="00D64E7F">
            <w:pPr>
              <w:widowControl w:val="0"/>
              <w:spacing w:before="0" w:line="240" w:lineRule="auto"/>
              <w:ind w:right="-105"/>
              <w:rPr>
                <w:lang w:val="pt-BR"/>
              </w:rPr>
            </w:pPr>
            <w:r w:rsidRPr="00D64E7F">
              <w:rPr>
                <w:lang w:val="pt-BR"/>
              </w:rPr>
              <w:t>É altamente improvável que a fonte da ameaça inicie um evento de segurança. Um evento pode ter efeitos menores e insignificantes nas operações e ativos comerciais.</w:t>
            </w:r>
          </w:p>
        </w:tc>
      </w:tr>
    </w:tbl>
    <w:p w14:paraId="7BD72C20" w14:textId="77777777" w:rsidR="00DF0D7D" w:rsidRPr="00D64E7F" w:rsidRDefault="00DF0D7D">
      <w:pPr>
        <w:ind w:left="-360" w:right="-360"/>
        <w:rPr>
          <w:lang w:val="pt-BR"/>
        </w:rPr>
      </w:pPr>
    </w:p>
    <w:sectPr w:rsidR="00DF0D7D" w:rsidRPr="00D64E7F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6B070" w14:textId="77777777" w:rsidR="00235B32" w:rsidRDefault="00235B32">
      <w:pPr>
        <w:spacing w:before="0" w:line="240" w:lineRule="auto"/>
      </w:pPr>
      <w:r>
        <w:separator/>
      </w:r>
    </w:p>
  </w:endnote>
  <w:endnote w:type="continuationSeparator" w:id="0">
    <w:p w14:paraId="3D58AD04" w14:textId="77777777" w:rsidR="00235B32" w:rsidRDefault="00235B3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5561976-5048-4ABB-830F-5B1674697DC0}"/>
    <w:embedBold r:id="rId2" w:fontKey="{42C2315E-E508-4FFC-8E60-03AC65D792A7}"/>
    <w:embedItalic r:id="rId3" w:fontKey="{EE4E41A8-9BCA-47D6-BC23-9A8D6E3D9C40}"/>
  </w:font>
  <w:font w:name="Proxima Nova">
    <w:altName w:val="Tahoma"/>
    <w:charset w:val="00"/>
    <w:family w:val="auto"/>
    <w:pitch w:val="default"/>
    <w:embedRegular r:id="rId4" w:fontKey="{FC1CA813-6590-4FA8-87F8-A225E6AD68A8}"/>
    <w:embedBold r:id="rId5" w:fontKey="{57FA075E-6941-4BC4-AE68-33E12C36CE5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ABDE5053-3C9E-49BC-A9E8-C491EFD8AF1B}"/>
    <w:embedItalic r:id="rId7" w:fontKey="{B66DBE53-18CB-4A7F-B67E-31BE1D980B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6539E3D-17BB-4D7D-B873-9D44948A80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919CB20-044D-4982-A3C7-35E16CCF2B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ECAFD" w14:textId="77777777" w:rsidR="00DF0D7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D64E7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59184" w14:textId="77777777" w:rsidR="00DF0D7D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D64E7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C3167" w14:textId="77777777" w:rsidR="00235B32" w:rsidRDefault="00235B32">
      <w:pPr>
        <w:spacing w:before="0" w:line="240" w:lineRule="auto"/>
      </w:pPr>
      <w:r>
        <w:separator/>
      </w:r>
    </w:p>
  </w:footnote>
  <w:footnote w:type="continuationSeparator" w:id="0">
    <w:p w14:paraId="6EECA749" w14:textId="77777777" w:rsidR="00235B32" w:rsidRDefault="00235B3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9FA1E" w14:textId="77777777" w:rsidR="00DF0D7D" w:rsidRDefault="00DF0D7D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28E2A" w14:textId="77777777" w:rsidR="00DF0D7D" w:rsidRDefault="00DF0D7D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5C2"/>
    <w:multiLevelType w:val="multilevel"/>
    <w:tmpl w:val="0D167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DA507F"/>
    <w:multiLevelType w:val="multilevel"/>
    <w:tmpl w:val="C0C49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25607E"/>
    <w:multiLevelType w:val="multilevel"/>
    <w:tmpl w:val="0E1CC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E1108D"/>
    <w:multiLevelType w:val="multilevel"/>
    <w:tmpl w:val="39C21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1D25E7"/>
    <w:multiLevelType w:val="multilevel"/>
    <w:tmpl w:val="7DD82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E921ED"/>
    <w:multiLevelType w:val="multilevel"/>
    <w:tmpl w:val="900CC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A84048"/>
    <w:multiLevelType w:val="multilevel"/>
    <w:tmpl w:val="A4A83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4761745">
    <w:abstractNumId w:val="3"/>
  </w:num>
  <w:num w:numId="2" w16cid:durableId="173686428">
    <w:abstractNumId w:val="4"/>
  </w:num>
  <w:num w:numId="3" w16cid:durableId="1304314960">
    <w:abstractNumId w:val="5"/>
  </w:num>
  <w:num w:numId="4" w16cid:durableId="1024012461">
    <w:abstractNumId w:val="2"/>
  </w:num>
  <w:num w:numId="5" w16cid:durableId="363941621">
    <w:abstractNumId w:val="1"/>
  </w:num>
  <w:num w:numId="6" w16cid:durableId="1838305916">
    <w:abstractNumId w:val="6"/>
  </w:num>
  <w:num w:numId="7" w16cid:durableId="1334408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D7D"/>
    <w:rsid w:val="00235B32"/>
    <w:rsid w:val="00A77502"/>
    <w:rsid w:val="00D64E7F"/>
    <w:rsid w:val="00DF0D7D"/>
    <w:rsid w:val="00F92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83AC"/>
  <w15:docId w15:val="{7B3878E3-D63A-4645-9490-C11000EF1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="Google Sans" w:hAnsi="Google Sans" w:cs="Google Sans"/>
        <w:color w:val="353744"/>
        <w:sz w:val="22"/>
        <w:szCs w:val="22"/>
        <w:lang w:val="en" w:eastAsia="pt-BR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rFonts w:ascii="Proxima Nova" w:eastAsia="Proxima Nova" w:hAnsi="Proxima Nova" w:cs="Proxima Nova"/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1059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2</cp:revision>
  <dcterms:created xsi:type="dcterms:W3CDTF">2024-12-04T16:14:00Z</dcterms:created>
  <dcterms:modified xsi:type="dcterms:W3CDTF">2024-12-04T17:51:00Z</dcterms:modified>
</cp:coreProperties>
</file>